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TrueCost final data collection methods</w:t>
      </w:r>
    </w:p>
    <w:p>
      <w:pPr>
        <w:pStyle w:val="Subtitle"/>
      </w:pPr>
      <w:r>
        <w:t>Local multistep token usage experiment</w:t>
      </w:r>
    </w:p>
    <w:p>
      <w:pPr>
        <w:pStyle w:val="Heading1"/>
      </w:pPr>
      <w:r>
        <w:t>Study scope and completed collection</w:t>
      </w:r>
    </w:p>
    <w:p>
      <w:r>
        <w:t>We collected local language-model execution traces to measure cumulative token usage on coding and noncoding tasks. The frozen design comprised 3,000 task groups, each assigned to two models at two seeds, for 12,000 planned task–model–seed attempts. Collection and consolidated reconciliation are complete: 11,996 attempts have complete audited token measurements, four have retained integration failures, and none remain unstarted.</w:t>
      </w:r>
    </w:p>
    <w:p>
      <w:r>
        <w:t>The unit of observation was one bounded task attempt under a specified model and seed. An attempt could contain several inference requests and intervening tool observations. The assignment count therefore does not equal the number of inference requests. Earlier pilot studies, integration smoke tests, and the separate dataset assembled from public agent trajectories were excluded from this campaign.</w:t>
      </w:r>
    </w:p>
    <w:p>
      <w:r>
        <w:t>For an attempt with J complete responses, cumulative input usage was the sum of the input counters from requests 1 through J; cumulative output usage was the corresponding sum of output counters. Total usage was cumulative input plus cumulative output. Input counters included conversation history processed again on successive requests. The outcome measures processed tokens, including repeated input, rather than unique task text.</w:t>
      </w:r>
    </w:p>
    <w:p>
      <w:r>
        <w:t>We retained input and output counts separately. The primary target was total tokens used through termination under the bounded execution policy. An unsuccessful task could still yield a complete token measurement. An aborted inference response without usage counters could not.</w:t>
      </w:r>
    </w:p>
    <w:p>
      <w:pPr>
        <w:pStyle w:val="Heading2"/>
      </w:pPr>
      <w:r>
        <w:t>Final assignment accounting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1440"/>
        <w:gridCol w:w="1440"/>
        <w:gridCol w:w="1440"/>
        <w:gridCol w:w="1512"/>
      </w:tblGrid>
      <w:tr>
        <w:trPr>
          <w:tblHeader/>
          <w:cantSplit/>
        </w:trPr>
        <w:tc>
          <w:tcPr>
            <w:tcW w:type="dxa" w:w="3816"/>
            <w:vAlign w:val="center"/>
            <w:tcMar>
              <w:top w:w="75" w:type="dxa"/>
              <w:bottom w:w="75" w:type="dxa"/>
              <w:left w:w="75" w:type="dxa"/>
              <w:right w:w="75" w:type="dxa"/>
            </w:tcMar>
            <w:shd w:fill="E8EBEF"/>
          </w:tcPr>
          <w:p>
            <w:pPr>
              <w:spacing w:after="0" w:line="240" w:lineRule="auto"/>
            </w:pPr>
            <w:r>
              <w:rPr>
                <w:b/>
                <w:sz w:val="20"/>
              </w:rPr>
              <w:t>Partition</w:t>
            </w:r>
          </w:p>
        </w:tc>
        <w:tc>
          <w:tcPr>
            <w:tcW w:type="dxa" w:w="1440"/>
            <w:vAlign w:val="center"/>
            <w:tcMar>
              <w:top w:w="75" w:type="dxa"/>
              <w:bottom w:w="75" w:type="dxa"/>
              <w:left w:w="75" w:type="dxa"/>
              <w:right w:w="75" w:type="dxa"/>
            </w:tcMar>
            <w:shd w:fill="E8EBEF"/>
          </w:tcPr>
          <w:p>
            <w:pPr>
              <w:spacing w:after="0" w:line="240" w:lineRule="auto"/>
              <w:jc w:val="center"/>
            </w:pPr>
            <w:r>
              <w:rPr>
                <w:b/>
                <w:sz w:val="20"/>
              </w:rPr>
              <w:t>Task groups</w:t>
            </w:r>
          </w:p>
        </w:tc>
        <w:tc>
          <w:tcPr>
            <w:tcW w:type="dxa" w:w="1440"/>
            <w:vAlign w:val="center"/>
            <w:tcMar>
              <w:top w:w="75" w:type="dxa"/>
              <w:bottom w:w="75" w:type="dxa"/>
              <w:left w:w="75" w:type="dxa"/>
              <w:right w:w="75" w:type="dxa"/>
            </w:tcMar>
            <w:shd w:fill="E8EBEF"/>
          </w:tcPr>
          <w:p>
            <w:pPr>
              <w:spacing w:after="0" w:line="240" w:lineRule="auto"/>
              <w:jc w:val="center"/>
            </w:pPr>
            <w:r>
              <w:rPr>
                <w:b/>
                <w:sz w:val="20"/>
              </w:rPr>
              <w:t>Planned</w:t>
            </w:r>
          </w:p>
        </w:tc>
        <w:tc>
          <w:tcPr>
            <w:tcW w:type="dxa" w:w="1440"/>
            <w:vAlign w:val="center"/>
            <w:tcMar>
              <w:top w:w="75" w:type="dxa"/>
              <w:bottom w:w="75" w:type="dxa"/>
              <w:left w:w="75" w:type="dxa"/>
              <w:right w:w="75" w:type="dxa"/>
            </w:tcMar>
            <w:shd w:fill="E8EBEF"/>
          </w:tcPr>
          <w:p>
            <w:pPr>
              <w:spacing w:after="0" w:line="240" w:lineRule="auto"/>
              <w:jc w:val="center"/>
            </w:pPr>
            <w:r>
              <w:rPr>
                <w:b/>
                <w:sz w:val="20"/>
              </w:rPr>
              <w:t>Complete</w:t>
            </w:r>
          </w:p>
        </w:tc>
        <w:tc>
          <w:tcPr>
            <w:tcW w:type="dxa" w:w="1512"/>
            <w:vAlign w:val="center"/>
            <w:tcMar>
              <w:top w:w="75" w:type="dxa"/>
              <w:bottom w:w="75" w:type="dxa"/>
              <w:left w:w="75" w:type="dxa"/>
              <w:right w:w="75" w:type="dxa"/>
            </w:tcMar>
            <w:shd w:fill="E8EBEF"/>
          </w:tcPr>
          <w:p>
            <w:pPr>
              <w:spacing w:after="0" w:line="240" w:lineRule="auto"/>
              <w:jc w:val="center"/>
            </w:pPr>
            <w:r>
              <w:rPr>
                <w:b/>
                <w:sz w:val="20"/>
              </w:rPr>
              <w:t>Failures</w:t>
            </w:r>
          </w:p>
        </w:tc>
      </w:tr>
      <w:tr>
        <w:trPr>
          <w:cantSplit/>
        </w:trPr>
        <w:tc>
          <w:tcPr>
            <w:tcW w:type="dxa" w:w="3816"/>
            <w:vAlign w:val="center"/>
            <w:tcMar>
              <w:top w:w="75" w:type="dxa"/>
              <w:bottom w:w="75" w:type="dxa"/>
              <w:left w:w="75" w:type="dxa"/>
              <w:right w:w="75" w:type="dxa"/>
            </w:tcMar>
          </w:tcPr>
          <w:p>
            <w:pPr>
              <w:spacing w:after="0" w:line="240" w:lineRule="auto"/>
            </w:pPr>
            <w:r>
              <w:rPr>
                <w:b w:val="0"/>
                <w:sz w:val="20"/>
              </w:rPr>
              <w:t>Training</w:t>
            </w:r>
          </w:p>
        </w:tc>
        <w:tc>
          <w:tcPr>
            <w:tcW w:type="dxa" w:w="1440"/>
            <w:vAlign w:val="center"/>
            <w:tcMar>
              <w:top w:w="75" w:type="dxa"/>
              <w:bottom w:w="75" w:type="dxa"/>
              <w:left w:w="75" w:type="dxa"/>
              <w:right w:w="75" w:type="dxa"/>
            </w:tcMar>
          </w:tcPr>
          <w:p>
            <w:pPr>
              <w:spacing w:after="0" w:line="240" w:lineRule="auto"/>
              <w:jc w:val="center"/>
            </w:pPr>
            <w:r>
              <w:rPr>
                <w:b w:val="0"/>
                <w:sz w:val="20"/>
              </w:rPr>
              <w:t>2,100</w:t>
            </w:r>
          </w:p>
        </w:tc>
        <w:tc>
          <w:tcPr>
            <w:tcW w:type="dxa" w:w="1440"/>
            <w:vAlign w:val="center"/>
            <w:tcMar>
              <w:top w:w="75" w:type="dxa"/>
              <w:bottom w:w="75" w:type="dxa"/>
              <w:left w:w="75" w:type="dxa"/>
              <w:right w:w="75" w:type="dxa"/>
            </w:tcMar>
          </w:tcPr>
          <w:p>
            <w:pPr>
              <w:spacing w:after="0" w:line="240" w:lineRule="auto"/>
              <w:jc w:val="center"/>
            </w:pPr>
            <w:r>
              <w:rPr>
                <w:b w:val="0"/>
                <w:sz w:val="20"/>
              </w:rPr>
              <w:t>8,400</w:t>
            </w:r>
          </w:p>
        </w:tc>
        <w:tc>
          <w:tcPr>
            <w:tcW w:type="dxa" w:w="1440"/>
            <w:vAlign w:val="center"/>
            <w:tcMar>
              <w:top w:w="75" w:type="dxa"/>
              <w:bottom w:w="75" w:type="dxa"/>
              <w:left w:w="75" w:type="dxa"/>
              <w:right w:w="75" w:type="dxa"/>
            </w:tcMar>
          </w:tcPr>
          <w:p>
            <w:pPr>
              <w:spacing w:after="0" w:line="240" w:lineRule="auto"/>
              <w:jc w:val="center"/>
            </w:pPr>
            <w:r>
              <w:rPr>
                <w:b w:val="0"/>
                <w:sz w:val="20"/>
              </w:rPr>
              <w:t>8,396</w:t>
            </w:r>
          </w:p>
        </w:tc>
        <w:tc>
          <w:tcPr>
            <w:tcW w:type="dxa" w:w="1512"/>
            <w:vAlign w:val="center"/>
            <w:tcMar>
              <w:top w:w="75" w:type="dxa"/>
              <w:bottom w:w="75" w:type="dxa"/>
              <w:left w:w="75" w:type="dxa"/>
              <w:right w:w="75" w:type="dxa"/>
            </w:tcMar>
          </w:tcPr>
          <w:p>
            <w:pPr>
              <w:spacing w:after="0" w:line="240" w:lineRule="auto"/>
              <w:jc w:val="center"/>
            </w:pPr>
            <w:r>
              <w:rPr>
                <w:b w:val="0"/>
                <w:sz w:val="20"/>
              </w:rPr>
              <w:t>4</w:t>
            </w:r>
          </w:p>
        </w:tc>
      </w:tr>
      <w:tr>
        <w:trPr>
          <w:cantSplit/>
        </w:trPr>
        <w:tc>
          <w:tcPr>
            <w:tcW w:type="dxa" w:w="3816"/>
            <w:vAlign w:val="center"/>
            <w:tcMar>
              <w:top w:w="75" w:type="dxa"/>
              <w:bottom w:w="75" w:type="dxa"/>
              <w:left w:w="75" w:type="dxa"/>
              <w:right w:w="75" w:type="dxa"/>
            </w:tcMar>
          </w:tcPr>
          <w:p>
            <w:pPr>
              <w:spacing w:after="0" w:line="240" w:lineRule="auto"/>
            </w:pPr>
            <w:r>
              <w:rPr>
                <w:b w:val="0"/>
                <w:sz w:val="20"/>
              </w:rPr>
              <w:t>Calibration</w:t>
            </w:r>
          </w:p>
        </w:tc>
        <w:tc>
          <w:tcPr>
            <w:tcW w:type="dxa" w:w="1440"/>
            <w:vAlign w:val="center"/>
            <w:tcMar>
              <w:top w:w="75" w:type="dxa"/>
              <w:bottom w:w="75" w:type="dxa"/>
              <w:left w:w="75" w:type="dxa"/>
              <w:right w:w="75" w:type="dxa"/>
            </w:tcMar>
          </w:tcPr>
          <w:p>
            <w:pPr>
              <w:spacing w:after="0" w:line="240" w:lineRule="auto"/>
              <w:jc w:val="center"/>
            </w:pPr>
            <w:r>
              <w:rPr>
                <w:b w:val="0"/>
                <w:sz w:val="20"/>
              </w:rPr>
              <w:t>450</w:t>
            </w:r>
          </w:p>
        </w:tc>
        <w:tc>
          <w:tcPr>
            <w:tcW w:type="dxa" w:w="1440"/>
            <w:vAlign w:val="center"/>
            <w:tcMar>
              <w:top w:w="75" w:type="dxa"/>
              <w:bottom w:w="75" w:type="dxa"/>
              <w:left w:w="75" w:type="dxa"/>
              <w:right w:w="75" w:type="dxa"/>
            </w:tcMar>
          </w:tcPr>
          <w:p>
            <w:pPr>
              <w:spacing w:after="0" w:line="240" w:lineRule="auto"/>
              <w:jc w:val="center"/>
            </w:pPr>
            <w:r>
              <w:rPr>
                <w:b w:val="0"/>
                <w:sz w:val="20"/>
              </w:rPr>
              <w:t>1,800</w:t>
            </w:r>
          </w:p>
        </w:tc>
        <w:tc>
          <w:tcPr>
            <w:tcW w:type="dxa" w:w="1440"/>
            <w:vAlign w:val="center"/>
            <w:tcMar>
              <w:top w:w="75" w:type="dxa"/>
              <w:bottom w:w="75" w:type="dxa"/>
              <w:left w:w="75" w:type="dxa"/>
              <w:right w:w="75" w:type="dxa"/>
            </w:tcMar>
          </w:tcPr>
          <w:p>
            <w:pPr>
              <w:spacing w:after="0" w:line="240" w:lineRule="auto"/>
              <w:jc w:val="center"/>
            </w:pPr>
            <w:r>
              <w:rPr>
                <w:b w:val="0"/>
                <w:sz w:val="20"/>
              </w:rPr>
              <w:t>1,800</w:t>
            </w:r>
          </w:p>
        </w:tc>
        <w:tc>
          <w:tcPr>
            <w:tcW w:type="dxa" w:w="1512"/>
            <w:vAlign w:val="center"/>
            <w:tcMar>
              <w:top w:w="75" w:type="dxa"/>
              <w:bottom w:w="75" w:type="dxa"/>
              <w:left w:w="75" w:type="dxa"/>
              <w:right w:w="75" w:type="dxa"/>
            </w:tcMar>
          </w:tcPr>
          <w:p>
            <w:pPr>
              <w:spacing w:after="0" w:line="240" w:lineRule="auto"/>
              <w:jc w:val="center"/>
            </w:pPr>
            <w:r>
              <w:rPr>
                <w:b w:val="0"/>
                <w:sz w:val="20"/>
              </w:rPr>
              <w:t>0</w:t>
            </w:r>
          </w:p>
        </w:tc>
      </w:tr>
      <w:tr>
        <w:trPr>
          <w:cantSplit/>
        </w:trPr>
        <w:tc>
          <w:tcPr>
            <w:tcW w:type="dxa" w:w="3816"/>
            <w:vAlign w:val="center"/>
            <w:tcMar>
              <w:top w:w="75" w:type="dxa"/>
              <w:bottom w:w="75" w:type="dxa"/>
              <w:left w:w="75" w:type="dxa"/>
              <w:right w:w="75" w:type="dxa"/>
            </w:tcMar>
          </w:tcPr>
          <w:p>
            <w:pPr>
              <w:spacing w:after="0" w:line="240" w:lineRule="auto"/>
            </w:pPr>
            <w:r>
              <w:rPr>
                <w:b w:val="0"/>
                <w:sz w:val="20"/>
              </w:rPr>
              <w:t>Confirmation</w:t>
            </w:r>
          </w:p>
        </w:tc>
        <w:tc>
          <w:tcPr>
            <w:tcW w:type="dxa" w:w="1440"/>
            <w:vAlign w:val="center"/>
            <w:tcMar>
              <w:top w:w="75" w:type="dxa"/>
              <w:bottom w:w="75" w:type="dxa"/>
              <w:left w:w="75" w:type="dxa"/>
              <w:right w:w="75" w:type="dxa"/>
            </w:tcMar>
          </w:tcPr>
          <w:p>
            <w:pPr>
              <w:spacing w:after="0" w:line="240" w:lineRule="auto"/>
              <w:jc w:val="center"/>
            </w:pPr>
            <w:r>
              <w:rPr>
                <w:b w:val="0"/>
                <w:sz w:val="20"/>
              </w:rPr>
              <w:t>450</w:t>
            </w:r>
          </w:p>
        </w:tc>
        <w:tc>
          <w:tcPr>
            <w:tcW w:type="dxa" w:w="1440"/>
            <w:vAlign w:val="center"/>
            <w:tcMar>
              <w:top w:w="75" w:type="dxa"/>
              <w:bottom w:w="75" w:type="dxa"/>
              <w:left w:w="75" w:type="dxa"/>
              <w:right w:w="75" w:type="dxa"/>
            </w:tcMar>
          </w:tcPr>
          <w:p>
            <w:pPr>
              <w:spacing w:after="0" w:line="240" w:lineRule="auto"/>
              <w:jc w:val="center"/>
            </w:pPr>
            <w:r>
              <w:rPr>
                <w:b w:val="0"/>
                <w:sz w:val="20"/>
              </w:rPr>
              <w:t>1,800</w:t>
            </w:r>
          </w:p>
        </w:tc>
        <w:tc>
          <w:tcPr>
            <w:tcW w:type="dxa" w:w="1440"/>
            <w:vAlign w:val="center"/>
            <w:tcMar>
              <w:top w:w="75" w:type="dxa"/>
              <w:bottom w:w="75" w:type="dxa"/>
              <w:left w:w="75" w:type="dxa"/>
              <w:right w:w="75" w:type="dxa"/>
            </w:tcMar>
          </w:tcPr>
          <w:p>
            <w:pPr>
              <w:spacing w:after="0" w:line="240" w:lineRule="auto"/>
              <w:jc w:val="center"/>
            </w:pPr>
            <w:r>
              <w:rPr>
                <w:b w:val="0"/>
                <w:sz w:val="20"/>
              </w:rPr>
              <w:t>1,800</w:t>
            </w:r>
          </w:p>
        </w:tc>
        <w:tc>
          <w:tcPr>
            <w:tcW w:type="dxa" w:w="1512"/>
            <w:vAlign w:val="center"/>
            <w:tcMar>
              <w:top w:w="75" w:type="dxa"/>
              <w:bottom w:w="75" w:type="dxa"/>
              <w:left w:w="75" w:type="dxa"/>
              <w:right w:w="75" w:type="dxa"/>
            </w:tcMar>
          </w:tcPr>
          <w:p>
            <w:pPr>
              <w:spacing w:after="0" w:line="240" w:lineRule="auto"/>
              <w:jc w:val="center"/>
            </w:pPr>
            <w:r>
              <w:rPr>
                <w:b w:val="0"/>
                <w:sz w:val="20"/>
              </w:rPr>
              <w:t>0</w:t>
            </w:r>
          </w:p>
        </w:tc>
      </w:tr>
      <w:tr>
        <w:trPr>
          <w:cantSplit/>
        </w:trPr>
        <w:tc>
          <w:tcPr>
            <w:tcW w:type="dxa" w:w="3816"/>
            <w:vAlign w:val="center"/>
            <w:tcMar>
              <w:top w:w="75" w:type="dxa"/>
              <w:bottom w:w="75" w:type="dxa"/>
              <w:left w:w="75" w:type="dxa"/>
              <w:right w:w="75" w:type="dxa"/>
            </w:tcMar>
          </w:tcPr>
          <w:p>
            <w:pPr>
              <w:spacing w:after="0" w:line="240" w:lineRule="auto"/>
            </w:pPr>
            <w:r>
              <w:rPr>
                <w:b w:val="0"/>
                <w:sz w:val="20"/>
              </w:rPr>
              <w:t>Total</w:t>
            </w:r>
          </w:p>
        </w:tc>
        <w:tc>
          <w:tcPr>
            <w:tcW w:type="dxa" w:w="1440"/>
            <w:vAlign w:val="center"/>
            <w:tcMar>
              <w:top w:w="75" w:type="dxa"/>
              <w:bottom w:w="75" w:type="dxa"/>
              <w:left w:w="75" w:type="dxa"/>
              <w:right w:w="75" w:type="dxa"/>
            </w:tcMar>
          </w:tcPr>
          <w:p>
            <w:pPr>
              <w:spacing w:after="0" w:line="240" w:lineRule="auto"/>
              <w:jc w:val="center"/>
            </w:pPr>
            <w:r>
              <w:rPr>
                <w:b w:val="0"/>
                <w:sz w:val="20"/>
              </w:rPr>
              <w:t>3,000</w:t>
            </w:r>
          </w:p>
        </w:tc>
        <w:tc>
          <w:tcPr>
            <w:tcW w:type="dxa" w:w="1440"/>
            <w:vAlign w:val="center"/>
            <w:tcMar>
              <w:top w:w="75" w:type="dxa"/>
              <w:bottom w:w="75" w:type="dxa"/>
              <w:left w:w="75" w:type="dxa"/>
              <w:right w:w="75" w:type="dxa"/>
            </w:tcMar>
          </w:tcPr>
          <w:p>
            <w:pPr>
              <w:spacing w:after="0" w:line="240" w:lineRule="auto"/>
              <w:jc w:val="center"/>
            </w:pPr>
            <w:r>
              <w:rPr>
                <w:b w:val="0"/>
                <w:sz w:val="20"/>
              </w:rPr>
              <w:t>12,000</w:t>
            </w:r>
          </w:p>
        </w:tc>
        <w:tc>
          <w:tcPr>
            <w:tcW w:type="dxa" w:w="1440"/>
            <w:vAlign w:val="center"/>
            <w:tcMar>
              <w:top w:w="75" w:type="dxa"/>
              <w:bottom w:w="75" w:type="dxa"/>
              <w:left w:w="75" w:type="dxa"/>
              <w:right w:w="75" w:type="dxa"/>
            </w:tcMar>
          </w:tcPr>
          <w:p>
            <w:pPr>
              <w:spacing w:after="0" w:line="240" w:lineRule="auto"/>
              <w:jc w:val="center"/>
            </w:pPr>
            <w:r>
              <w:rPr>
                <w:b w:val="0"/>
                <w:sz w:val="20"/>
              </w:rPr>
              <w:t>11,996</w:t>
            </w:r>
          </w:p>
        </w:tc>
        <w:tc>
          <w:tcPr>
            <w:tcW w:type="dxa" w:w="1512"/>
            <w:vAlign w:val="center"/>
            <w:tcMar>
              <w:top w:w="75" w:type="dxa"/>
              <w:bottom w:w="75" w:type="dxa"/>
              <w:left w:w="75" w:type="dxa"/>
              <w:right w:w="75" w:type="dxa"/>
            </w:tcMar>
          </w:tcPr>
          <w:p>
            <w:pPr>
              <w:spacing w:after="0" w:line="240" w:lineRule="auto"/>
              <w:jc w:val="center"/>
            </w:pPr>
            <w:r>
              <w:rPr>
                <w:b w:val="0"/>
                <w:sz w:val="20"/>
              </w:rPr>
              <w:t>4</w:t>
            </w:r>
          </w:p>
        </w:tc>
      </w:tr>
    </w:tbl>
    <w:p>
      <w:pPr>
        <w:spacing w:after="20"/>
      </w:pPr>
    </w:p>
    <w:p>
      <w:pPr>
        <w:pStyle w:val="Heading1"/>
      </w:pPr>
      <w:r>
        <w:t>Task sources and input scale</w:t>
      </w:r>
    </w:p>
    <w:p>
      <w:r>
        <w:t>We constructed candidates from pinned local snapshots of HumanEval, MBPP, GSM8K, Dolly, GovReport, and TabFact. The source registry recorded paths and snapshot hashes; a frozen input fingerprint tied these sources and associated table files to the campaign. The reviewed source version contained 12,227 candidate records. Expansion added full-MBPP records while preserving existing sanitized records and excluded records requiring unsupported setup code.</w:t>
      </w:r>
    </w:p>
    <w:p>
      <w:r>
        <w:t>Selection followed predefined task-family quotas and considered usability, source compatibility, context admission, related groups, and prior-use exclusions. Review decisions were linked to exact candidate hashes with reviewer identifiers and rationales. These checks assessed suitability for token measurement, not the correctness of every reference or label. Summarization review included sampled usability inspection rather than exhaustive validation of source texts and reference summaries.</w:t>
      </w:r>
    </w:p>
    <w:p>
      <w:r>
        <w:t>The sample was purposive and stratified by task family. It was not a probability sample of real-world AI tasks. Each selected group contributed one task instance. Natural differences in input length supplied the scale variation; we did not add irrelevant padding to create size bands.</w:t>
      </w:r>
    </w:p>
    <w:p>
      <w:r>
        <w:t>Source-bearing size included the task wrapper and, where applicable, source context and public coding checks. It was distinct from cumulative usage and could differ from first-request input size when context arrived through a later tool observation. Source-bearing size, initial request input usage, and maximum request input usage were recorded separately. Complexity remained explicitly unrated; input length was not treated as a validated measure of reasoning difficulty.</w:t>
      </w:r>
    </w:p>
    <w:p>
      <w:pPr>
        <w:pStyle w:val="Heading2"/>
      </w:pPr>
      <w:r>
        <w:t>Task family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376"/>
        <w:gridCol w:w="2376"/>
      </w:tblGrid>
      <w:tr>
        <w:trPr>
          <w:tblHeader/>
          <w:cantSplit/>
        </w:trPr>
        <w:tc>
          <w:tcPr>
            <w:tcW w:type="dxa" w:w="4896"/>
            <w:vAlign w:val="center"/>
            <w:tcMar>
              <w:top w:w="75" w:type="dxa"/>
              <w:bottom w:w="75" w:type="dxa"/>
              <w:left w:w="75" w:type="dxa"/>
              <w:right w:w="75" w:type="dxa"/>
            </w:tcMar>
            <w:shd w:fill="E8EBEF"/>
          </w:tcPr>
          <w:p>
            <w:pPr>
              <w:spacing w:after="0" w:line="240" w:lineRule="auto"/>
            </w:pPr>
            <w:r>
              <w:rPr>
                <w:b/>
                <w:sz w:val="20"/>
              </w:rPr>
              <w:t>Task family</w:t>
            </w:r>
          </w:p>
        </w:tc>
        <w:tc>
          <w:tcPr>
            <w:tcW w:type="dxa" w:w="2376"/>
            <w:vAlign w:val="center"/>
            <w:tcMar>
              <w:top w:w="75" w:type="dxa"/>
              <w:bottom w:w="75" w:type="dxa"/>
              <w:left w:w="75" w:type="dxa"/>
              <w:right w:w="75" w:type="dxa"/>
            </w:tcMar>
            <w:shd w:fill="E8EBEF"/>
          </w:tcPr>
          <w:p>
            <w:pPr>
              <w:spacing w:after="0" w:line="240" w:lineRule="auto"/>
              <w:jc w:val="center"/>
            </w:pPr>
            <w:r>
              <w:rPr>
                <w:b/>
                <w:sz w:val="20"/>
              </w:rPr>
              <w:t>Groups</w:t>
            </w:r>
          </w:p>
        </w:tc>
        <w:tc>
          <w:tcPr>
            <w:tcW w:type="dxa" w:w="2376"/>
            <w:vAlign w:val="center"/>
            <w:tcMar>
              <w:top w:w="75" w:type="dxa"/>
              <w:bottom w:w="75" w:type="dxa"/>
              <w:left w:w="75" w:type="dxa"/>
              <w:right w:w="75" w:type="dxa"/>
            </w:tcMar>
            <w:shd w:fill="E8EBEF"/>
          </w:tcPr>
          <w:p>
            <w:pPr>
              <w:spacing w:after="0" w:line="240" w:lineRule="auto"/>
              <w:jc w:val="center"/>
            </w:pPr>
            <w:r>
              <w:rPr>
                <w:b/>
                <w:sz w:val="20"/>
              </w:rPr>
              <w:t>Planned attempts</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Coding</w:t>
            </w:r>
          </w:p>
        </w:tc>
        <w:tc>
          <w:tcPr>
            <w:tcW w:type="dxa" w:w="2376"/>
            <w:vAlign w:val="center"/>
            <w:tcMar>
              <w:top w:w="75" w:type="dxa"/>
              <w:bottom w:w="75" w:type="dxa"/>
              <w:left w:w="75" w:type="dxa"/>
              <w:right w:w="75" w:type="dxa"/>
            </w:tcMar>
          </w:tcPr>
          <w:p>
            <w:pPr>
              <w:spacing w:after="0" w:line="240" w:lineRule="auto"/>
              <w:jc w:val="center"/>
            </w:pPr>
            <w:r>
              <w:rPr>
                <w:b w:val="0"/>
                <w:sz w:val="20"/>
              </w:rPr>
              <w:t>200</w:t>
            </w:r>
          </w:p>
        </w:tc>
        <w:tc>
          <w:tcPr>
            <w:tcW w:type="dxa" w:w="2376"/>
            <w:vAlign w:val="center"/>
            <w:tcMar>
              <w:top w:w="75" w:type="dxa"/>
              <w:bottom w:w="75" w:type="dxa"/>
              <w:left w:w="75" w:type="dxa"/>
              <w:right w:w="75" w:type="dxa"/>
            </w:tcMar>
          </w:tcPr>
          <w:p>
            <w:pPr>
              <w:spacing w:after="0" w:line="240" w:lineRule="auto"/>
              <w:jc w:val="center"/>
            </w:pPr>
            <w:r>
              <w:rPr>
                <w:b w:val="0"/>
                <w:sz w:val="20"/>
              </w:rPr>
              <w:t>800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Math</w:t>
            </w:r>
          </w:p>
        </w:tc>
        <w:tc>
          <w:tcPr>
            <w:tcW w:type="dxa" w:w="2376"/>
            <w:vAlign w:val="center"/>
            <w:tcMar>
              <w:top w:w="75" w:type="dxa"/>
              <w:bottom w:w="75" w:type="dxa"/>
              <w:left w:w="75" w:type="dxa"/>
              <w:right w:w="75" w:type="dxa"/>
            </w:tcMar>
          </w:tcPr>
          <w:p>
            <w:pPr>
              <w:spacing w:after="0" w:line="240" w:lineRule="auto"/>
              <w:jc w:val="center"/>
            </w:pPr>
            <w:r>
              <w:rPr>
                <w:b w:val="0"/>
                <w:sz w:val="20"/>
              </w:rPr>
              <w:t>500</w:t>
            </w:r>
          </w:p>
        </w:tc>
        <w:tc>
          <w:tcPr>
            <w:tcW w:type="dxa" w:w="2376"/>
            <w:vAlign w:val="center"/>
            <w:tcMar>
              <w:top w:w="75" w:type="dxa"/>
              <w:bottom w:w="75" w:type="dxa"/>
              <w:left w:w="75" w:type="dxa"/>
              <w:right w:w="75" w:type="dxa"/>
            </w:tcMar>
          </w:tcPr>
          <w:p>
            <w:pPr>
              <w:spacing w:after="0" w:line="240" w:lineRule="auto"/>
              <w:jc w:val="center"/>
            </w:pPr>
            <w:r>
              <w:rPr>
                <w:b w:val="0"/>
                <w:sz w:val="20"/>
              </w:rPr>
              <w:t>2,000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Grounded question answering</w:t>
            </w:r>
          </w:p>
        </w:tc>
        <w:tc>
          <w:tcPr>
            <w:tcW w:type="dxa" w:w="2376"/>
            <w:vAlign w:val="center"/>
            <w:tcMar>
              <w:top w:w="75" w:type="dxa"/>
              <w:bottom w:w="75" w:type="dxa"/>
              <w:left w:w="75" w:type="dxa"/>
              <w:right w:w="75" w:type="dxa"/>
            </w:tcMar>
          </w:tcPr>
          <w:p>
            <w:pPr>
              <w:spacing w:after="0" w:line="240" w:lineRule="auto"/>
              <w:jc w:val="center"/>
            </w:pPr>
            <w:r>
              <w:rPr>
                <w:b w:val="0"/>
                <w:sz w:val="20"/>
              </w:rPr>
              <w:t>500</w:t>
            </w:r>
          </w:p>
        </w:tc>
        <w:tc>
          <w:tcPr>
            <w:tcW w:type="dxa" w:w="2376"/>
            <w:vAlign w:val="center"/>
            <w:tcMar>
              <w:top w:w="75" w:type="dxa"/>
              <w:bottom w:w="75" w:type="dxa"/>
              <w:left w:w="75" w:type="dxa"/>
              <w:right w:w="75" w:type="dxa"/>
            </w:tcMar>
          </w:tcPr>
          <w:p>
            <w:pPr>
              <w:spacing w:after="0" w:line="240" w:lineRule="auto"/>
              <w:jc w:val="center"/>
            </w:pPr>
            <w:r>
              <w:rPr>
                <w:b w:val="0"/>
                <w:sz w:val="20"/>
              </w:rPr>
              <w:t>2,000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Extraction</w:t>
            </w:r>
          </w:p>
        </w:tc>
        <w:tc>
          <w:tcPr>
            <w:tcW w:type="dxa" w:w="2376"/>
            <w:vAlign w:val="center"/>
            <w:tcMar>
              <w:top w:w="75" w:type="dxa"/>
              <w:bottom w:w="75" w:type="dxa"/>
              <w:left w:w="75" w:type="dxa"/>
              <w:right w:w="75" w:type="dxa"/>
            </w:tcMar>
          </w:tcPr>
          <w:p>
            <w:pPr>
              <w:spacing w:after="0" w:line="240" w:lineRule="auto"/>
              <w:jc w:val="center"/>
            </w:pPr>
            <w:r>
              <w:rPr>
                <w:b w:val="0"/>
                <w:sz w:val="20"/>
              </w:rPr>
              <w:t>400</w:t>
            </w:r>
          </w:p>
        </w:tc>
        <w:tc>
          <w:tcPr>
            <w:tcW w:type="dxa" w:w="2376"/>
            <w:vAlign w:val="center"/>
            <w:tcMar>
              <w:top w:w="75" w:type="dxa"/>
              <w:bottom w:w="75" w:type="dxa"/>
              <w:left w:w="75" w:type="dxa"/>
              <w:right w:w="75" w:type="dxa"/>
            </w:tcMar>
          </w:tcPr>
          <w:p>
            <w:pPr>
              <w:spacing w:after="0" w:line="240" w:lineRule="auto"/>
              <w:jc w:val="center"/>
            </w:pPr>
            <w:r>
              <w:rPr>
                <w:b w:val="0"/>
                <w:sz w:val="20"/>
              </w:rPr>
              <w:t>1,600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Classification</w:t>
            </w:r>
          </w:p>
        </w:tc>
        <w:tc>
          <w:tcPr>
            <w:tcW w:type="dxa" w:w="2376"/>
            <w:vAlign w:val="center"/>
            <w:tcMar>
              <w:top w:w="75" w:type="dxa"/>
              <w:bottom w:w="75" w:type="dxa"/>
              <w:left w:w="75" w:type="dxa"/>
              <w:right w:w="75" w:type="dxa"/>
            </w:tcMar>
          </w:tcPr>
          <w:p>
            <w:pPr>
              <w:spacing w:after="0" w:line="240" w:lineRule="auto"/>
              <w:jc w:val="center"/>
            </w:pPr>
            <w:r>
              <w:rPr>
                <w:b w:val="0"/>
                <w:sz w:val="20"/>
              </w:rPr>
              <w:t>400</w:t>
            </w:r>
          </w:p>
        </w:tc>
        <w:tc>
          <w:tcPr>
            <w:tcW w:type="dxa" w:w="2376"/>
            <w:vAlign w:val="center"/>
            <w:tcMar>
              <w:top w:w="75" w:type="dxa"/>
              <w:bottom w:w="75" w:type="dxa"/>
              <w:left w:w="75" w:type="dxa"/>
              <w:right w:w="75" w:type="dxa"/>
            </w:tcMar>
          </w:tcPr>
          <w:p>
            <w:pPr>
              <w:spacing w:after="0" w:line="240" w:lineRule="auto"/>
              <w:jc w:val="center"/>
            </w:pPr>
            <w:r>
              <w:rPr>
                <w:b w:val="0"/>
                <w:sz w:val="20"/>
              </w:rPr>
              <w:t>1,600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Summarization</w:t>
            </w:r>
          </w:p>
        </w:tc>
        <w:tc>
          <w:tcPr>
            <w:tcW w:type="dxa" w:w="2376"/>
            <w:vAlign w:val="center"/>
            <w:tcMar>
              <w:top w:w="75" w:type="dxa"/>
              <w:bottom w:w="75" w:type="dxa"/>
              <w:left w:w="75" w:type="dxa"/>
              <w:right w:w="75" w:type="dxa"/>
            </w:tcMar>
          </w:tcPr>
          <w:p>
            <w:pPr>
              <w:spacing w:after="0" w:line="240" w:lineRule="auto"/>
              <w:jc w:val="center"/>
            </w:pPr>
            <w:r>
              <w:rPr>
                <w:b w:val="0"/>
                <w:sz w:val="20"/>
              </w:rPr>
              <w:t>400</w:t>
            </w:r>
          </w:p>
        </w:tc>
        <w:tc>
          <w:tcPr>
            <w:tcW w:type="dxa" w:w="2376"/>
            <w:vAlign w:val="center"/>
            <w:tcMar>
              <w:top w:w="75" w:type="dxa"/>
              <w:bottom w:w="75" w:type="dxa"/>
              <w:left w:w="75" w:type="dxa"/>
              <w:right w:w="75" w:type="dxa"/>
            </w:tcMar>
          </w:tcPr>
          <w:p>
            <w:pPr>
              <w:spacing w:after="0" w:line="240" w:lineRule="auto"/>
              <w:jc w:val="center"/>
            </w:pPr>
            <w:r>
              <w:rPr>
                <w:b w:val="0"/>
                <w:sz w:val="20"/>
              </w:rPr>
              <w:t>1,600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Tabular reasoning</w:t>
            </w:r>
          </w:p>
        </w:tc>
        <w:tc>
          <w:tcPr>
            <w:tcW w:type="dxa" w:w="2376"/>
            <w:vAlign w:val="center"/>
            <w:tcMar>
              <w:top w:w="75" w:type="dxa"/>
              <w:bottom w:w="75" w:type="dxa"/>
              <w:left w:w="75" w:type="dxa"/>
              <w:right w:w="75" w:type="dxa"/>
            </w:tcMar>
          </w:tcPr>
          <w:p>
            <w:pPr>
              <w:spacing w:after="0" w:line="240" w:lineRule="auto"/>
              <w:jc w:val="center"/>
            </w:pPr>
            <w:r>
              <w:rPr>
                <w:b w:val="0"/>
                <w:sz w:val="20"/>
              </w:rPr>
              <w:t>400</w:t>
            </w:r>
          </w:p>
        </w:tc>
        <w:tc>
          <w:tcPr>
            <w:tcW w:type="dxa" w:w="2376"/>
            <w:vAlign w:val="center"/>
            <w:tcMar>
              <w:top w:w="75" w:type="dxa"/>
              <w:bottom w:w="75" w:type="dxa"/>
              <w:left w:w="75" w:type="dxa"/>
              <w:right w:w="75" w:type="dxa"/>
            </w:tcMar>
          </w:tcPr>
          <w:p>
            <w:pPr>
              <w:spacing w:after="0" w:line="240" w:lineRule="auto"/>
              <w:jc w:val="center"/>
            </w:pPr>
            <w:r>
              <w:rPr>
                <w:b w:val="0"/>
                <w:sz w:val="20"/>
              </w:rPr>
              <w:t>1,600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Ideation</w:t>
            </w:r>
          </w:p>
        </w:tc>
        <w:tc>
          <w:tcPr>
            <w:tcW w:type="dxa" w:w="2376"/>
            <w:vAlign w:val="center"/>
            <w:tcMar>
              <w:top w:w="75" w:type="dxa"/>
              <w:bottom w:w="75" w:type="dxa"/>
              <w:left w:w="75" w:type="dxa"/>
              <w:right w:w="75" w:type="dxa"/>
            </w:tcMar>
          </w:tcPr>
          <w:p>
            <w:pPr>
              <w:spacing w:after="0" w:line="240" w:lineRule="auto"/>
              <w:jc w:val="center"/>
            </w:pPr>
            <w:r>
              <w:rPr>
                <w:b w:val="0"/>
                <w:sz w:val="20"/>
              </w:rPr>
              <w:t>200</w:t>
            </w:r>
          </w:p>
        </w:tc>
        <w:tc>
          <w:tcPr>
            <w:tcW w:type="dxa" w:w="2376"/>
            <w:vAlign w:val="center"/>
            <w:tcMar>
              <w:top w:w="75" w:type="dxa"/>
              <w:bottom w:w="75" w:type="dxa"/>
              <w:left w:w="75" w:type="dxa"/>
              <w:right w:w="75" w:type="dxa"/>
            </w:tcMar>
          </w:tcPr>
          <w:p>
            <w:pPr>
              <w:spacing w:after="0" w:line="240" w:lineRule="auto"/>
              <w:jc w:val="center"/>
            </w:pPr>
            <w:r>
              <w:rPr>
                <w:b w:val="0"/>
                <w:sz w:val="20"/>
              </w:rPr>
              <w:t>800</w:t>
            </w:r>
          </w:p>
        </w:tc>
      </w:tr>
      <w:tr>
        <w:trPr>
          <w:cantSplit/>
        </w:trPr>
        <w:tc>
          <w:tcPr>
            <w:tcW w:type="dxa" w:w="4896"/>
            <w:vAlign w:val="center"/>
            <w:tcMar>
              <w:top w:w="75" w:type="dxa"/>
              <w:bottom w:w="75" w:type="dxa"/>
              <w:left w:w="75" w:type="dxa"/>
              <w:right w:w="75" w:type="dxa"/>
            </w:tcMar>
          </w:tcPr>
          <w:p>
            <w:pPr>
              <w:spacing w:after="0" w:line="240" w:lineRule="auto"/>
            </w:pPr>
            <w:r>
              <w:rPr>
                <w:b w:val="0"/>
                <w:sz w:val="20"/>
              </w:rPr>
              <w:t>Total</w:t>
            </w:r>
          </w:p>
        </w:tc>
        <w:tc>
          <w:tcPr>
            <w:tcW w:type="dxa" w:w="2376"/>
            <w:vAlign w:val="center"/>
            <w:tcMar>
              <w:top w:w="75" w:type="dxa"/>
              <w:bottom w:w="75" w:type="dxa"/>
              <w:left w:w="75" w:type="dxa"/>
              <w:right w:w="75" w:type="dxa"/>
            </w:tcMar>
          </w:tcPr>
          <w:p>
            <w:pPr>
              <w:spacing w:after="0" w:line="240" w:lineRule="auto"/>
              <w:jc w:val="center"/>
            </w:pPr>
            <w:r>
              <w:rPr>
                <w:b w:val="0"/>
                <w:sz w:val="20"/>
              </w:rPr>
              <w:t>3,000</w:t>
            </w:r>
          </w:p>
        </w:tc>
        <w:tc>
          <w:tcPr>
            <w:tcW w:type="dxa" w:w="2376"/>
            <w:vAlign w:val="center"/>
            <w:tcMar>
              <w:top w:w="75" w:type="dxa"/>
              <w:bottom w:w="75" w:type="dxa"/>
              <w:left w:w="75" w:type="dxa"/>
              <w:right w:w="75" w:type="dxa"/>
            </w:tcMar>
          </w:tcPr>
          <w:p>
            <w:pPr>
              <w:spacing w:after="0" w:line="240" w:lineRule="auto"/>
              <w:jc w:val="center"/>
            </w:pPr>
            <w:r>
              <w:rPr>
                <w:b w:val="0"/>
                <w:sz w:val="20"/>
              </w:rPr>
              <w:t>12,000</w:t>
            </w:r>
          </w:p>
        </w:tc>
      </w:tr>
    </w:tbl>
    <w:p>
      <w:pPr>
        <w:spacing w:after="20"/>
      </w:pPr>
    </w:p>
    <w:p>
      <w:pPr>
        <w:pStyle w:val="Heading2"/>
      </w:pPr>
      <w:r>
        <w:t>Natural source-bearing input bands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5904"/>
      </w:tblGrid>
      <w:tr>
        <w:trPr>
          <w:tblHeader/>
          <w:cantSplit/>
        </w:trPr>
        <w:tc>
          <w:tcPr>
            <w:tcW w:type="dxa" w:w="3744"/>
            <w:vAlign w:val="center"/>
            <w:tcMar>
              <w:top w:w="75" w:type="dxa"/>
              <w:bottom w:w="75" w:type="dxa"/>
              <w:left w:w="75" w:type="dxa"/>
              <w:right w:w="75" w:type="dxa"/>
            </w:tcMar>
            <w:shd w:fill="E8EBEF"/>
          </w:tcPr>
          <w:p>
            <w:pPr>
              <w:spacing w:after="0" w:line="240" w:lineRule="auto"/>
            </w:pPr>
            <w:r>
              <w:rPr>
                <w:b/>
                <w:sz w:val="20"/>
              </w:rPr>
              <w:t>Tokens</w:t>
            </w:r>
          </w:p>
        </w:tc>
        <w:tc>
          <w:tcPr>
            <w:tcW w:type="dxa" w:w="5904"/>
            <w:vAlign w:val="center"/>
            <w:tcMar>
              <w:top w:w="75" w:type="dxa"/>
              <w:bottom w:w="75" w:type="dxa"/>
              <w:left w:w="75" w:type="dxa"/>
              <w:right w:w="75" w:type="dxa"/>
            </w:tcMar>
            <w:shd w:fill="E8EBEF"/>
          </w:tcPr>
          <w:p>
            <w:pPr>
              <w:spacing w:after="0" w:line="240" w:lineRule="auto"/>
            </w:pPr>
            <w:r>
              <w:rPr>
                <w:b/>
                <w:sz w:val="20"/>
              </w:rPr>
              <w:t>Selected groups</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At most 512</w:t>
            </w:r>
          </w:p>
        </w:tc>
        <w:tc>
          <w:tcPr>
            <w:tcW w:type="dxa" w:w="5904"/>
            <w:vAlign w:val="center"/>
            <w:tcMar>
              <w:top w:w="75" w:type="dxa"/>
              <w:bottom w:w="75" w:type="dxa"/>
              <w:left w:w="75" w:type="dxa"/>
              <w:right w:w="75" w:type="dxa"/>
            </w:tcMar>
          </w:tcPr>
          <w:p>
            <w:pPr>
              <w:spacing w:after="0" w:line="240" w:lineRule="auto"/>
            </w:pPr>
            <w:r>
              <w:rPr>
                <w:b w:val="0"/>
                <w:sz w:val="20"/>
              </w:rPr>
              <w:t>2,403</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513 to 2,048</w:t>
            </w:r>
          </w:p>
        </w:tc>
        <w:tc>
          <w:tcPr>
            <w:tcW w:type="dxa" w:w="5904"/>
            <w:vAlign w:val="center"/>
            <w:tcMar>
              <w:top w:w="75" w:type="dxa"/>
              <w:bottom w:w="75" w:type="dxa"/>
              <w:left w:w="75" w:type="dxa"/>
              <w:right w:w="75" w:type="dxa"/>
            </w:tcMar>
          </w:tcPr>
          <w:p>
            <w:pPr>
              <w:spacing w:after="0" w:line="240" w:lineRule="auto"/>
            </w:pPr>
            <w:r>
              <w:rPr>
                <w:b w:val="0"/>
                <w:sz w:val="20"/>
              </w:rPr>
              <w:t>266</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2,049 to 4,096</w:t>
            </w:r>
          </w:p>
        </w:tc>
        <w:tc>
          <w:tcPr>
            <w:tcW w:type="dxa" w:w="5904"/>
            <w:vAlign w:val="center"/>
            <w:tcMar>
              <w:top w:w="75" w:type="dxa"/>
              <w:bottom w:w="75" w:type="dxa"/>
              <w:left w:w="75" w:type="dxa"/>
              <w:right w:w="75" w:type="dxa"/>
            </w:tcMar>
          </w:tcPr>
          <w:p>
            <w:pPr>
              <w:spacing w:after="0" w:line="240" w:lineRule="auto"/>
            </w:pPr>
            <w:r>
              <w:rPr>
                <w:b w:val="0"/>
                <w:sz w:val="20"/>
              </w:rPr>
              <w:t>80</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4,097 to 8,192</w:t>
            </w:r>
          </w:p>
        </w:tc>
        <w:tc>
          <w:tcPr>
            <w:tcW w:type="dxa" w:w="5904"/>
            <w:vAlign w:val="center"/>
            <w:tcMar>
              <w:top w:w="75" w:type="dxa"/>
              <w:bottom w:w="75" w:type="dxa"/>
              <w:left w:w="75" w:type="dxa"/>
              <w:right w:w="75" w:type="dxa"/>
            </w:tcMar>
          </w:tcPr>
          <w:p>
            <w:pPr>
              <w:spacing w:after="0" w:line="240" w:lineRule="auto"/>
            </w:pPr>
            <w:r>
              <w:rPr>
                <w:b w:val="0"/>
                <w:sz w:val="20"/>
              </w:rPr>
              <w:t>251</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Total</w:t>
            </w:r>
          </w:p>
        </w:tc>
        <w:tc>
          <w:tcPr>
            <w:tcW w:type="dxa" w:w="5904"/>
            <w:vAlign w:val="center"/>
            <w:tcMar>
              <w:top w:w="75" w:type="dxa"/>
              <w:bottom w:w="75" w:type="dxa"/>
              <w:left w:w="75" w:type="dxa"/>
              <w:right w:w="75" w:type="dxa"/>
            </w:tcMar>
          </w:tcPr>
          <w:p>
            <w:pPr>
              <w:spacing w:after="0" w:line="240" w:lineRule="auto"/>
            </w:pPr>
            <w:r>
              <w:rPr>
                <w:b w:val="0"/>
                <w:sz w:val="20"/>
              </w:rPr>
              <w:t>3,000</w:t>
            </w:r>
          </w:p>
        </w:tc>
      </w:tr>
    </w:tbl>
    <w:p>
      <w:pPr>
        <w:spacing w:after="20"/>
      </w:pPr>
    </w:p>
    <w:p>
      <w:pPr>
        <w:pStyle w:val="Heading1"/>
      </w:pPr>
      <w:r>
        <w:t>Grouping partitions and model settings</w:t>
      </w:r>
    </w:p>
    <w:p>
      <w:r>
        <w:t>Before partition assignment, we grouped exact matches in normalized task text and source context and reviewed related variants. Exclusions propagated across related groups to avoid knowingly reusing earlier-study or integration-smoke material. Grouping reduced known overlap but could not rule out all semantic overlap or exposure during model pretraining.</w:t>
      </w:r>
    </w:p>
    <w:p>
      <w:r>
        <w:t>Groups were assigned deterministically within families using a SHA-256 ordering of a fixed partition prefix and group identifier. Training received 70% of groups, calibration 15%, and confirmation the remaining 15%, with deterministic residual allocation to meet exact counts. A separate fixed hash order set execution order within partitions. All four model/seed variants of a group stayed together. These assignments were reproducible rather than independent random draws from a target population.</w:t>
      </w:r>
    </w:p>
    <w:p>
      <w:r>
        <w:t>We used qwen2.5-coder:7b and qwen2.5-coder:14b with Q4_K_M quantization. Models were pinned by full runtime digests and served locally using a hash-pinned Linux Ollama 0.35.1 binary. Each task ran at seeds 440 and 441. At temperature zero, different seeds do not guarantee different outputs; the seed factor represents repeated execution under declared configurations, not assumed independent stochastic realizations.</w:t>
      </w:r>
    </w:p>
    <w:p>
      <w:r>
        <w:t>Confirmation outputs were stored separately. Integrity reporting exposed counts without releasing confirmation answers or quality outcomes. The exported analytic table contains training and calibration measurements only. Confirmation outcomes remained sealed at completion of collection. Frozen generation settings were not changed in response to task quality or repetition-limit failures.</w:t>
      </w:r>
    </w:p>
    <w:p>
      <w:pPr>
        <w:pStyle w:val="Heading2"/>
      </w:pPr>
      <w:r>
        <w:t>Generation and attempt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5904"/>
      </w:tblGrid>
      <w:tr>
        <w:trPr>
          <w:tblHeader/>
          <w:cantSplit/>
        </w:trPr>
        <w:tc>
          <w:tcPr>
            <w:tcW w:type="dxa" w:w="3744"/>
            <w:vAlign w:val="center"/>
            <w:tcMar>
              <w:top w:w="75" w:type="dxa"/>
              <w:bottom w:w="75" w:type="dxa"/>
              <w:left w:w="75" w:type="dxa"/>
              <w:right w:w="75" w:type="dxa"/>
            </w:tcMar>
            <w:shd w:fill="E8EBEF"/>
          </w:tcPr>
          <w:p>
            <w:pPr>
              <w:spacing w:after="0" w:line="240" w:lineRule="auto"/>
            </w:pPr>
            <w:r>
              <w:rPr>
                <w:b/>
                <w:sz w:val="20"/>
              </w:rPr>
              <w:t>Setting</w:t>
            </w:r>
          </w:p>
        </w:tc>
        <w:tc>
          <w:tcPr>
            <w:tcW w:type="dxa" w:w="5904"/>
            <w:vAlign w:val="center"/>
            <w:tcMar>
              <w:top w:w="75" w:type="dxa"/>
              <w:bottom w:w="75" w:type="dxa"/>
              <w:left w:w="75" w:type="dxa"/>
              <w:right w:w="75" w:type="dxa"/>
            </w:tcMar>
            <w:shd w:fill="E8EBEF"/>
          </w:tcPr>
          <w:p>
            <w:pPr>
              <w:spacing w:after="0" w:line="240" w:lineRule="auto"/>
            </w:pPr>
            <w:r>
              <w:rPr>
                <w:b/>
                <w:sz w:val="20"/>
              </w:rPr>
              <w:t>Value</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Temperature</w:t>
            </w:r>
          </w:p>
        </w:tc>
        <w:tc>
          <w:tcPr>
            <w:tcW w:type="dxa" w:w="5904"/>
            <w:vAlign w:val="center"/>
            <w:tcMar>
              <w:top w:w="75" w:type="dxa"/>
              <w:bottom w:w="75" w:type="dxa"/>
              <w:left w:w="75" w:type="dxa"/>
              <w:right w:w="75" w:type="dxa"/>
            </w:tcMar>
          </w:tcPr>
          <w:p>
            <w:pPr>
              <w:spacing w:after="0" w:line="240" w:lineRule="auto"/>
            </w:pPr>
            <w:r>
              <w:rPr>
                <w:b w:val="0"/>
                <w:sz w:val="20"/>
              </w:rPr>
              <w:t>0</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Seeds</w:t>
            </w:r>
          </w:p>
        </w:tc>
        <w:tc>
          <w:tcPr>
            <w:tcW w:type="dxa" w:w="5904"/>
            <w:vAlign w:val="center"/>
            <w:tcMar>
              <w:top w:w="75" w:type="dxa"/>
              <w:bottom w:w="75" w:type="dxa"/>
              <w:left w:w="75" w:type="dxa"/>
              <w:right w:w="75" w:type="dxa"/>
            </w:tcMar>
          </w:tcPr>
          <w:p>
            <w:pPr>
              <w:spacing w:after="0" w:line="240" w:lineRule="auto"/>
            </w:pPr>
            <w:r>
              <w:rPr>
                <w:b w:val="0"/>
                <w:sz w:val="20"/>
              </w:rPr>
              <w:t>440 and 441</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Context capacity</w:t>
            </w:r>
          </w:p>
        </w:tc>
        <w:tc>
          <w:tcPr>
            <w:tcW w:type="dxa" w:w="5904"/>
            <w:vAlign w:val="center"/>
            <w:tcMar>
              <w:top w:w="75" w:type="dxa"/>
              <w:bottom w:w="75" w:type="dxa"/>
              <w:left w:w="75" w:type="dxa"/>
              <w:right w:w="75" w:type="dxa"/>
            </w:tcMar>
          </w:tcPr>
          <w:p>
            <w:pPr>
              <w:spacing w:after="0" w:line="240" w:lineRule="auto"/>
            </w:pPr>
            <w:r>
              <w:rPr>
                <w:b w:val="0"/>
                <w:sz w:val="20"/>
              </w:rPr>
              <w:t>16,384 tokens</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Maximum output per request</w:t>
            </w:r>
          </w:p>
        </w:tc>
        <w:tc>
          <w:tcPr>
            <w:tcW w:type="dxa" w:w="5904"/>
            <w:vAlign w:val="center"/>
            <w:tcMar>
              <w:top w:w="75" w:type="dxa"/>
              <w:bottom w:w="75" w:type="dxa"/>
              <w:left w:w="75" w:type="dxa"/>
              <w:right w:w="75" w:type="dxa"/>
            </w:tcMar>
          </w:tcPr>
          <w:p>
            <w:pPr>
              <w:spacing w:after="0" w:line="240" w:lineRule="auto"/>
            </w:pPr>
            <w:r>
              <w:rPr>
                <w:b w:val="0"/>
                <w:sz w:val="20"/>
              </w:rPr>
              <w:t>1,024 tokens</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Maximum requests per attempt</w:t>
            </w:r>
          </w:p>
        </w:tc>
        <w:tc>
          <w:tcPr>
            <w:tcW w:type="dxa" w:w="5904"/>
            <w:vAlign w:val="center"/>
            <w:tcMar>
              <w:top w:w="75" w:type="dxa"/>
              <w:bottom w:w="75" w:type="dxa"/>
              <w:left w:w="75" w:type="dxa"/>
              <w:right w:w="75" w:type="dxa"/>
            </w:tcMar>
          </w:tcPr>
          <w:p>
            <w:pPr>
              <w:spacing w:after="0" w:line="240" w:lineRule="auto"/>
            </w:pPr>
            <w:r>
              <w:rPr>
                <w:b w:val="0"/>
                <w:sz w:val="20"/>
              </w:rPr>
              <w:t>6</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Top-p and top-k</w:t>
            </w:r>
          </w:p>
        </w:tc>
        <w:tc>
          <w:tcPr>
            <w:tcW w:type="dxa" w:w="5904"/>
            <w:vAlign w:val="center"/>
            <w:tcMar>
              <w:top w:w="75" w:type="dxa"/>
              <w:bottom w:w="75" w:type="dxa"/>
              <w:left w:w="75" w:type="dxa"/>
              <w:right w:w="75" w:type="dxa"/>
            </w:tcMar>
          </w:tcPr>
          <w:p>
            <w:pPr>
              <w:spacing w:after="0" w:line="240" w:lineRule="auto"/>
            </w:pPr>
            <w:r>
              <w:rPr>
                <w:b w:val="0"/>
                <w:sz w:val="20"/>
              </w:rPr>
              <w:t>0.9 and 40</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Repeat penalty</w:t>
            </w:r>
          </w:p>
        </w:tc>
        <w:tc>
          <w:tcPr>
            <w:tcW w:type="dxa" w:w="5904"/>
            <w:vAlign w:val="center"/>
            <w:tcMar>
              <w:top w:w="75" w:type="dxa"/>
              <w:bottom w:w="75" w:type="dxa"/>
              <w:left w:w="75" w:type="dxa"/>
              <w:right w:w="75" w:type="dxa"/>
            </w:tcMar>
          </w:tcPr>
          <w:p>
            <w:pPr>
              <w:spacing w:after="0" w:line="240" w:lineRule="auto"/>
            </w:pPr>
            <w:r>
              <w:rPr>
                <w:b w:val="0"/>
                <w:sz w:val="20"/>
              </w:rPr>
              <w:t>1.0</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Response format</w:t>
            </w:r>
          </w:p>
        </w:tc>
        <w:tc>
          <w:tcPr>
            <w:tcW w:type="dxa" w:w="5904"/>
            <w:vAlign w:val="center"/>
            <w:tcMar>
              <w:top w:w="75" w:type="dxa"/>
              <w:bottom w:w="75" w:type="dxa"/>
              <w:left w:w="75" w:type="dxa"/>
              <w:right w:w="75" w:type="dxa"/>
            </w:tcMar>
          </w:tcPr>
          <w:p>
            <w:pPr>
              <w:spacing w:after="0" w:line="240" w:lineRule="auto"/>
            </w:pPr>
            <w:r>
              <w:rPr>
                <w:b w:val="0"/>
                <w:sz w:val="20"/>
              </w:rPr>
              <w:t>JSON</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Attempt deadline</w:t>
            </w:r>
          </w:p>
        </w:tc>
        <w:tc>
          <w:tcPr>
            <w:tcW w:type="dxa" w:w="5904"/>
            <w:vAlign w:val="center"/>
            <w:tcMar>
              <w:top w:w="75" w:type="dxa"/>
              <w:bottom w:w="75" w:type="dxa"/>
              <w:left w:w="75" w:type="dxa"/>
              <w:right w:w="75" w:type="dxa"/>
            </w:tcMar>
          </w:tcPr>
          <w:p>
            <w:pPr>
              <w:spacing w:after="0" w:line="240" w:lineRule="auto"/>
            </w:pPr>
            <w:r>
              <w:rPr>
                <w:b w:val="0"/>
                <w:sz w:val="20"/>
              </w:rPr>
              <w:t>1,800 seconds</w:t>
            </w:r>
          </w:p>
        </w:tc>
      </w:tr>
      <w:tr>
        <w:trPr>
          <w:cantSplit/>
        </w:trPr>
        <w:tc>
          <w:tcPr>
            <w:tcW w:type="dxa" w:w="3744"/>
            <w:vAlign w:val="center"/>
            <w:tcMar>
              <w:top w:w="75" w:type="dxa"/>
              <w:bottom w:w="75" w:type="dxa"/>
              <w:left w:w="75" w:type="dxa"/>
              <w:right w:w="75" w:type="dxa"/>
            </w:tcMar>
          </w:tcPr>
          <w:p>
            <w:pPr>
              <w:spacing w:after="0" w:line="240" w:lineRule="auto"/>
            </w:pPr>
            <w:r>
              <w:rPr>
                <w:b w:val="0"/>
                <w:sz w:val="20"/>
              </w:rPr>
              <w:t>Transport timeout per request</w:t>
            </w:r>
          </w:p>
        </w:tc>
        <w:tc>
          <w:tcPr>
            <w:tcW w:type="dxa" w:w="5904"/>
            <w:vAlign w:val="center"/>
            <w:tcMar>
              <w:top w:w="75" w:type="dxa"/>
              <w:bottom w:w="75" w:type="dxa"/>
              <w:left w:w="75" w:type="dxa"/>
              <w:right w:w="75" w:type="dxa"/>
            </w:tcMar>
          </w:tcPr>
          <w:p>
            <w:pPr>
              <w:spacing w:after="0" w:line="240" w:lineRule="auto"/>
            </w:pPr>
            <w:r>
              <w:rPr>
                <w:b w:val="0"/>
                <w:sz w:val="20"/>
              </w:rPr>
              <w:t>At most 480 seconds, bounded by remaining attempt time</w:t>
            </w:r>
          </w:p>
        </w:tc>
      </w:tr>
    </w:tbl>
    <w:p>
      <w:pPr>
        <w:spacing w:after="20"/>
      </w:pPr>
    </w:p>
    <w:p>
      <w:pPr>
        <w:pStyle w:val="Heading1"/>
      </w:pPr>
      <w:r>
        <w:t>Execution workflow and compute environment</w:t>
      </w:r>
    </w:p>
    <w:p>
      <w:r>
        <w:t>The campaign used a native Python controller with typed actions. The earlier SWE-agent bridge was not the main research controller. A fixed system instruction required one JSON object containing action, answer, code, and expression fields. Available operations depended on the task family.</w:t>
      </w:r>
    </w:p>
    <w:p>
      <w:r>
        <w:t>For contextual tasks, the controller required context to be read before accepting a finish action. Math tasks could use a bounded arithmetic tool where permitted. In coding tasks, the model wrote complete source to solution.py. An accepted finish required tests to have run after the most recent accepted write, with execution recorded in a tool observation. An attempt could reach the request cap without finishing successfully and still have complete token telemetry.</w:t>
      </w:r>
    </w:p>
    <w:p>
      <w:r>
        <w:t>The controller appended model responses and tool observations to conversation history. Retrieved source context was preserved in full; other observations were subject to the declared observation bound. Model-written code was capped at 16,384 bytes. Coding checks ran in the staged Apptainer image and retained command, output, result, and startup-marker evidence. Tests were limited to 30 seconds and the remaining attempt time. The worker checked that supplied tests remained unchanged.</w:t>
      </w:r>
    </w:p>
    <w:p>
      <w:r>
        <w:t>Inference ran on allocated Penn State Roar GPU compute nodes through Slurm. The launch comprised 28 shards, each containing one model/seed configuration: 20 training shards of 420 assignments, four calibration shards of 450, and four confirmation shards of 450. Original jobs requested one V100 GPU, four CPU cores, 32 GB RAM, and four hours, with at most two concurrent jobs. The final two continuation array tasks both completed with exit code 0:0.</w:t>
      </w:r>
    </w:p>
    <w:p>
      <w:r>
        <w:t>Each shard started its own inference server on a loopback endpoint. The transport validated the destination, disabled inherited HTTP proxy handling, checked the model digest, and issued a warmup request. Residency checks required the model to remain fully on the GPU with a 16,384-token context before and during collection. Warmup requests were operational checks and were excluded from research attempts.</w:t>
      </w:r>
    </w:p>
    <w:p>
      <w:r>
        <w:t>Integration checks tested the isolated network namespace and writable per-attempt workspace. Batch execution cleared inherited container bind overrides. Local inference avoided paid hosted-model API calls but still consumed Roar compute resources. Allocation or billing usage is separate from token usage; the experiment did not directly measure energy or dollar cost.</w:t>
      </w:r>
    </w:p>
    <w:p>
      <w:pPr>
        <w:pStyle w:val="Heading1"/>
      </w:pPr>
      <w:r>
        <w:t>Freeze evidence and integrity audit</w:t>
      </w:r>
    </w:p>
    <w:p>
      <w:r>
        <w:t>Before research collection, a 52-attempt smoke campaign tested the expanded sources and runtime integration. Its replayed audit reconciled response counters with payload evidence, tokenizer checks, GPU residency, and tool execution. These runs were excluded from the research sample and did not establish predictive accuracy.</w:t>
      </w:r>
    </w:p>
    <w:p>
      <w:r>
        <w:t>The research freeze saved task and configuration snapshots, deterministic assignments, source/tokenizer input fingerprints, and hashes of executable Python files and batch scripts. A separate receipt pinned the research manifest hash. Before executing a shard, collection validated the freeze and recomputed assignments. Runtime checks also verified model and container hashes. Original frozen code and evidence were preserved during continuation.</w:t>
      </w:r>
    </w:p>
    <w:p>
      <w:r>
        <w:t>For each inference request, the transport saved the serialized request payload and original response bytes. Accepted responses had to identify the expected model, indicate completion, contain string message content, and supply nonnegative integer input/output counters with a positive input count. An append-only ledger recorded request indices, counters, predicted input counts, response and payload hashes, and residency evidence when available.</w:t>
      </w:r>
    </w:p>
    <w:p>
      <w:r>
        <w:t>The strict audit reconciled manifest assignments with report and assignment metadata. It required one to six sequential ledger entries and the matching request-evidence directories. It checked raw-response and payload hashes, expected model and request settings, raw usage counters against ledger counters, and report input/output totals against ledger sums. Reports had to mark telemetry complete.</w:t>
      </w:r>
    </w:p>
    <w:p>
      <w:r>
        <w:t>Tool checks verified command and output hashes and consistency between recorded startup evidence and the startup marker in output. Unknown run identifiers, altered evidence, incomplete request records, missing counters, or retained failure records prevented admission as a complete measurement. Failing a benchmark quality check alone did not exclude an otherwise complete token measurement.</w:t>
      </w:r>
    </w:p>
    <w:p>
      <w:r>
        <w:t>Consolidation combined original and continuation evidence by run ID. Links resolving to the same evidence directory were counted once; distinct conflicting evidence locations were not silently combined. Complete reports were checked through the original strict audit. Failed attempts remained in a separate registry and in the full assignment disposition table. Campaign reconciliation passed with all 12,000 planned IDs accounted for.</w:t>
      </w:r>
    </w:p>
    <w:p>
      <w:r>
        <w:t>The final exported archive was checked against its recorded SHA-256 hashes. The visible table contains 10,196 unique run IDs, and the disposition table contains 12,000 unique assignment IDs. Export checks found no input/output token-arithmetic discrepancies or task groups crossing partitions. These export checks supplement the Roar evidence audit; the archive itself does not contain the underlying request traces.</w:t>
      </w:r>
    </w:p>
    <w:p>
      <w:pPr>
        <w:pStyle w:val="Heading1"/>
      </w:pPr>
      <w:r>
        <w:t>Runtime failures and missing measurements</w:t>
      </w:r>
    </w:p>
    <w:p>
      <w:r>
        <w:t>The original fail-fast collector stopped two training shards after each had completed 309 assignments. In each failed attempt, the second-request HTTP error body stated “prediction aborted, token repeat limit reached.” Generation had begun, but no complete usage counters were returned for that request. The first request retained complete response and ledger evidence; the second retained its payload and error body.</w:t>
      </w:r>
    </w:p>
    <w:p>
      <w:r>
        <w:t>An external continuation directory preserved the original manifest and linked to audited completed evidence. It excluded the original failed assignments and scheduled only previously unstarted assignments. After the same error recurred on two more assignments, a documented amendment allowed continuation only after an HTTP 500 backed by the exact saved repetition-limit error, matching assignment metadata, and a retained incomplete-telemetry failure record. Other errors still stopped collection.</w:t>
      </w:r>
    </w:p>
    <w:p>
      <w:r>
        <w:t>The amendment was outside the frozen source. It changed whether this known failure halted the rest of a shard; it did not change generation settings, reconstruct counters, or authorize retries. Failed assignments were not retried, and completed attempts were not rerun to obtain preferred outcomes. The failure registry retained evidence paths and file hashes. The launcher supplied the actual Slurm deadline to the existing clean-stop logic.</w:t>
      </w:r>
    </w:p>
    <w:p>
      <w:r>
        <w:t>All four retained failures belonged to training and involved the 7B model: the same GovReport summarization task and TabFact tabular task failed at both seeds. The summarization task was in the 4,097–8,192-token input band; the tabular task was in the 513–2,048-token band. Both corresponding 14B measurements remained available for each task group. No missing token outcomes were imputed.</w:t>
      </w:r>
    </w:p>
    <w:p>
      <w:r>
        <w:t>Complete counters from earlier requests were partial observations, not full-attempt totals. We did not replace unknown totals with partial sums, zero, counterpart model/seed values, or estimates from console generation rates. The complete-case token table excludes these four attempts. The disposition table preserves them without assigning token totals.</w:t>
      </w:r>
    </w:p>
    <w:p>
      <w:r>
        <w:t>Training contains 2,098 groups with all four measurements and two groups with only the two 14B measurements. All 450 calibration groups and all 450 confirmation groups have complete four-assignment coverage. Analyses requiring all four measurements must use the eligible complete groups; observed counterparts remain usable for analyses whose inclusion rules they satisfy.</w:t>
      </w:r>
    </w:p>
    <w:p>
      <w:r>
        <w:t>The failures are concentrated by task and model, so their small overall count does not establish random missingness. Complete-case analysis may underrepresent repetition-prone task/model combinations. Paired analyses must report the number of fully observed pairs or groups alongside run counts. Missingness weighting or outcome imputation would require a separate justified analysis protocol.</w:t>
      </w:r>
    </w:p>
    <w:p>
      <w:pPr>
        <w:pStyle w:val="Heading1"/>
      </w:pPr>
      <w:r>
        <w:t>Diagnostic quality and analysis boundaries</w:t>
      </w:r>
    </w:p>
    <w:p>
      <w:r>
        <w:t>Token measurement was the primary purpose of collection. Coding quality used supplied-check outcomes; math used a numeric comparison with the stored reference. Tabular tasks used normalized label agreement and a format indicator. Other families used reference-token-overlap F1 as a diagnostic measure. These scores are not interchangeable across families. Reference overlap does not establish semantic correctness or summary quality, and source references may contain ambiguities or errors.</w:t>
      </w:r>
    </w:p>
    <w:p>
      <w:r>
        <w:t>Among the 10,196 exported training/calibration attempts, 9,090 terminated as completed and 1,106 at the six-request cap. Both categories retained complete telemetry. A completed termination label is not itself a claim of correct task performance. A request-limit token total measures demand under the bounded policy, not eventual usage under an unlimited workflow.</w:t>
      </w:r>
    </w:p>
    <w:p>
      <w:r>
        <w:t>The exported math subset recorded 30 passing numeric-reference checks among 1,700 attempts. This low pass count remains a diagnostic concern: model behavior, answer formatting, or evaluator limitations could contribute. It does not identify the cause or invalidate token measurements that passed the integrity audit. Task-accuracy conclusions require a separate evaluator investigation.</w:t>
      </w:r>
    </w:p>
    <w:p>
      <w:r>
        <w:t>For the visible training/calibration data, cumulative total usage had a median of 598.5 tokens and ranged from 132 to 50,239 tokens. These summaries exclude the four failed attempts and all confirmation outcomes. They describe the collected bounded workflows, not a representative distribution of all AI workloads.</w:t>
      </w:r>
    </w:p>
    <w:p>
      <w:r>
        <w:t>The dataset supports comparisons of cumulative token demand within the fixed runtime, source selection, and controller policy. It does not directly measure general-purpose agent performance, API-dollar cost, or energy consumption. Runtime duration was recorded, but interpretation must account for warmup, caching, hardware, and scheduling. Pairing tasks across models does not establish general causal effects of model architecture.</w:t>
      </w:r>
    </w:p>
    <w:p>
      <w:r>
        <w:t>For prediction before execution, features must be available before the attempt begins. Task family, declared model configuration, and source-bearing input size are candidate inputs whose provenance must be preserved. Realized request counts, generated tokens, termination, quality outcomes, response telemetry, and latency are post-execution variables and must not enter such a predictor. Complexity remains unrated.</w:t>
      </w:r>
    </w:p>
    <w:p>
      <w:r>
        <w:t>Downstream validation must keep task groups together and fit preprocessing within training folds. Calibration has a separate role from model selection; confirmation outcomes must remain sealed until the evaluation procedure is fixed. Collection completion does not establish completion of calibration or final predictive evaluation. Prediction experiments and uncertainty-calibration results belong in a separate analysis report.</w:t>
      </w:r>
    </w:p>
    <w:p>
      <w:r>
        <w:br w:type="page"/>
      </w:r>
    </w:p>
    <w:p>
      <w:pPr>
        <w:pStyle w:val="Heading1"/>
      </w:pPr>
      <w:r>
        <w:t>Reproducibility record</w:t>
      </w:r>
    </w:p>
    <w:p>
      <w:r>
        <w:t>The research manifest identifies this collection independently of its smoke campaign. Its SHA-256 is recorded below together with the staged runtime identifiers. These runtime pins describe the collection configuration; the exported table hashes identify the final analysis files.</w:t>
      </w:r>
    </w:p>
    <w:p>
      <w:r>
        <w:t>The final archive contains assignment_dispositions.csv, audited_visible_runs.csv, audit_summary.json, and export_hashes.json. The disposition table records all planned assignments and their evidence paths. The visible table contains only audited complete training/calibration runs. Confirmation measurement outcomes are absent from that table and remain on Roar.</w:t>
      </w:r>
    </w:p>
    <w:p>
      <w:r>
        <w:t>Full reproducibility also depends on the original and continuation manifests, freeze receipts, task/configuration snapshots, source registry, grouping and review decisions, raw requests/responses, ledgers, tool evidence, and failure registry. These trace-level artifacts remain separate from the exported archive. Dataset redistribution must follow the source licenses and carry source provenance and citations.</w:t>
      </w:r>
    </w:p>
    <w:p>
      <w:pPr>
        <w:keepNext/>
        <w:spacing w:after="20"/>
      </w:pPr>
      <w:r>
        <w:rPr>
          <w:b/>
        </w:rPr>
        <w:t>Research manifest SHA-256</w:t>
      </w:r>
    </w:p>
    <w:p>
      <w:pPr>
        <w:spacing w:after="140"/>
      </w:pPr>
      <w:r>
        <w:rPr>
          <w:rFonts w:ascii="Courier New" w:hAnsi="Courier New"/>
          <w:sz w:val="16"/>
        </w:rPr>
        <w:t>ee380785a4222add8b4177f267a758a26265851138c1ca8c89ab35cf3977a828</w:t>
      </w:r>
    </w:p>
    <w:p>
      <w:pPr>
        <w:keepNext/>
        <w:spacing w:after="20"/>
      </w:pPr>
      <w:r>
        <w:rPr>
          <w:b/>
        </w:rPr>
        <w:t>Ollama</w:t>
      </w:r>
    </w:p>
    <w:p>
      <w:pPr>
        <w:spacing w:after="140"/>
      </w:pPr>
      <w:r>
        <w:rPr>
          <w:rFonts w:ascii="Courier New" w:hAnsi="Courier New"/>
          <w:sz w:val="16"/>
        </w:rPr>
        <w:t>0.35.1</w:t>
      </w:r>
    </w:p>
    <w:p>
      <w:pPr>
        <w:keepNext/>
        <w:spacing w:after="20"/>
      </w:pPr>
      <w:r>
        <w:rPr>
          <w:b/>
        </w:rPr>
        <w:t>Ollama binary SHA-256</w:t>
      </w:r>
    </w:p>
    <w:p>
      <w:pPr>
        <w:spacing w:after="140"/>
      </w:pPr>
      <w:r>
        <w:rPr>
          <w:rFonts w:ascii="Courier New" w:hAnsi="Courier New"/>
          <w:sz w:val="16"/>
        </w:rPr>
        <w:t>8fd655c8fde7b524dc3a64ae1006f9e8d0344dec93b1796fc9f87b7c5179fbb9</w:t>
      </w:r>
    </w:p>
    <w:p>
      <w:pPr>
        <w:keepNext/>
        <w:spacing w:after="20"/>
      </w:pPr>
      <w:r>
        <w:rPr>
          <w:b/>
        </w:rPr>
        <w:t>7B model digest</w:t>
      </w:r>
    </w:p>
    <w:p>
      <w:pPr>
        <w:spacing w:after="140"/>
      </w:pPr>
      <w:r>
        <w:rPr>
          <w:rFonts w:ascii="Courier New" w:hAnsi="Courier New"/>
          <w:sz w:val="16"/>
        </w:rPr>
        <w:t>dae161e27b0e90dd1856c8bb3209201fd6736d8eb66298e75ed87571486f4364</w:t>
      </w:r>
    </w:p>
    <w:p>
      <w:pPr>
        <w:keepNext/>
        <w:spacing w:after="20"/>
      </w:pPr>
      <w:r>
        <w:rPr>
          <w:b/>
        </w:rPr>
        <w:t>14B model digest</w:t>
      </w:r>
    </w:p>
    <w:p>
      <w:pPr>
        <w:spacing w:after="140"/>
      </w:pPr>
      <w:r>
        <w:rPr>
          <w:rFonts w:ascii="Courier New" w:hAnsi="Courier New"/>
          <w:sz w:val="16"/>
        </w:rPr>
        <w:t>9ec8897f747e246e970bc5cfdda85d22f1123dc2e3d34978a010a75968716849</w:t>
      </w:r>
    </w:p>
    <w:p>
      <w:pPr>
        <w:keepNext/>
        <w:spacing w:after="20"/>
      </w:pPr>
      <w:r>
        <w:rPr>
          <w:b/>
        </w:rPr>
        <w:t>Staged tool image SHA-256</w:t>
      </w:r>
    </w:p>
    <w:p>
      <w:pPr>
        <w:spacing w:after="140"/>
      </w:pPr>
      <w:r>
        <w:rPr>
          <w:rFonts w:ascii="Courier New" w:hAnsi="Courier New"/>
          <w:sz w:val="16"/>
        </w:rPr>
        <w:t>e190e63838e86f553c4a56605cb811b8a5c2b704e40efd4ad1411d107430069c</w:t>
      </w:r>
    </w:p>
    <w:p>
      <w:pPr>
        <w:keepNext/>
        <w:spacing w:after="20"/>
      </w:pPr>
      <w:r>
        <w:rPr>
          <w:b/>
        </w:rPr>
        <w:t>Expanded-source smoke manifest SHA-256</w:t>
      </w:r>
    </w:p>
    <w:p>
      <w:pPr>
        <w:spacing w:after="140"/>
      </w:pPr>
      <w:r>
        <w:rPr>
          <w:rFonts w:ascii="Courier New" w:hAnsi="Courier New"/>
          <w:sz w:val="16"/>
        </w:rPr>
        <w:t>f77c9cf774d286c2c970fbc6b9e92b42bd290f15d3f3aa9353b8ae714a239193</w:t>
      </w:r>
    </w:p>
    <w:p>
      <w:pPr>
        <w:keepNext/>
        <w:spacing w:after="20"/>
      </w:pPr>
      <w:r>
        <w:rPr>
          <w:b/>
        </w:rPr>
        <w:t>assignment_dispositions.csv SHA-256</w:t>
      </w:r>
    </w:p>
    <w:p>
      <w:pPr>
        <w:spacing w:after="140"/>
      </w:pPr>
      <w:r>
        <w:rPr>
          <w:rFonts w:ascii="Courier New" w:hAnsi="Courier New"/>
          <w:sz w:val="16"/>
        </w:rPr>
        <w:t>7dd084f3726b4ea2ce9087fa0caec3391e4ed685746e8f789f852513105ddd57</w:t>
      </w:r>
    </w:p>
    <w:p>
      <w:pPr>
        <w:keepNext/>
        <w:spacing w:after="20"/>
      </w:pPr>
      <w:r>
        <w:rPr>
          <w:b/>
        </w:rPr>
        <w:t>audit_summary.json SHA-256</w:t>
      </w:r>
    </w:p>
    <w:p>
      <w:pPr>
        <w:spacing w:after="140"/>
      </w:pPr>
      <w:r>
        <w:rPr>
          <w:rFonts w:ascii="Courier New" w:hAnsi="Courier New"/>
          <w:sz w:val="16"/>
        </w:rPr>
        <w:t>4de849c366d591429b301a58fac5a7abaa843649be07bc89d0525b5a8f839013</w:t>
      </w:r>
    </w:p>
    <w:p>
      <w:pPr>
        <w:keepNext/>
        <w:spacing w:after="20"/>
      </w:pPr>
      <w:r>
        <w:rPr>
          <w:b/>
        </w:rPr>
        <w:t>audited_visible_runs.csv SHA-256</w:t>
      </w:r>
    </w:p>
    <w:p>
      <w:pPr>
        <w:spacing w:after="140"/>
      </w:pPr>
      <w:r>
        <w:rPr>
          <w:rFonts w:ascii="Courier New" w:hAnsi="Courier New"/>
          <w:sz w:val="16"/>
        </w:rPr>
        <w:t>1af589092f4f4a4c83e6948e80f89c83352bb57e3e4c6677d4ec46d4da90e291</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120"/>
      <w:outlineLvl w:val="1"/>
    </w:pPr>
    <w:rPr>
      <w:rFonts w:asciiTheme="majorHAnsi" w:eastAsiaTheme="majorEastAsia" w:hAnsiTheme="majorHAnsi" w:cstheme="majorBidi" w:ascii="Cambria" w:hAnsi="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00"/>
      <w:contextualSpacing/>
    </w:pPr>
    <w:rPr>
      <w:rFonts w:asciiTheme="majorHAnsi" w:eastAsiaTheme="majorEastAsia" w:hAnsiTheme="majorHAnsi" w:cstheme="majorBidi" w:ascii="Cambria" w:hAnsi="Cambria"/>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20"/>
    </w:pPr>
    <w:rPr>
      <w:rFonts w:asciiTheme="majorHAnsi" w:eastAsiaTheme="majorEastAsia" w:hAnsiTheme="majorHAnsi" w:cstheme="majorBidi" w:ascii="Cambria" w:hAnsi="Cambr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TrueCost final data collection methods</dc:title>
  <dc:subject>Completed local token usage data collection methods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