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Research Highlights</w:t>
      </w:r>
    </w:p>
    <w:p>
      <w:r>
        <w:t>Manuscript Title: A High-Resolution Finite-Difference Benchmark for Steady Continuation and Hopf Bifurcation Dynamics up to Extreme Reynolds Numbers (Re = 100,000) in 2D Lid-Driven Cavity Flows</w:t>
      </w:r>
    </w:p>
    <w:p>
      <w:r>
        <w:t>Author: Kartikey Singh (Department of Mathematics, University of Delhi, Delhi, India)</w:t>
      </w:r>
    </w:p>
    <w:p>
      <w:r>
        <w:t>Target Journal: Computers &amp; Fluids (Elsevier)</w:t>
        <w:br/>
      </w:r>
    </w:p>
    <w:p>
      <w:pPr>
        <w:pStyle w:val="ListBullet"/>
      </w:pPr>
      <w:r>
        <w:t>Exact O(N^2 log N) DST-I Poisson solver eliminates iterative residual drift.</w:t>
      </w:r>
    </w:p>
    <w:p>
      <w:pPr>
        <w:pStyle w:val="ListBullet"/>
      </w:pPr>
      <w:r>
        <w:t>Pure central differencing achieves zero numerical viscosity up to Re = 50,000.</w:t>
      </w:r>
    </w:p>
    <w:p>
      <w:pPr>
        <w:pStyle w:val="ListBullet"/>
      </w:pPr>
      <w:r>
        <w:t>- Interior hybrid scheme regularizes corner singularity at Re = 100,000 on 1025x1025.</w:t>
      </w:r>
    </w:p>
    <w:p>
      <w:pPr>
        <w:pStyle w:val="ListBullet"/>
      </w:pPr>
      <w:r>
        <w:t>Asymptotic core vorticity plateau confirms Batchelor's theorem at high Re.</w:t>
      </w:r>
    </w:p>
    <w:p>
      <w:pPr>
        <w:pStyle w:val="ListBullet"/>
      </w:pPr>
      <w:r>
        <w:t>Time-accurate 513x513 marching resolves limit cycles and unsteady dynamics.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