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Research Highlights</w:t>
      </w:r>
    </w:p>
    <w:p>
      <w:r>
        <w:t>Title: A High-Resolution Finite-Difference Benchmark for Steady Continuation and Hopf Bifurcation Dynamics up to Extreme Reynolds Numbers (Re = 100,000) in 2D Lid-Driven Cavity Flows</w:t>
      </w:r>
    </w:p>
    <w:p>
      <w:r>
        <w:t>Author: Kartikey Singh (ORCID: 0009-0009-1973-7532)</w:t>
      </w:r>
    </w:p>
    <w:p>
      <w:r>
        <w:t>Journal: Computers &amp; Fluids (Elsevier)</w:t>
      </w:r>
    </w:p>
    <w:p/>
    <w:p>
      <w:pPr>
        <w:pStyle w:val="ListBullet"/>
      </w:pPr>
      <w:r>
        <w:t>Exact O(N^2 log N) DST-I Poisson solver eliminates iterative residual drift.</w:t>
      </w:r>
    </w:p>
    <w:p>
      <w:pPr>
        <w:pStyle w:val="ListBullet"/>
      </w:pPr>
      <w:r>
        <w:t>Pure central differencing achieves zero artificial viscosity up to Re = 50,000.</w:t>
      </w:r>
    </w:p>
    <w:p>
      <w:pPr>
        <w:pStyle w:val="ListBullet"/>
      </w:pPr>
      <w:r>
        <w:t>Localized hybrid scheme regularizes corner shocks at Re = 100,000 on 1025 x 1025.</w:t>
      </w:r>
    </w:p>
    <w:p>
      <w:pPr>
        <w:pStyle w:val="ListBullet"/>
      </w:pPr>
      <w:r>
        <w:t>Symmetric core convergence confirms Batchelor's asymptotic theorem at high Re.</w:t>
      </w:r>
    </w:p>
    <w:p>
      <w:pPr>
        <w:pStyle w:val="ListBullet"/>
      </w:pPr>
      <w:r>
        <w:t>Time-accurate 513 x 513 marching maps Hopf bifurcation cascades to Re = 100,000.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