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Highlights</w:t>
      </w:r>
    </w:p>
    <w:p>
      <w:r>
        <w:t>Manuscript Title: A High-Resolution Finite-Difference Framework for Steady Continuation and Finite-Window Unsteady Dynamics up to Re = 100,000 in 2D Lid-Driven Cavity Flows</w:t>
      </w:r>
    </w:p>
    <w:p>
      <w:r>
        <w:t>Author: Kartikeya Gangwar (Department of Mathematics, University of Delhi, Delhi, 110007, India)</w:t>
      </w:r>
    </w:p>
    <w:p>
      <w:r>
        <w:t>ORCID: https://orcid.org/0009-0009-1973-7532</w:t>
      </w:r>
    </w:p>
    <w:p>
      <w:r>
        <w:t>Target Journal: Applied Mathematical Modelling (Elsevier)</w:t>
      </w:r>
    </w:p>
    <w:p>
      <w:r>
        <w:t>Highlights (Each bullet strictly &lt;= 85 characters including spaces):</w:t>
      </w:r>
    </w:p>
    <w:p>
      <w:pPr>
        <w:pStyle w:val="ListBullet"/>
      </w:pPr>
      <w:r>
        <w:t>Exact O(N^2 log N) DST-I Poisson solver eliminates iterative residual drift.</w:t>
      </w:r>
    </w:p>
    <w:p>
      <w:pPr>
        <w:pStyle w:val="ListBullet"/>
      </w:pPr>
      <w:r>
        <w:t>Pure central differencing retains zero numerical viscosity for Re &lt;= 50,000.</w:t>
      </w:r>
    </w:p>
    <w:p>
      <w:pPr>
        <w:pStyle w:val="ListBullet"/>
      </w:pPr>
      <w:r>
        <w:t>Interior hybrid scheme stabilizes corner singularity at Re = 100,000.</w:t>
      </w:r>
    </w:p>
    <w:p>
      <w:pPr>
        <w:pStyle w:val="ListBullet"/>
      </w:pPr>
      <w:r>
        <w:t>Core vorticity profiles show qualitative alignment with Batchelor theorem.</w:t>
      </w:r>
    </w:p>
    <w:p>
      <w:pPr>
        <w:pStyle w:val="ListBullet"/>
      </w:pPr>
      <w:r>
        <w:t>Unsteady marching on 513x513 grids resolves finite-window shedding modes.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