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Unlabelled Entity NER Fixture</w:t>
      </w:r>
    </w:p>
    <w:p>
      <w:r>
        <w:t>Alice Johnson escalated the account to Robert Chen at Microsoft yesterday.</w:t>
      </w:r>
    </w:p>
    <w:p>
      <w:r>
        <w:t xml:space="preserve">Follow-up email: </w:t>
      </w:r>
      <w:r>
        <w:t>contact001@example.com</w:t>
      </w:r>
    </w:p>
    <w:p>
      <w:r>
        <w:t xml:space="preserve">Phone: </w:t>
      </w:r>
      <w:r>
        <w:t>+91 79516 33468</w:t>
      </w:r>
    </w:p>
    <w:p>
      <w:r>
        <w:t>Control value should remain: Ticket ID CASE-2026-771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