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0467F"/>
          <w:sz w:val="72"/>
        </w:rPr>
        <w:t>REEV CONCEPT</w:t>
      </w:r>
    </w:p>
    <w:p>
      <w:pPr>
        <w:spacing w:before="0" w:after="80"/>
        <w:jc w:val="center"/>
      </w:pPr>
      <w:r>
        <w:rPr>
          <w:rFonts w:ascii="Calibri" w:hAnsi="Calibri"/>
          <w:b w:val="0"/>
          <w:i/>
          <w:color w:val="3C648C"/>
          <w:sz w:val="36"/>
        </w:rPr>
        <w:t>Range-Extended Electric Vehicle</w:t>
      </w:r>
    </w:p>
    <w:p>
      <w:pPr>
        <w:spacing w:before="0" w:after="200"/>
        <w:jc w:val="center"/>
      </w:pPr>
      <w:r>
        <w:rPr>
          <w:rFonts w:ascii="Calibri" w:hAnsi="Calibri"/>
          <w:b w:val="0"/>
          <w:i w:val="0"/>
          <w:color w:val="5A7896"/>
          <w:sz w:val="24"/>
        </w:rPr>
        <w:t>India-Focused Architecture Concept  ·  INGLO Platform Derivation</w:t>
      </w:r>
    </w:p>
    <w:p>
      <w:pPr>
        <w:spacing w:before="80" w:after="80"/>
        <w:jc w:val="center"/>
        <w:pBdr>
          <w:bottom w:val="single" w:sz="4" w:space="1" w:color="B8C8D8"/>
        </w:pBdr>
      </w:pPr>
    </w:p>
    <w:p>
      <w:pPr>
        <w:spacing w:before="120" w:after="0"/>
        <w:jc w:val="center"/>
      </w:pPr>
      <w:r>
        <w:rPr>
          <w:rFonts w:ascii="Calibri" w:hAnsi="Calibri"/>
          <w:b w:val="0"/>
          <w:i/>
          <w:color w:val="8C9BAA"/>
          <w:sz w:val="18"/>
        </w:rPr>
        <w:t>Concept document  ·  August 2026  ·  Pre-feasibility stage  ·  Not for regulatory submission</w:t>
      </w:r>
    </w:p>
    <w:p>
      <w:pPr>
        <w:spacing w:before="0" w:after="0"/>
        <w:sectPr>
          <w:pgSz w:w="11905" w:h="16837"/>
          <w:vAlign w:val="center"/>
        </w:sectPr>
      </w:pPr>
      <w:r>
        <w:br w:type="page"/>
      </w:r>
    </w:p>
    <w:p>
      <w:pPr>
        <w:pStyle w:val="Heading1"/>
        <w:jc w:val="left"/>
      </w:pPr>
      <w:r>
        <w:rPr>
          <w:rFonts w:ascii="Calibri" w:hAnsi="Calibri"/>
          <w:color w:val="00467F"/>
        </w:rPr>
        <w:t>1.  Executive Summary</w:t>
      </w:r>
    </w:p>
    <w:p>
      <w:pPr>
        <w:spacing w:after="120" w:before="0"/>
      </w:pPr>
      <w:r>
        <w:rPr>
          <w:rFonts w:ascii="Calibri" w:hAnsi="Calibri"/>
          <w:sz w:val="22"/>
        </w:rPr>
        <w:t>This document introduces a Range-Extended Electric Vehicle (REEV) concept designed specifically for Indian driving and infrastructure conditions. The concept is derived from the Mahindra XEV 9S INGLO BEV platform and retains its 400 V architecture, rear electric drive unit, and proven body structure. The combustion engine never drives the wheels — traction is always electric.</w:t>
      </w:r>
    </w:p>
    <w:p>
      <w:pPr>
        <w:spacing w:after="120" w:before="0"/>
      </w:pPr>
      <w:r>
        <w:rPr>
          <w:rFonts w:ascii="Calibri" w:hAnsi="Calibri"/>
          <w:sz w:val="22"/>
        </w:rPr>
        <w:t>The core proposition: a 40/50 kWh battery pack handles daily city commuting without the engine starting, while a dedicated 105 kW petrol generator provides unlimited range on any highway in India. The buyer gets a city-capable EV that never needs a charger on a long trip.</w:t>
      </w:r>
    </w:p>
    <w:tbl>
      <w:tblPr>
        <w:tblStyle w:val="TableGrid"/>
        <w:tblW w:type="auto" w:w="0"/>
        <w:jc w:val="left"/>
        <w:tblLook w:firstColumn="1" w:firstRow="1" w:lastColumn="0" w:lastRow="0" w:noHBand="0" w:noVBand="1" w:val="04A0"/>
      </w:tblPr>
      <w:tblGrid>
        <w:gridCol w:w="3024"/>
        <w:gridCol w:w="3024"/>
        <w:gridCol w:w="3024"/>
      </w:tblGrid>
      <w:tr>
        <w:tc>
          <w:tcPr>
            <w:tcW w:type="dxa" w:w="3402"/>
            <w:vAlign w:val="center"/>
            <w:shd w:fill="00467F" w:color="auto" w:val="clear"/>
          </w:tcPr>
          <w:p>
            <w:pPr>
              <w:jc w:val="left"/>
            </w:pPr>
            <w:r>
              <w:rPr>
                <w:rFonts w:ascii="Calibri" w:hAnsi="Calibri"/>
                <w:b/>
                <w:i w:val="0"/>
                <w:color w:val="FFFFFF"/>
                <w:sz w:val="20"/>
              </w:rPr>
              <w:t>Item</w:t>
            </w:r>
          </w:p>
        </w:tc>
        <w:tc>
          <w:tcPr>
            <w:tcW w:type="dxa" w:w="2835"/>
            <w:vAlign w:val="center"/>
            <w:shd w:fill="00467F" w:color="auto" w:val="clear"/>
          </w:tcPr>
          <w:p>
            <w:pPr>
              <w:jc w:val="left"/>
            </w:pPr>
            <w:r>
              <w:rPr>
                <w:rFonts w:ascii="Calibri" w:hAnsi="Calibri"/>
                <w:b/>
                <w:i w:val="0"/>
                <w:color w:val="FFFFFF"/>
                <w:sz w:val="20"/>
              </w:rPr>
              <w:t>RWD Variant</w:t>
            </w:r>
          </w:p>
        </w:tc>
        <w:tc>
          <w:tcPr>
            <w:tcW w:type="dxa" w:w="2835"/>
            <w:vAlign w:val="center"/>
            <w:shd w:fill="00467F" w:color="auto" w:val="clear"/>
          </w:tcPr>
          <w:p>
            <w:pPr>
              <w:jc w:val="left"/>
            </w:pPr>
            <w:r>
              <w:rPr>
                <w:rFonts w:ascii="Calibri" w:hAnsi="Calibri"/>
                <w:b/>
                <w:i w:val="0"/>
                <w:color w:val="FFFFFF"/>
                <w:sz w:val="20"/>
              </w:rPr>
              <w:t>AWD Variant</w:t>
            </w:r>
          </w:p>
        </w:tc>
      </w:tr>
      <w:tr>
        <w:tc>
          <w:tcPr>
            <w:tcW w:type="dxa" w:w="3402"/>
            <w:shd w:fill="EEF4FA" w:color="auto" w:val="clear"/>
          </w:tcPr>
          <w:p>
            <w:r>
              <w:rPr>
                <w:rFonts w:ascii="Calibri" w:hAnsi="Calibri"/>
                <w:b w:val="0"/>
                <w:i w:val="0"/>
                <w:sz w:val="20"/>
              </w:rPr>
              <w:t>Battery (usable)</w:t>
            </w:r>
          </w:p>
        </w:tc>
        <w:tc>
          <w:tcPr>
            <w:tcW w:type="dxa" w:w="2835"/>
            <w:shd w:fill="EEF4FA" w:color="auto" w:val="clear"/>
          </w:tcPr>
          <w:p>
            <w:r>
              <w:rPr>
                <w:rFonts w:ascii="Calibri" w:hAnsi="Calibri"/>
                <w:b w:val="0"/>
                <w:i w:val="0"/>
                <w:sz w:val="20"/>
              </w:rPr>
              <w:t>40 kWh</w:t>
            </w:r>
          </w:p>
        </w:tc>
        <w:tc>
          <w:tcPr>
            <w:tcW w:type="dxa" w:w="2835"/>
            <w:shd w:fill="EEF4FA" w:color="auto" w:val="clear"/>
          </w:tcPr>
          <w:p>
            <w:r>
              <w:rPr>
                <w:rFonts w:ascii="Calibri" w:hAnsi="Calibri"/>
                <w:b w:val="0"/>
                <w:i w:val="0"/>
                <w:sz w:val="20"/>
              </w:rPr>
              <w:t>50 kWh</w:t>
            </w:r>
          </w:p>
        </w:tc>
      </w:tr>
      <w:tr>
        <w:tc>
          <w:tcPr>
            <w:tcW w:type="dxa" w:w="3402"/>
            <w:shd w:fill="FFFFFF" w:color="auto" w:val="clear"/>
          </w:tcPr>
          <w:p>
            <w:r>
              <w:rPr>
                <w:rFonts w:ascii="Calibri" w:hAnsi="Calibri"/>
                <w:b w:val="0"/>
                <w:i w:val="0"/>
                <w:sz w:val="20"/>
              </w:rPr>
              <w:t>Peak battery power</w:t>
            </w:r>
          </w:p>
        </w:tc>
        <w:tc>
          <w:tcPr>
            <w:tcW w:type="dxa" w:w="2835"/>
            <w:shd w:fill="FFFFFF" w:color="auto" w:val="clear"/>
          </w:tcPr>
          <w:p>
            <w:r>
              <w:rPr>
                <w:rFonts w:ascii="Calibri" w:hAnsi="Calibri"/>
                <w:b w:val="0"/>
                <w:i w:val="0"/>
                <w:sz w:val="20"/>
              </w:rPr>
              <w:t>187 kW  (4.67C)</w:t>
            </w:r>
          </w:p>
        </w:tc>
        <w:tc>
          <w:tcPr>
            <w:tcW w:type="dxa" w:w="2835"/>
            <w:shd w:fill="FFFFFF" w:color="auto" w:val="clear"/>
          </w:tcPr>
          <w:p>
            <w:r>
              <w:rPr>
                <w:rFonts w:ascii="Calibri" w:hAnsi="Calibri"/>
                <w:b w:val="0"/>
                <w:i w:val="0"/>
                <w:sz w:val="20"/>
              </w:rPr>
              <w:t>263 kW  (5.26C)</w:t>
            </w:r>
          </w:p>
        </w:tc>
      </w:tr>
      <w:tr>
        <w:tc>
          <w:tcPr>
            <w:tcW w:type="dxa" w:w="3402"/>
            <w:shd w:fill="EEF4FA" w:color="auto" w:val="clear"/>
          </w:tcPr>
          <w:p>
            <w:r>
              <w:rPr>
                <w:rFonts w:ascii="Calibri" w:hAnsi="Calibri"/>
                <w:b w:val="0"/>
                <w:i w:val="0"/>
                <w:sz w:val="20"/>
              </w:rPr>
              <w:t>Traction architecture</w:t>
            </w:r>
          </w:p>
        </w:tc>
        <w:tc>
          <w:tcPr>
            <w:tcW w:type="dxa" w:w="2835"/>
            <w:shd w:fill="EEF4FA" w:color="auto" w:val="clear"/>
          </w:tcPr>
          <w:p>
            <w:r>
              <w:rPr>
                <w:rFonts w:ascii="Calibri" w:hAnsi="Calibri"/>
                <w:b w:val="0"/>
                <w:i w:val="0"/>
                <w:sz w:val="20"/>
              </w:rPr>
              <w:t>Rear EDU — always electric</w:t>
            </w:r>
          </w:p>
        </w:tc>
        <w:tc>
          <w:tcPr>
            <w:tcW w:type="dxa" w:w="2835"/>
            <w:shd w:fill="EEF4FA" w:color="auto" w:val="clear"/>
          </w:tcPr>
          <w:p>
            <w:r>
              <w:rPr>
                <w:rFonts w:ascii="Calibri" w:hAnsi="Calibri"/>
                <w:b w:val="0"/>
                <w:i w:val="0"/>
                <w:sz w:val="20"/>
              </w:rPr>
              <w:t>Dual EDU — always electric</w:t>
            </w:r>
          </w:p>
        </w:tc>
      </w:tr>
      <w:tr>
        <w:tc>
          <w:tcPr>
            <w:tcW w:type="dxa" w:w="3402"/>
            <w:shd w:fill="FFFFFF" w:color="auto" w:val="clear"/>
          </w:tcPr>
          <w:p>
            <w:r>
              <w:rPr>
                <w:rFonts w:ascii="Calibri" w:hAnsi="Calibri"/>
                <w:b w:val="0"/>
                <w:i w:val="0"/>
                <w:sz w:val="20"/>
              </w:rPr>
              <w:t>Generator output</w:t>
            </w:r>
          </w:p>
        </w:tc>
        <w:tc>
          <w:tcPr>
            <w:tcW w:type="dxa" w:w="2835"/>
            <w:shd w:fill="FFFFFF" w:color="auto" w:val="clear"/>
          </w:tcPr>
          <w:p>
            <w:r>
              <w:rPr>
                <w:rFonts w:ascii="Calibri" w:hAnsi="Calibri"/>
                <w:b w:val="0"/>
                <w:i w:val="0"/>
                <w:sz w:val="20"/>
              </w:rPr>
              <w:t>105 kW HV-DC peak</w:t>
            </w:r>
          </w:p>
        </w:tc>
        <w:tc>
          <w:tcPr>
            <w:tcW w:type="dxa" w:w="2835"/>
            <w:shd w:fill="FFFFFF" w:color="auto" w:val="clear"/>
          </w:tcPr>
          <w:p>
            <w:r>
              <w:rPr>
                <w:rFonts w:ascii="Calibri" w:hAnsi="Calibri"/>
                <w:b w:val="0"/>
                <w:i w:val="0"/>
                <w:sz w:val="20"/>
              </w:rPr>
              <w:t>105 kW HV-DC peak</w:t>
            </w:r>
          </w:p>
        </w:tc>
      </w:tr>
      <w:tr>
        <w:tc>
          <w:tcPr>
            <w:tcW w:type="dxa" w:w="3402"/>
            <w:shd w:fill="EEF4FA" w:color="auto" w:val="clear"/>
          </w:tcPr>
          <w:p>
            <w:r>
              <w:rPr>
                <w:rFonts w:ascii="Calibri" w:hAnsi="Calibri"/>
                <w:b w:val="0"/>
                <w:i w:val="0"/>
                <w:sz w:val="20"/>
              </w:rPr>
              <w:t>Fuel tank</w:t>
            </w:r>
          </w:p>
        </w:tc>
        <w:tc>
          <w:tcPr>
            <w:tcW w:type="dxa" w:w="2835"/>
            <w:shd w:fill="EEF4FA" w:color="auto" w:val="clear"/>
          </w:tcPr>
          <w:p>
            <w:r>
              <w:rPr>
                <w:rFonts w:ascii="Calibri" w:hAnsi="Calibri"/>
                <w:b w:val="0"/>
                <w:i w:val="0"/>
                <w:sz w:val="20"/>
              </w:rPr>
              <w:t>42 L petrol</w:t>
            </w:r>
          </w:p>
        </w:tc>
        <w:tc>
          <w:tcPr>
            <w:tcW w:type="dxa" w:w="2835"/>
            <w:shd w:fill="EEF4FA" w:color="auto" w:val="clear"/>
          </w:tcPr>
          <w:p>
            <w:r>
              <w:rPr>
                <w:rFonts w:ascii="Calibri" w:hAnsi="Calibri"/>
                <w:b w:val="0"/>
                <w:i w:val="0"/>
                <w:sz w:val="20"/>
              </w:rPr>
              <w:t>42 L petrol</w:t>
            </w:r>
          </w:p>
        </w:tc>
      </w:tr>
      <w:tr>
        <w:tc>
          <w:tcPr>
            <w:tcW w:type="dxa" w:w="3402"/>
            <w:shd w:fill="FFFFFF" w:color="auto" w:val="clear"/>
          </w:tcPr>
          <w:p>
            <w:r>
              <w:rPr>
                <w:rFonts w:ascii="Calibri" w:hAnsi="Calibri"/>
                <w:b w:val="0"/>
                <w:i w:val="0"/>
                <w:sz w:val="20"/>
              </w:rPr>
              <w:t>Programme kerb target</w:t>
            </w:r>
          </w:p>
        </w:tc>
        <w:tc>
          <w:tcPr>
            <w:tcW w:type="dxa" w:w="2835"/>
            <w:shd w:fill="FFFFFF" w:color="auto" w:val="clear"/>
          </w:tcPr>
          <w:p>
            <w:r>
              <w:rPr>
                <w:rFonts w:ascii="Calibri" w:hAnsi="Calibri"/>
                <w:b w:val="0"/>
                <w:i w:val="0"/>
                <w:sz w:val="20"/>
              </w:rPr>
              <w:t>2,300 kg</w:t>
            </w:r>
          </w:p>
        </w:tc>
        <w:tc>
          <w:tcPr>
            <w:tcW w:type="dxa" w:w="2835"/>
            <w:shd w:fill="FFFFFF" w:color="auto" w:val="clear"/>
          </w:tcPr>
          <w:p>
            <w:r>
              <w:rPr>
                <w:rFonts w:ascii="Calibri" w:hAnsi="Calibri"/>
                <w:b w:val="0"/>
                <w:i w:val="0"/>
                <w:sz w:val="20"/>
              </w:rPr>
              <w:t>2,500 kg</w:t>
            </w:r>
          </w:p>
        </w:tc>
      </w:tr>
      <w:tr>
        <w:tc>
          <w:tcPr>
            <w:tcW w:type="dxa" w:w="3402"/>
            <w:shd w:fill="EEF4FA" w:color="auto" w:val="clear"/>
          </w:tcPr>
          <w:p>
            <w:r>
              <w:rPr>
                <w:rFonts w:ascii="Calibri" w:hAnsi="Calibri"/>
                <w:b w:val="0"/>
                <w:i w:val="0"/>
                <w:sz w:val="20"/>
              </w:rPr>
              <w:t>MIDC EV range (calibrated)</w:t>
            </w:r>
          </w:p>
        </w:tc>
        <w:tc>
          <w:tcPr>
            <w:tcW w:type="dxa" w:w="2835"/>
            <w:shd w:fill="EEF4FA" w:color="auto" w:val="clear"/>
          </w:tcPr>
          <w:p>
            <w:r>
              <w:rPr>
                <w:rFonts w:ascii="Calibri" w:hAnsi="Calibri"/>
                <w:b w:val="0"/>
                <w:i w:val="0"/>
                <w:sz w:val="20"/>
              </w:rPr>
              <w:t>~340 km</w:t>
            </w:r>
          </w:p>
        </w:tc>
        <w:tc>
          <w:tcPr>
            <w:tcW w:type="dxa" w:w="2835"/>
            <w:shd w:fill="EEF4FA" w:color="auto" w:val="clear"/>
          </w:tcPr>
          <w:p>
            <w:r>
              <w:rPr>
                <w:rFonts w:ascii="Calibri" w:hAnsi="Calibri"/>
                <w:b w:val="0"/>
                <w:i w:val="0"/>
                <w:sz w:val="20"/>
              </w:rPr>
              <w:t>~408 km</w:t>
            </w:r>
          </w:p>
        </w:tc>
      </w:tr>
      <w:tr>
        <w:tc>
          <w:tcPr>
            <w:tcW w:type="dxa" w:w="3402"/>
            <w:shd w:fill="FFFFFF" w:color="auto" w:val="clear"/>
          </w:tcPr>
          <w:p>
            <w:r>
              <w:rPr>
                <w:rFonts w:ascii="Calibri" w:hAnsi="Calibri"/>
                <w:b w:val="0"/>
                <w:i w:val="0"/>
                <w:sz w:val="20"/>
              </w:rPr>
              <w:t>Real-world EV range</w:t>
            </w:r>
          </w:p>
        </w:tc>
        <w:tc>
          <w:tcPr>
            <w:tcW w:type="dxa" w:w="2835"/>
            <w:shd w:fill="FFFFFF" w:color="auto" w:val="clear"/>
          </w:tcPr>
          <w:p>
            <w:r>
              <w:rPr>
                <w:rFonts w:ascii="Calibri" w:hAnsi="Calibri"/>
                <w:b w:val="0"/>
                <w:i w:val="0"/>
                <w:sz w:val="20"/>
              </w:rPr>
              <w:t>~200–260 km</w:t>
            </w:r>
          </w:p>
        </w:tc>
        <w:tc>
          <w:tcPr>
            <w:tcW w:type="dxa" w:w="2835"/>
            <w:shd w:fill="FFFFFF" w:color="auto" w:val="clear"/>
          </w:tcPr>
          <w:p>
            <w:r>
              <w:rPr>
                <w:rFonts w:ascii="Calibri" w:hAnsi="Calibri"/>
                <w:b w:val="0"/>
                <w:i w:val="0"/>
                <w:sz w:val="20"/>
              </w:rPr>
              <w:t>~240–310 km</w:t>
            </w:r>
          </w:p>
        </w:tc>
      </w:tr>
      <w:tr>
        <w:tc>
          <w:tcPr>
            <w:tcW w:type="dxa" w:w="3402"/>
            <w:shd w:fill="EEF4FA" w:color="auto" w:val="clear"/>
          </w:tcPr>
          <w:p>
            <w:r>
              <w:rPr>
                <w:rFonts w:ascii="Calibri" w:hAnsi="Calibri"/>
                <w:b w:val="0"/>
                <w:i w:val="0"/>
                <w:sz w:val="20"/>
              </w:rPr>
              <w:t>Total range</w:t>
            </w:r>
          </w:p>
        </w:tc>
        <w:tc>
          <w:tcPr>
            <w:tcW w:type="dxa" w:w="2835"/>
            <w:shd w:fill="EEF4FA" w:color="auto" w:val="clear"/>
          </w:tcPr>
          <w:p>
            <w:r>
              <w:rPr>
                <w:rFonts w:ascii="Calibri" w:hAnsi="Calibri"/>
                <w:b w:val="0"/>
                <w:i w:val="0"/>
                <w:sz w:val="20"/>
              </w:rPr>
              <w:t>Unlimited — petrol backstop</w:t>
            </w:r>
          </w:p>
        </w:tc>
        <w:tc>
          <w:tcPr>
            <w:tcW w:type="dxa" w:w="2835"/>
            <w:shd w:fill="EEF4FA" w:color="auto" w:val="clear"/>
          </w:tcPr>
          <w:p>
            <w:r>
              <w:rPr>
                <w:rFonts w:ascii="Calibri" w:hAnsi="Calibri"/>
                <w:b w:val="0"/>
                <w:i w:val="0"/>
                <w:sz w:val="20"/>
              </w:rPr>
              <w:t>Unlimited — petrol backstop</w:t>
            </w:r>
          </w:p>
        </w:tc>
      </w:tr>
      <w:tr>
        <w:tc>
          <w:tcPr>
            <w:tcW w:type="dxa" w:w="3402"/>
            <w:shd w:fill="FFFFFF" w:color="auto" w:val="clear"/>
          </w:tcPr>
          <w:p>
            <w:r>
              <w:rPr>
                <w:rFonts w:ascii="Calibri" w:hAnsi="Calibri"/>
                <w:b w:val="0"/>
                <w:i w:val="0"/>
                <w:sz w:val="20"/>
              </w:rPr>
              <w:t>HV bus voltage</w:t>
            </w:r>
          </w:p>
        </w:tc>
        <w:tc>
          <w:tcPr>
            <w:tcW w:type="dxa" w:w="2835"/>
            <w:shd w:fill="FFFFFF" w:color="auto" w:val="clear"/>
          </w:tcPr>
          <w:p>
            <w:r>
              <w:rPr>
                <w:rFonts w:ascii="Calibri" w:hAnsi="Calibri"/>
                <w:b w:val="0"/>
                <w:i w:val="0"/>
                <w:sz w:val="20"/>
              </w:rPr>
              <w:t>400–465 V nominal</w:t>
            </w:r>
          </w:p>
        </w:tc>
        <w:tc>
          <w:tcPr>
            <w:tcW w:type="dxa" w:w="2835"/>
            <w:shd w:fill="FFFFFF" w:color="auto" w:val="clear"/>
          </w:tcPr>
          <w:p>
            <w:r>
              <w:rPr>
                <w:rFonts w:ascii="Calibri" w:hAnsi="Calibri"/>
                <w:b w:val="0"/>
                <w:i w:val="0"/>
                <w:sz w:val="20"/>
              </w:rPr>
              <w:t>400–465 V nominal</w:t>
            </w:r>
          </w:p>
        </w:tc>
      </w:tr>
    </w:tbl>
    <w:p/>
    <w:p>
      <w:pPr>
        <w:pStyle w:val="Heading1"/>
        <w:jc w:val="left"/>
      </w:pPr>
      <w:r>
        <w:rPr>
          <w:rFonts w:ascii="Calibri" w:hAnsi="Calibri"/>
          <w:color w:val="00467F"/>
        </w:rPr>
        <w:t>2.  The Problem This Solves</w:t>
      </w:r>
    </w:p>
    <w:p>
      <w:pPr>
        <w:spacing w:after="120" w:before="0"/>
      </w:pPr>
      <w:r>
        <w:rPr>
          <w:rFonts w:ascii="Calibri" w:hAnsi="Calibri"/>
          <w:sz w:val="22"/>
        </w:rPr>
        <w:t>Three distinct customer anxieties prevent BEV adoption in India that this architecture resolves simultaneously:</w:t>
      </w:r>
    </w:p>
    <w:p>
      <w:pPr>
        <w:pStyle w:val="ListBullet"/>
        <w:spacing w:after="60"/>
      </w:pPr>
      <w:r>
        <w:rPr>
          <w:rFonts w:ascii="Calibri" w:hAnsi="Calibri"/>
          <w:b/>
          <w:i w:val="0"/>
          <w:sz w:val="22"/>
        </w:rPr>
        <w:t xml:space="preserve">Range and charging anxiety  </w:t>
      </w:r>
      <w:r>
        <w:rPr>
          <w:rFonts w:ascii="Calibri" w:hAnsi="Calibri"/>
          <w:b w:val="0"/>
          <w:i w:val="0"/>
          <w:sz w:val="22"/>
        </w:rPr>
        <w:t>Charging infrastructure is too sparse for highway use. Less than 20% of Indian highways have DC fast chargers at the density required for a pure BEV. The REEV's generator eliminates this concern entirely — petrol is available at over 80,000 fuel stations across India.</w:t>
      </w:r>
    </w:p>
    <w:p>
      <w:pPr>
        <w:pStyle w:val="ListBullet"/>
        <w:spacing w:after="60"/>
      </w:pPr>
      <w:r>
        <w:rPr>
          <w:rFonts w:ascii="Calibri" w:hAnsi="Calibri"/>
          <w:b/>
          <w:i w:val="0"/>
          <w:sz w:val="22"/>
        </w:rPr>
        <w:t xml:space="preserve">Petrol running cost  </w:t>
      </w:r>
      <w:r>
        <w:rPr>
          <w:rFonts w:ascii="Calibri" w:hAnsi="Calibri"/>
          <w:b w:val="0"/>
          <w:i w:val="0"/>
          <w:sz w:val="22"/>
        </w:rPr>
        <w:t>Running on petrol at 8–10 km/l, a premium SUV costs ₹10–13/km in city conditions. The same REEV route on grid electricity costs approximately ₹2/km — one-fifth of the petrol bill for the identical commute.</w:t>
      </w:r>
    </w:p>
    <w:p>
      <w:pPr>
        <w:pStyle w:val="ListBullet"/>
        <w:spacing w:after="60"/>
      </w:pPr>
      <w:r>
        <w:rPr>
          <w:rFonts w:ascii="Calibri" w:hAnsi="Calibri"/>
          <w:b/>
          <w:i w:val="0"/>
          <w:sz w:val="22"/>
        </w:rPr>
        <w:t xml:space="preserve">Diesel maintenance and 10-year ban  </w:t>
      </w:r>
      <w:r>
        <w:rPr>
          <w:rFonts w:ascii="Calibri" w:hAnsi="Calibri"/>
          <w:b w:val="0"/>
          <w:i w:val="0"/>
          <w:sz w:val="22"/>
        </w:rPr>
        <w:t>BS6-II diesel SUVs carry DPF replacement costs of ₹60,000–₹1,20,000 and AdBlue consumption of ₹2,000–₹4,000 per service. SC and NGT orders prohibit diesel vehicles older than 10 years in Delhi NCR and expanding metro zones.</w:t>
      </w:r>
    </w:p>
    <w:p>
      <w:pPr>
        <w:pStyle w:val="ListBullet"/>
        <w:spacing w:after="60"/>
      </w:pPr>
      <w:r>
        <w:rPr>
          <w:rFonts w:ascii="Calibri" w:hAnsi="Calibri"/>
          <w:b/>
          <w:i w:val="0"/>
          <w:sz w:val="22"/>
        </w:rPr>
        <w:t xml:space="preserve">Strong hybrid — cost without the escape route  </w:t>
      </w:r>
      <w:r>
        <w:rPr>
          <w:rFonts w:ascii="Calibri" w:hAnsi="Calibri"/>
          <w:b w:val="0"/>
          <w:i w:val="0"/>
          <w:sz w:val="22"/>
        </w:rPr>
        <w:t>Strong hybrids at 40% GST carry the same tax as a full ICE vehicle. With the proposed 18% REEV classification, this concept would retail at a lower on-road price than an equivalent strong hybrid while delivering genuine daily EV range.</w:t>
      </w:r>
    </w:p>
    <w:p/>
    <w:p>
      <w:pPr>
        <w:pStyle w:val="Heading1"/>
        <w:jc w:val="left"/>
      </w:pPr>
      <w:r>
        <w:rPr>
          <w:rFonts w:ascii="Calibri" w:hAnsi="Calibri"/>
          <w:color w:val="00467F"/>
        </w:rPr>
        <w:t>3.  Platform Derivation — Mahindra INGLO</w:t>
      </w:r>
    </w:p>
    <w:p>
      <w:pPr>
        <w:spacing w:after="120" w:before="0"/>
      </w:pPr>
      <w:r>
        <w:rPr>
          <w:rFonts w:ascii="Calibri" w:hAnsi="Calibri"/>
          <w:sz w:val="22"/>
        </w:rPr>
        <w:t>The concept is built on the XEV 9S INGLO skateboard. The INGLO platform carries most of its investment in the body, suspension, electronics, and HV architecture. A REEV derivative touches only two areas: the energy storage and the space behind the firewall.</w:t>
      </w:r>
    </w:p>
    <w:tbl>
      <w:tblPr>
        <w:tblStyle w:val="TableGrid"/>
        <w:tblW w:type="auto" w:w="0"/>
        <w:jc w:val="left"/>
        <w:tblLook w:firstColumn="1" w:firstRow="1" w:lastColumn="0" w:lastRow="0" w:noHBand="0" w:noVBand="1" w:val="04A0"/>
      </w:tblPr>
      <w:tblGrid>
        <w:gridCol w:w="3024"/>
        <w:gridCol w:w="3024"/>
        <w:gridCol w:w="3024"/>
      </w:tblGrid>
      <w:tr>
        <w:tc>
          <w:tcPr>
            <w:tcW w:type="dxa" w:w="2835"/>
            <w:vAlign w:val="center"/>
            <w:shd w:fill="00467F" w:color="auto" w:val="clear"/>
          </w:tcPr>
          <w:p>
            <w:pPr>
              <w:jc w:val="left"/>
            </w:pPr>
            <w:r>
              <w:rPr>
                <w:rFonts w:ascii="Calibri" w:hAnsi="Calibri"/>
                <w:b/>
                <w:i w:val="0"/>
                <w:color w:val="FFFFFF"/>
                <w:sz w:val="20"/>
              </w:rPr>
              <w:t>System</w:t>
            </w:r>
          </w:p>
        </w:tc>
        <w:tc>
          <w:tcPr>
            <w:tcW w:type="dxa" w:w="3118"/>
            <w:vAlign w:val="center"/>
            <w:shd w:fill="00467F" w:color="auto" w:val="clear"/>
          </w:tcPr>
          <w:p>
            <w:pPr>
              <w:jc w:val="left"/>
            </w:pPr>
            <w:r>
              <w:rPr>
                <w:rFonts w:ascii="Calibri" w:hAnsi="Calibri"/>
                <w:b/>
                <w:i w:val="0"/>
                <w:color w:val="FFFFFF"/>
                <w:sz w:val="20"/>
              </w:rPr>
              <w:t>INGLO / XEV 9S baseline</w:t>
            </w:r>
          </w:p>
        </w:tc>
        <w:tc>
          <w:tcPr>
            <w:tcW w:type="dxa" w:w="3118"/>
            <w:vAlign w:val="center"/>
            <w:shd w:fill="00467F" w:color="auto" w:val="clear"/>
          </w:tcPr>
          <w:p>
            <w:pPr>
              <w:jc w:val="left"/>
            </w:pPr>
            <w:r>
              <w:rPr>
                <w:rFonts w:ascii="Calibri" w:hAnsi="Calibri"/>
                <w:b/>
                <w:i w:val="0"/>
                <w:color w:val="FFFFFF"/>
                <w:sz w:val="20"/>
              </w:rPr>
              <w:t>REEV modification</w:t>
            </w:r>
          </w:p>
        </w:tc>
      </w:tr>
      <w:tr>
        <w:tc>
          <w:tcPr>
            <w:tcW w:type="dxa" w:w="2835"/>
            <w:shd w:fill="EEF4FA" w:color="auto" w:val="clear"/>
          </w:tcPr>
          <w:p>
            <w:r>
              <w:rPr>
                <w:rFonts w:ascii="Calibri" w:hAnsi="Calibri"/>
                <w:b w:val="0"/>
                <w:i w:val="0"/>
                <w:sz w:val="20"/>
              </w:rPr>
              <w:t>Body structure (BIW)</w:t>
            </w:r>
          </w:p>
        </w:tc>
        <w:tc>
          <w:tcPr>
            <w:tcW w:type="dxa" w:w="3118"/>
            <w:shd w:fill="EEF4FA" w:color="auto" w:val="clear"/>
          </w:tcPr>
          <w:p>
            <w:r>
              <w:rPr>
                <w:rFonts w:ascii="Calibri" w:hAnsi="Calibri"/>
                <w:b w:val="0"/>
                <w:i w:val="0"/>
                <w:sz w:val="20"/>
              </w:rPr>
              <w:t>Retained</w:t>
            </w:r>
          </w:p>
        </w:tc>
        <w:tc>
          <w:tcPr>
            <w:tcW w:type="dxa" w:w="3118"/>
            <w:shd w:fill="EEF4FA" w:color="auto" w:val="clear"/>
          </w:tcPr>
          <w:p>
            <w:r>
              <w:rPr>
                <w:rFonts w:ascii="Calibri" w:hAnsi="Calibri"/>
                <w:b w:val="0"/>
                <w:i w:val="0"/>
                <w:sz w:val="20"/>
              </w:rPr>
              <w:t>Purpose-built REEV floor for shorter pack</w:t>
            </w:r>
          </w:p>
        </w:tc>
      </w:tr>
      <w:tr>
        <w:tc>
          <w:tcPr>
            <w:tcW w:type="dxa" w:w="2835"/>
            <w:shd w:fill="FFFFFF" w:color="auto" w:val="clear"/>
          </w:tcPr>
          <w:p>
            <w:r>
              <w:rPr>
                <w:rFonts w:ascii="Calibri" w:hAnsi="Calibri"/>
                <w:b w:val="0"/>
                <w:i w:val="0"/>
                <w:sz w:val="20"/>
              </w:rPr>
              <w:t>Front suspension</w:t>
            </w:r>
          </w:p>
        </w:tc>
        <w:tc>
          <w:tcPr>
            <w:tcW w:type="dxa" w:w="3118"/>
            <w:shd w:fill="FFFFFF" w:color="auto" w:val="clear"/>
          </w:tcPr>
          <w:p>
            <w:r>
              <w:rPr>
                <w:rFonts w:ascii="Calibri" w:hAnsi="Calibri"/>
                <w:b w:val="0"/>
                <w:i w:val="0"/>
                <w:sz w:val="20"/>
              </w:rPr>
              <w:t>Retained</w:t>
            </w:r>
          </w:p>
        </w:tc>
        <w:tc>
          <w:tcPr>
            <w:tcW w:type="dxa" w:w="3118"/>
            <w:shd w:fill="FFFFFF" w:color="auto" w:val="clear"/>
          </w:tcPr>
          <w:p>
            <w:r>
              <w:rPr>
                <w:rFonts w:ascii="Calibri" w:hAnsi="Calibri"/>
                <w:b w:val="0"/>
                <w:i w:val="0"/>
                <w:sz w:val="20"/>
              </w:rPr>
              <w:t>Unchanged</w:t>
            </w:r>
          </w:p>
        </w:tc>
      </w:tr>
      <w:tr>
        <w:tc>
          <w:tcPr>
            <w:tcW w:type="dxa" w:w="2835"/>
            <w:shd w:fill="EEF4FA" w:color="auto" w:val="clear"/>
          </w:tcPr>
          <w:p>
            <w:r>
              <w:rPr>
                <w:rFonts w:ascii="Calibri" w:hAnsi="Calibri"/>
                <w:b w:val="0"/>
                <w:i w:val="0"/>
                <w:sz w:val="20"/>
              </w:rPr>
              <w:t>Rear EDU (traction motor)</w:t>
            </w:r>
          </w:p>
        </w:tc>
        <w:tc>
          <w:tcPr>
            <w:tcW w:type="dxa" w:w="3118"/>
            <w:shd w:fill="EEF4FA" w:color="auto" w:val="clear"/>
          </w:tcPr>
          <w:p>
            <w:r>
              <w:rPr>
                <w:rFonts w:ascii="Calibri" w:hAnsi="Calibri"/>
                <w:b w:val="0"/>
                <w:i w:val="0"/>
                <w:sz w:val="20"/>
              </w:rPr>
              <w:t>Retained — drives wheels</w:t>
            </w:r>
          </w:p>
        </w:tc>
        <w:tc>
          <w:tcPr>
            <w:tcW w:type="dxa" w:w="3118"/>
            <w:shd w:fill="EEF4FA" w:color="auto" w:val="clear"/>
          </w:tcPr>
          <w:p>
            <w:r>
              <w:rPr>
                <w:rFonts w:ascii="Calibri" w:hAnsi="Calibri"/>
                <w:b w:val="0"/>
                <w:i w:val="0"/>
                <w:sz w:val="20"/>
              </w:rPr>
              <w:t>Retained — still drives wheels in RWD</w:t>
            </w:r>
          </w:p>
        </w:tc>
      </w:tr>
      <w:tr>
        <w:tc>
          <w:tcPr>
            <w:tcW w:type="dxa" w:w="2835"/>
            <w:shd w:fill="FFFFFF" w:color="auto" w:val="clear"/>
          </w:tcPr>
          <w:p>
            <w:r>
              <w:rPr>
                <w:rFonts w:ascii="Calibri" w:hAnsi="Calibri"/>
                <w:b w:val="0"/>
                <w:i w:val="0"/>
                <w:sz w:val="20"/>
              </w:rPr>
              <w:t>AWD front EDU</w:t>
            </w:r>
          </w:p>
        </w:tc>
        <w:tc>
          <w:tcPr>
            <w:tcW w:type="dxa" w:w="3118"/>
            <w:shd w:fill="FFFFFF" w:color="auto" w:val="clear"/>
          </w:tcPr>
          <w:p>
            <w:r>
              <w:rPr>
                <w:rFonts w:ascii="Calibri" w:hAnsi="Calibri"/>
                <w:b w:val="0"/>
                <w:i w:val="0"/>
                <w:sz w:val="20"/>
              </w:rPr>
              <w:t>Present in AWD variant</w:t>
            </w:r>
          </w:p>
        </w:tc>
        <w:tc>
          <w:tcPr>
            <w:tcW w:type="dxa" w:w="3118"/>
            <w:shd w:fill="FFFFFF" w:color="auto" w:val="clear"/>
          </w:tcPr>
          <w:p>
            <w:r>
              <w:rPr>
                <w:rFonts w:ascii="Calibri" w:hAnsi="Calibri"/>
                <w:b w:val="0"/>
                <w:i w:val="0"/>
                <w:sz w:val="20"/>
              </w:rPr>
              <w:t>Retained; housing carried in RWD body (structural)</w:t>
            </w:r>
          </w:p>
        </w:tc>
      </w:tr>
      <w:tr>
        <w:tc>
          <w:tcPr>
            <w:tcW w:type="dxa" w:w="2835"/>
            <w:shd w:fill="EEF4FA" w:color="auto" w:val="clear"/>
          </w:tcPr>
          <w:p>
            <w:r>
              <w:rPr>
                <w:rFonts w:ascii="Calibri" w:hAnsi="Calibri"/>
                <w:b w:val="0"/>
                <w:i w:val="0"/>
                <w:sz w:val="20"/>
              </w:rPr>
              <w:t>400 V HV architecture</w:t>
            </w:r>
          </w:p>
        </w:tc>
        <w:tc>
          <w:tcPr>
            <w:tcW w:type="dxa" w:w="3118"/>
            <w:shd w:fill="EEF4FA" w:color="auto" w:val="clear"/>
          </w:tcPr>
          <w:p>
            <w:r>
              <w:rPr>
                <w:rFonts w:ascii="Calibri" w:hAnsi="Calibri"/>
                <w:b w:val="0"/>
                <w:i w:val="0"/>
                <w:sz w:val="20"/>
              </w:rPr>
              <w:t>Retained</w:t>
            </w:r>
          </w:p>
        </w:tc>
        <w:tc>
          <w:tcPr>
            <w:tcW w:type="dxa" w:w="3118"/>
            <w:shd w:fill="EEF4FA" w:color="auto" w:val="clear"/>
          </w:tcPr>
          <w:p>
            <w:r>
              <w:rPr>
                <w:rFonts w:ascii="Calibri" w:hAnsi="Calibri"/>
                <w:b w:val="0"/>
                <w:i w:val="0"/>
                <w:sz w:val="20"/>
              </w:rPr>
              <w:t>Same 108-series cell string, same bus</w:t>
            </w:r>
          </w:p>
        </w:tc>
      </w:tr>
      <w:tr>
        <w:tc>
          <w:tcPr>
            <w:tcW w:type="dxa" w:w="2835"/>
            <w:shd w:fill="FFFFFF" w:color="auto" w:val="clear"/>
          </w:tcPr>
          <w:p>
            <w:r>
              <w:rPr>
                <w:rFonts w:ascii="Calibri" w:hAnsi="Calibri"/>
                <w:b w:val="0"/>
                <w:i w:val="0"/>
                <w:sz w:val="20"/>
              </w:rPr>
              <w:t>79 kWh Blade 1.0 LFP pack</w:t>
            </w:r>
          </w:p>
        </w:tc>
        <w:tc>
          <w:tcPr>
            <w:tcW w:type="dxa" w:w="3118"/>
            <w:shd w:fill="FFFFFF" w:color="auto" w:val="clear"/>
          </w:tcPr>
          <w:p>
            <w:r>
              <w:rPr>
                <w:rFonts w:ascii="Calibri" w:hAnsi="Calibri"/>
                <w:b w:val="0"/>
                <w:i w:val="0"/>
                <w:sz w:val="20"/>
              </w:rPr>
              <w:t>Replaced</w:t>
            </w:r>
          </w:p>
        </w:tc>
        <w:tc>
          <w:tcPr>
            <w:tcW w:type="dxa" w:w="3118"/>
            <w:shd w:fill="FFFFFF" w:color="auto" w:val="clear"/>
          </w:tcPr>
          <w:p>
            <w:r>
              <w:rPr>
                <w:rFonts w:ascii="Calibri" w:hAnsi="Calibri"/>
                <w:b w:val="0"/>
                <w:i w:val="0"/>
                <w:sz w:val="20"/>
              </w:rPr>
              <w:t>40/50 kWh Short Blade 2.0 high-power phosphate</w:t>
            </w:r>
          </w:p>
        </w:tc>
      </w:tr>
      <w:tr>
        <w:tc>
          <w:tcPr>
            <w:tcW w:type="dxa" w:w="2835"/>
            <w:shd w:fill="EEF4FA" w:color="auto" w:val="clear"/>
          </w:tcPr>
          <w:p>
            <w:r>
              <w:rPr>
                <w:rFonts w:ascii="Calibri" w:hAnsi="Calibri"/>
                <w:b w:val="0"/>
                <w:i w:val="0"/>
                <w:sz w:val="20"/>
              </w:rPr>
              <w:t>Engine / generator / fuel</w:t>
            </w:r>
          </w:p>
        </w:tc>
        <w:tc>
          <w:tcPr>
            <w:tcW w:type="dxa" w:w="3118"/>
            <w:shd w:fill="EEF4FA" w:color="auto" w:val="clear"/>
          </w:tcPr>
          <w:p>
            <w:r>
              <w:rPr>
                <w:rFonts w:ascii="Calibri" w:hAnsi="Calibri"/>
                <w:b w:val="0"/>
                <w:i w:val="0"/>
                <w:sz w:val="20"/>
              </w:rPr>
              <w:t>Not present</w:t>
            </w:r>
          </w:p>
        </w:tc>
        <w:tc>
          <w:tcPr>
            <w:tcW w:type="dxa" w:w="3118"/>
            <w:shd w:fill="EEF4FA" w:color="auto" w:val="clear"/>
          </w:tcPr>
          <w:p>
            <w:r>
              <w:rPr>
                <w:rFonts w:ascii="Calibri" w:hAnsi="Calibri"/>
                <w:b w:val="0"/>
                <w:i w:val="0"/>
                <w:sz w:val="20"/>
              </w:rPr>
              <w:t>Added: 1.5T TGDi + PMSG + 42 L tank</w:t>
            </w:r>
          </w:p>
        </w:tc>
      </w:tr>
      <w:tr>
        <w:tc>
          <w:tcPr>
            <w:tcW w:type="dxa" w:w="2835"/>
            <w:shd w:fill="FFFFFF" w:color="auto" w:val="clear"/>
          </w:tcPr>
          <w:p>
            <w:r>
              <w:rPr>
                <w:rFonts w:ascii="Calibri" w:hAnsi="Calibri"/>
                <w:b w:val="0"/>
                <w:i w:val="0"/>
                <w:sz w:val="20"/>
              </w:rPr>
              <w:t>Exhaust / after-treatment</w:t>
            </w:r>
          </w:p>
        </w:tc>
        <w:tc>
          <w:tcPr>
            <w:tcW w:type="dxa" w:w="3118"/>
            <w:shd w:fill="FFFFFF" w:color="auto" w:val="clear"/>
          </w:tcPr>
          <w:p>
            <w:r>
              <w:rPr>
                <w:rFonts w:ascii="Calibri" w:hAnsi="Calibri"/>
                <w:b w:val="0"/>
                <w:i w:val="0"/>
                <w:sz w:val="20"/>
              </w:rPr>
              <w:t>Not present</w:t>
            </w:r>
          </w:p>
        </w:tc>
        <w:tc>
          <w:tcPr>
            <w:tcW w:type="dxa" w:w="3118"/>
            <w:shd w:fill="FFFFFF" w:color="auto" w:val="clear"/>
          </w:tcPr>
          <w:p>
            <w:r>
              <w:rPr>
                <w:rFonts w:ascii="Calibri" w:hAnsi="Calibri"/>
                <w:b w:val="0"/>
                <w:i w:val="0"/>
                <w:sz w:val="20"/>
              </w:rPr>
              <w:t>Added</w:t>
            </w:r>
          </w:p>
        </w:tc>
      </w:tr>
    </w:tbl>
    <w:p/>
    <w:p>
      <w:pPr>
        <w:pStyle w:val="Heading1"/>
        <w:jc w:val="left"/>
      </w:pPr>
      <w:r>
        <w:rPr>
          <w:rFonts w:ascii="Calibri" w:hAnsi="Calibri"/>
          <w:color w:val="00467F"/>
        </w:rPr>
        <w:t>4.  Battery Pack — Why 40/50 kWh, and Why These Cells</w:t>
      </w:r>
    </w:p>
    <w:p>
      <w:pPr>
        <w:spacing w:after="120" w:before="0"/>
      </w:pPr>
      <w:r>
        <w:rPr>
          <w:rFonts w:ascii="Calibri" w:hAnsi="Calibri"/>
          <w:sz w:val="22"/>
        </w:rPr>
        <w:t>The pack sizes are not chosen to maximise range. They are set by peak power demand at a healthy C-rate. The motor calibration requires 187 kW DC from the RWD pack and 263 kW from the AWD pack.</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701"/>
            <w:vAlign w:val="center"/>
            <w:shd w:fill="00467F" w:color="auto" w:val="clear"/>
          </w:tcPr>
          <w:p>
            <w:pPr>
              <w:jc w:val="left"/>
            </w:pPr>
            <w:r>
              <w:rPr>
                <w:rFonts w:ascii="Calibri" w:hAnsi="Calibri"/>
                <w:b/>
                <w:i w:val="0"/>
                <w:color w:val="FFFFFF"/>
                <w:sz w:val="20"/>
              </w:rPr>
              <w:t>Variant</w:t>
            </w:r>
          </w:p>
        </w:tc>
        <w:tc>
          <w:tcPr>
            <w:tcW w:type="dxa" w:w="1984"/>
            <w:vAlign w:val="center"/>
            <w:shd w:fill="00467F" w:color="auto" w:val="clear"/>
          </w:tcPr>
          <w:p>
            <w:pPr>
              <w:jc w:val="left"/>
            </w:pPr>
            <w:r>
              <w:rPr>
                <w:rFonts w:ascii="Calibri" w:hAnsi="Calibri"/>
                <w:b/>
                <w:i w:val="0"/>
                <w:color w:val="FFFFFF"/>
                <w:sz w:val="20"/>
              </w:rPr>
              <w:t>Usable capacity</w:t>
            </w:r>
          </w:p>
        </w:tc>
        <w:tc>
          <w:tcPr>
            <w:tcW w:type="dxa" w:w="1984"/>
            <w:vAlign w:val="center"/>
            <w:shd w:fill="00467F" w:color="auto" w:val="clear"/>
          </w:tcPr>
          <w:p>
            <w:pPr>
              <w:jc w:val="left"/>
            </w:pPr>
            <w:r>
              <w:rPr>
                <w:rFonts w:ascii="Calibri" w:hAnsi="Calibri"/>
                <w:b/>
                <w:i w:val="0"/>
                <w:color w:val="FFFFFF"/>
                <w:sz w:val="20"/>
              </w:rPr>
              <w:t>Peak power demand</w:t>
            </w:r>
          </w:p>
        </w:tc>
        <w:tc>
          <w:tcPr>
            <w:tcW w:type="dxa" w:w="1417"/>
            <w:vAlign w:val="center"/>
            <w:shd w:fill="00467F" w:color="auto" w:val="clear"/>
          </w:tcPr>
          <w:p>
            <w:pPr>
              <w:jc w:val="left"/>
            </w:pPr>
            <w:r>
              <w:rPr>
                <w:rFonts w:ascii="Calibri" w:hAnsi="Calibri"/>
                <w:b/>
                <w:i w:val="0"/>
                <w:color w:val="FFFFFF"/>
                <w:sz w:val="20"/>
              </w:rPr>
              <w:t>C-rate</w:t>
            </w:r>
          </w:p>
        </w:tc>
        <w:tc>
          <w:tcPr>
            <w:tcW w:type="dxa" w:w="1984"/>
            <w:vAlign w:val="center"/>
            <w:shd w:fill="00467F" w:color="auto" w:val="clear"/>
          </w:tcPr>
          <w:p>
            <w:pPr>
              <w:jc w:val="left"/>
            </w:pPr>
            <w:r>
              <w:rPr>
                <w:rFonts w:ascii="Calibri" w:hAnsi="Calibri"/>
                <w:b/>
                <w:i w:val="0"/>
                <w:color w:val="FFFFFF"/>
                <w:sz w:val="20"/>
              </w:rPr>
              <w:t>Cell Ah (108s 1p)</w:t>
            </w:r>
          </w:p>
        </w:tc>
        <w:tc>
          <w:tcPr>
            <w:tcW w:type="dxa" w:w="1701"/>
            <w:vAlign w:val="center"/>
            <w:shd w:fill="00467F" w:color="auto" w:val="clear"/>
          </w:tcPr>
          <w:p>
            <w:pPr>
              <w:jc w:val="left"/>
            </w:pPr>
            <w:r>
              <w:rPr>
                <w:rFonts w:ascii="Calibri" w:hAnsi="Calibri"/>
                <w:b/>
                <w:i w:val="0"/>
                <w:color w:val="FFFFFF"/>
                <w:sz w:val="20"/>
              </w:rPr>
              <w:t>Bus voltage</w:t>
            </w:r>
          </w:p>
        </w:tc>
      </w:tr>
      <w:tr>
        <w:tc>
          <w:tcPr>
            <w:tcW w:type="dxa" w:w="1701"/>
            <w:shd w:fill="EEF4FA" w:color="auto" w:val="clear"/>
          </w:tcPr>
          <w:p>
            <w:r>
              <w:rPr>
                <w:rFonts w:ascii="Calibri" w:hAnsi="Calibri"/>
                <w:b w:val="0"/>
                <w:i w:val="0"/>
                <w:sz w:val="20"/>
              </w:rPr>
              <w:t>RWD</w:t>
            </w:r>
          </w:p>
        </w:tc>
        <w:tc>
          <w:tcPr>
            <w:tcW w:type="dxa" w:w="1984"/>
            <w:shd w:fill="EEF4FA" w:color="auto" w:val="clear"/>
          </w:tcPr>
          <w:p>
            <w:r>
              <w:rPr>
                <w:rFonts w:ascii="Calibri" w:hAnsi="Calibri"/>
                <w:b w:val="0"/>
                <w:i w:val="0"/>
                <w:sz w:val="20"/>
              </w:rPr>
              <w:t>40 kWh</w:t>
            </w:r>
          </w:p>
        </w:tc>
        <w:tc>
          <w:tcPr>
            <w:tcW w:type="dxa" w:w="1984"/>
            <w:shd w:fill="EEF4FA" w:color="auto" w:val="clear"/>
          </w:tcPr>
          <w:p>
            <w:r>
              <w:rPr>
                <w:rFonts w:ascii="Calibri" w:hAnsi="Calibri"/>
                <w:b w:val="0"/>
                <w:i w:val="0"/>
                <w:sz w:val="20"/>
              </w:rPr>
              <w:t>187 kW</w:t>
            </w:r>
          </w:p>
        </w:tc>
        <w:tc>
          <w:tcPr>
            <w:tcW w:type="dxa" w:w="1417"/>
            <w:shd w:fill="EEF4FA" w:color="auto" w:val="clear"/>
          </w:tcPr>
          <w:p>
            <w:r>
              <w:rPr>
                <w:rFonts w:ascii="Calibri" w:hAnsi="Calibri"/>
                <w:b w:val="0"/>
                <w:i w:val="0"/>
                <w:sz w:val="20"/>
              </w:rPr>
              <w:t>4.67C</w:t>
            </w:r>
          </w:p>
        </w:tc>
        <w:tc>
          <w:tcPr>
            <w:tcW w:type="dxa" w:w="1984"/>
            <w:shd w:fill="EEF4FA" w:color="auto" w:val="clear"/>
          </w:tcPr>
          <w:p>
            <w:r>
              <w:rPr>
                <w:rFonts w:ascii="Calibri" w:hAnsi="Calibri"/>
                <w:b w:val="0"/>
                <w:i w:val="0"/>
                <w:sz w:val="20"/>
              </w:rPr>
              <w:t>~97.5 Ah</w:t>
            </w:r>
          </w:p>
        </w:tc>
        <w:tc>
          <w:tcPr>
            <w:tcW w:type="dxa" w:w="1701"/>
            <w:shd w:fill="EEF4FA" w:color="auto" w:val="clear"/>
          </w:tcPr>
          <w:p>
            <w:r>
              <w:rPr>
                <w:rFonts w:ascii="Calibri" w:hAnsi="Calibri"/>
                <w:b w:val="0"/>
                <w:i w:val="0"/>
                <w:sz w:val="20"/>
              </w:rPr>
              <w:t>~410 V nominal</w:t>
            </w:r>
          </w:p>
        </w:tc>
      </w:tr>
      <w:tr>
        <w:tc>
          <w:tcPr>
            <w:tcW w:type="dxa" w:w="1701"/>
            <w:shd w:fill="FFFFFF" w:color="auto" w:val="clear"/>
          </w:tcPr>
          <w:p>
            <w:r>
              <w:rPr>
                <w:rFonts w:ascii="Calibri" w:hAnsi="Calibri"/>
                <w:b w:val="0"/>
                <w:i w:val="0"/>
                <w:sz w:val="20"/>
              </w:rPr>
              <w:t>AWD</w:t>
            </w:r>
          </w:p>
        </w:tc>
        <w:tc>
          <w:tcPr>
            <w:tcW w:type="dxa" w:w="1984"/>
            <w:shd w:fill="FFFFFF" w:color="auto" w:val="clear"/>
          </w:tcPr>
          <w:p>
            <w:r>
              <w:rPr>
                <w:rFonts w:ascii="Calibri" w:hAnsi="Calibri"/>
                <w:b w:val="0"/>
                <w:i w:val="0"/>
                <w:sz w:val="20"/>
              </w:rPr>
              <w:t>50 kWh</w:t>
            </w:r>
          </w:p>
        </w:tc>
        <w:tc>
          <w:tcPr>
            <w:tcW w:type="dxa" w:w="1984"/>
            <w:shd w:fill="FFFFFF" w:color="auto" w:val="clear"/>
          </w:tcPr>
          <w:p>
            <w:r>
              <w:rPr>
                <w:rFonts w:ascii="Calibri" w:hAnsi="Calibri"/>
                <w:b w:val="0"/>
                <w:i w:val="0"/>
                <w:sz w:val="20"/>
              </w:rPr>
              <w:t>263 kW</w:t>
            </w:r>
          </w:p>
        </w:tc>
        <w:tc>
          <w:tcPr>
            <w:tcW w:type="dxa" w:w="1417"/>
            <w:shd w:fill="FFFFFF" w:color="auto" w:val="clear"/>
          </w:tcPr>
          <w:p>
            <w:r>
              <w:rPr>
                <w:rFonts w:ascii="Calibri" w:hAnsi="Calibri"/>
                <w:b w:val="0"/>
                <w:i w:val="0"/>
                <w:sz w:val="20"/>
              </w:rPr>
              <w:t>5.26C</w:t>
            </w:r>
          </w:p>
        </w:tc>
        <w:tc>
          <w:tcPr>
            <w:tcW w:type="dxa" w:w="1984"/>
            <w:shd w:fill="FFFFFF" w:color="auto" w:val="clear"/>
          </w:tcPr>
          <w:p>
            <w:r>
              <w:rPr>
                <w:rFonts w:ascii="Calibri" w:hAnsi="Calibri"/>
                <w:b w:val="0"/>
                <w:i w:val="0"/>
                <w:sz w:val="20"/>
              </w:rPr>
              <w:t>~121.8 Ah</w:t>
            </w:r>
          </w:p>
        </w:tc>
        <w:tc>
          <w:tcPr>
            <w:tcW w:type="dxa" w:w="1701"/>
            <w:shd w:fill="FFFFFF" w:color="auto" w:val="clear"/>
          </w:tcPr>
          <w:p>
            <w:r>
              <w:rPr>
                <w:rFonts w:ascii="Calibri" w:hAnsi="Calibri"/>
                <w:b w:val="0"/>
                <w:i w:val="0"/>
                <w:sz w:val="20"/>
              </w:rPr>
              <w:t>~410 V nominal</w:t>
            </w:r>
          </w:p>
        </w:tc>
      </w:tr>
      <w:tr>
        <w:tc>
          <w:tcPr>
            <w:tcW w:type="dxa" w:w="1701"/>
            <w:shd w:fill="EEF4FA" w:color="auto" w:val="clear"/>
          </w:tcPr>
          <w:p>
            <w:r>
              <w:rPr>
                <w:rFonts w:ascii="Calibri" w:hAnsi="Calibri"/>
                <w:b w:val="0"/>
                <w:i w:val="0"/>
                <w:sz w:val="20"/>
              </w:rPr>
              <w:t>XEV 9S BEV (reference)</w:t>
            </w:r>
          </w:p>
        </w:tc>
        <w:tc>
          <w:tcPr>
            <w:tcW w:type="dxa" w:w="1984"/>
            <w:shd w:fill="EEF4FA" w:color="auto" w:val="clear"/>
          </w:tcPr>
          <w:p>
            <w:r>
              <w:rPr>
                <w:rFonts w:ascii="Calibri" w:hAnsi="Calibri"/>
                <w:b w:val="0"/>
                <w:i w:val="0"/>
                <w:sz w:val="20"/>
              </w:rPr>
              <w:t>79 kWh</w:t>
            </w:r>
          </w:p>
        </w:tc>
        <w:tc>
          <w:tcPr>
            <w:tcW w:type="dxa" w:w="1984"/>
            <w:shd w:fill="EEF4FA" w:color="auto" w:val="clear"/>
          </w:tcPr>
          <w:p>
            <w:r>
              <w:rPr>
                <w:rFonts w:ascii="Calibri" w:hAnsi="Calibri"/>
                <w:b w:val="0"/>
                <w:i w:val="0"/>
                <w:sz w:val="20"/>
              </w:rPr>
              <w:t>187 kW</w:t>
            </w:r>
          </w:p>
        </w:tc>
        <w:tc>
          <w:tcPr>
            <w:tcW w:type="dxa" w:w="1417"/>
            <w:shd w:fill="EEF4FA" w:color="auto" w:val="clear"/>
          </w:tcPr>
          <w:p>
            <w:r>
              <w:rPr>
                <w:rFonts w:ascii="Calibri" w:hAnsi="Calibri"/>
                <w:b w:val="0"/>
                <w:i w:val="0"/>
                <w:sz w:val="20"/>
              </w:rPr>
              <w:t>2.37C</w:t>
            </w:r>
          </w:p>
        </w:tc>
        <w:tc>
          <w:tcPr>
            <w:tcW w:type="dxa" w:w="1984"/>
            <w:shd w:fill="EEF4FA" w:color="auto" w:val="clear"/>
          </w:tcPr>
          <w:p>
            <w:r>
              <w:rPr>
                <w:rFonts w:ascii="Calibri" w:hAnsi="Calibri"/>
                <w:b w:val="0"/>
                <w:i w:val="0"/>
                <w:sz w:val="20"/>
              </w:rPr>
              <w:t>~192 Ah</w:t>
            </w:r>
          </w:p>
        </w:tc>
        <w:tc>
          <w:tcPr>
            <w:tcW w:type="dxa" w:w="1701"/>
            <w:shd w:fill="EEF4FA" w:color="auto" w:val="clear"/>
          </w:tcPr>
          <w:p>
            <w:r>
              <w:rPr>
                <w:rFonts w:ascii="Calibri" w:hAnsi="Calibri"/>
                <w:b w:val="0"/>
                <w:i w:val="0"/>
                <w:sz w:val="20"/>
              </w:rPr>
              <w:t>~410 V nominal</w:t>
            </w:r>
          </w:p>
        </w:tc>
      </w:tr>
    </w:tbl>
    <w:p/>
    <w:p>
      <w:pPr>
        <w:spacing w:after="120" w:before="0"/>
      </w:pPr>
      <w:r>
        <w:rPr>
          <w:rFonts w:ascii="Calibri" w:hAnsi="Calibri"/>
          <w:sz w:val="22"/>
        </w:rPr>
        <w:t>The 79 kWh INGLO Blade 1.0 LFP cell runs at a comfortable 2.37C. At 40 kWh the C-rate nearly doubles — the Blade 1.0 was not characterised for this duty. The BYD Short Blade 2.0 high-power phosphate variant is designed for PHEV/REEV shallow cycling, high pulse power, and repeated generator charging.</w:t>
      </w:r>
    </w:p>
    <w:p>
      <w:pPr>
        <w:spacing w:after="80" w:before="0"/>
      </w:pPr>
      <w:r>
        <w:rPr>
          <w:rFonts w:ascii="Calibri" w:hAnsi="Calibri"/>
          <w:sz w:val="22"/>
        </w:rPr>
        <w:t>The 40/50 kWh pair is the smallest round-kWh split at which both variants stay at or below 5.3C with minimal asymmetry. Both use a 108-series 1-parallel string, maintaining the 400 V bus without any step-up converter. Certified MIDC EV range — ~340 km RWD, ~408 km AWD — comfortably exceeds the proposed 270 km policy threshold. This headroom is a consequence of correct pack sizing, not a design target.</w:t>
      </w:r>
    </w:p>
    <w:p>
      <w:pPr>
        <w:pStyle w:val="Heading1"/>
        <w:jc w:val="left"/>
      </w:pPr>
      <w:r>
        <w:rPr>
          <w:rFonts w:ascii="Calibri" w:hAnsi="Calibri"/>
          <w:color w:val="00467F"/>
        </w:rPr>
        <w:t>5.  Engine-Generator System</w:t>
      </w:r>
    </w:p>
    <w:p>
      <w:pPr>
        <w:spacing w:after="120" w:before="0"/>
      </w:pPr>
      <w:r>
        <w:rPr>
          <w:rFonts w:ascii="Calibri" w:hAnsi="Calibri"/>
          <w:sz w:val="22"/>
        </w:rPr>
        <w:t>The 1.5-litre turbocharged petrol engine (mStallion TGDi class, ~105 kW crank output) drives a PMSG through a single fixed-ratio coupling. The rectified HV-DC output feeds directly onto the 400 V bus. The engine has no mechanical path to the wheels at any point.</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vAlign w:val="center"/>
            <w:shd w:fill="00467F" w:color="auto" w:val="clear"/>
          </w:tcPr>
          <w:p>
            <w:pPr>
              <w:jc w:val="left"/>
            </w:pPr>
            <w:r>
              <w:rPr>
                <w:rFonts w:ascii="Calibri" w:hAnsi="Calibri"/>
                <w:b/>
                <w:i w:val="0"/>
                <w:color w:val="FFFFFF"/>
                <w:sz w:val="20"/>
              </w:rPr>
              <w:t>Band</w:t>
            </w:r>
          </w:p>
        </w:tc>
        <w:tc>
          <w:tcPr>
            <w:tcW w:type="dxa" w:w="1701"/>
            <w:vAlign w:val="center"/>
            <w:shd w:fill="00467F" w:color="auto" w:val="clear"/>
          </w:tcPr>
          <w:p>
            <w:pPr>
              <w:jc w:val="left"/>
            </w:pPr>
            <w:r>
              <w:rPr>
                <w:rFonts w:ascii="Calibri" w:hAnsi="Calibri"/>
                <w:b/>
                <w:i w:val="0"/>
                <w:color w:val="FFFFFF"/>
                <w:sz w:val="20"/>
              </w:rPr>
              <w:t>HV-DC output</w:t>
            </w:r>
          </w:p>
        </w:tc>
        <w:tc>
          <w:tcPr>
            <w:tcW w:type="dxa" w:w="1701"/>
            <w:vAlign w:val="center"/>
            <w:shd w:fill="00467F" w:color="auto" w:val="clear"/>
          </w:tcPr>
          <w:p>
            <w:pPr>
              <w:jc w:val="left"/>
            </w:pPr>
            <w:r>
              <w:rPr>
                <w:rFonts w:ascii="Calibri" w:hAnsi="Calibri"/>
                <w:b/>
                <w:i w:val="0"/>
                <w:color w:val="FFFFFF"/>
                <w:sz w:val="20"/>
              </w:rPr>
              <w:t>Engine RPM</w:t>
            </w:r>
          </w:p>
        </w:tc>
        <w:tc>
          <w:tcPr>
            <w:tcW w:type="dxa" w:w="2551"/>
            <w:vAlign w:val="center"/>
            <w:shd w:fill="00467F" w:color="auto" w:val="clear"/>
          </w:tcPr>
          <w:p>
            <w:pPr>
              <w:jc w:val="left"/>
            </w:pPr>
            <w:r>
              <w:rPr>
                <w:rFonts w:ascii="Calibri" w:hAnsi="Calibri"/>
                <w:b/>
                <w:i w:val="0"/>
                <w:color w:val="FFFFFF"/>
                <w:sz w:val="20"/>
              </w:rPr>
              <w:t>Brake thermal efficiency</w:t>
            </w:r>
          </w:p>
        </w:tc>
        <w:tc>
          <w:tcPr>
            <w:tcW w:type="dxa" w:w="2268"/>
            <w:vAlign w:val="center"/>
            <w:shd w:fill="00467F" w:color="auto" w:val="clear"/>
          </w:tcPr>
          <w:p>
            <w:pPr>
              <w:jc w:val="left"/>
            </w:pPr>
            <w:r>
              <w:rPr>
                <w:rFonts w:ascii="Calibri" w:hAnsi="Calibri"/>
                <w:b/>
                <w:i w:val="0"/>
                <w:color w:val="FFFFFF"/>
                <w:sz w:val="20"/>
              </w:rPr>
              <w:t>Typical use</w:t>
            </w:r>
          </w:p>
        </w:tc>
      </w:tr>
      <w:tr>
        <w:tc>
          <w:tcPr>
            <w:tcW w:type="dxa" w:w="850"/>
            <w:shd w:fill="EEF4FA" w:color="auto" w:val="clear"/>
          </w:tcPr>
          <w:p>
            <w:r>
              <w:rPr>
                <w:rFonts w:ascii="Calibri" w:hAnsi="Calibri"/>
                <w:b w:val="0"/>
                <w:i w:val="0"/>
                <w:sz w:val="20"/>
              </w:rPr>
              <w:t>1</w:t>
            </w:r>
          </w:p>
        </w:tc>
        <w:tc>
          <w:tcPr>
            <w:tcW w:type="dxa" w:w="1701"/>
            <w:shd w:fill="EEF4FA" w:color="auto" w:val="clear"/>
          </w:tcPr>
          <w:p>
            <w:r>
              <w:rPr>
                <w:rFonts w:ascii="Calibri" w:hAnsi="Calibri"/>
                <w:b w:val="0"/>
                <w:i w:val="0"/>
                <w:sz w:val="20"/>
              </w:rPr>
              <w:t>30 kW</w:t>
            </w:r>
          </w:p>
        </w:tc>
        <w:tc>
          <w:tcPr>
            <w:tcW w:type="dxa" w:w="1701"/>
            <w:shd w:fill="EEF4FA" w:color="auto" w:val="clear"/>
          </w:tcPr>
          <w:p>
            <w:r>
              <w:rPr>
                <w:rFonts w:ascii="Calibri" w:hAnsi="Calibri"/>
                <w:b w:val="0"/>
                <w:i w:val="0"/>
                <w:sz w:val="20"/>
              </w:rPr>
              <w:t>1,500</w:t>
            </w:r>
          </w:p>
        </w:tc>
        <w:tc>
          <w:tcPr>
            <w:tcW w:type="dxa" w:w="2551"/>
            <w:shd w:fill="EEF4FA" w:color="auto" w:val="clear"/>
          </w:tcPr>
          <w:p>
            <w:r>
              <w:rPr>
                <w:rFonts w:ascii="Calibri" w:hAnsi="Calibri"/>
                <w:b w:val="0"/>
                <w:i w:val="0"/>
                <w:sz w:val="20"/>
              </w:rPr>
              <w:t>38.5–40.0%</w:t>
            </w:r>
          </w:p>
        </w:tc>
        <w:tc>
          <w:tcPr>
            <w:tcW w:type="dxa" w:w="2268"/>
            <w:shd w:fill="EEF4FA" w:color="auto" w:val="clear"/>
          </w:tcPr>
          <w:p>
            <w:r>
              <w:rPr>
                <w:rFonts w:ascii="Calibri" w:hAnsi="Calibri"/>
                <w:b w:val="0"/>
                <w:i w:val="0"/>
                <w:sz w:val="20"/>
              </w:rPr>
              <w:t>Turtle recovery / minimum sustaining</w:t>
            </w:r>
          </w:p>
        </w:tc>
      </w:tr>
      <w:tr>
        <w:tc>
          <w:tcPr>
            <w:tcW w:type="dxa" w:w="850"/>
            <w:shd w:fill="FFFFFF" w:color="auto" w:val="clear"/>
          </w:tcPr>
          <w:p>
            <w:r>
              <w:rPr>
                <w:rFonts w:ascii="Calibri" w:hAnsi="Calibri"/>
                <w:b w:val="0"/>
                <w:i w:val="0"/>
                <w:sz w:val="20"/>
              </w:rPr>
              <w:t>2</w:t>
            </w:r>
          </w:p>
        </w:tc>
        <w:tc>
          <w:tcPr>
            <w:tcW w:type="dxa" w:w="1701"/>
            <w:shd w:fill="FFFFFF" w:color="auto" w:val="clear"/>
          </w:tcPr>
          <w:p>
            <w:r>
              <w:rPr>
                <w:rFonts w:ascii="Calibri" w:hAnsi="Calibri"/>
                <w:b w:val="0"/>
                <w:i w:val="0"/>
                <w:sz w:val="20"/>
              </w:rPr>
              <w:t>40 kW</w:t>
            </w:r>
          </w:p>
        </w:tc>
        <w:tc>
          <w:tcPr>
            <w:tcW w:type="dxa" w:w="1701"/>
            <w:shd w:fill="FFFFFF" w:color="auto" w:val="clear"/>
          </w:tcPr>
          <w:p>
            <w:r>
              <w:rPr>
                <w:rFonts w:ascii="Calibri" w:hAnsi="Calibri"/>
                <w:b w:val="0"/>
                <w:i w:val="0"/>
                <w:sz w:val="20"/>
              </w:rPr>
              <w:t>1,800</w:t>
            </w:r>
          </w:p>
        </w:tc>
        <w:tc>
          <w:tcPr>
            <w:tcW w:type="dxa" w:w="2551"/>
            <w:shd w:fill="FFFFFF" w:color="auto" w:val="clear"/>
          </w:tcPr>
          <w:p>
            <w:r>
              <w:rPr>
                <w:rFonts w:ascii="Calibri" w:hAnsi="Calibri"/>
                <w:b w:val="0"/>
                <w:i w:val="0"/>
                <w:sz w:val="20"/>
              </w:rPr>
              <w:t>37.5–39.0%</w:t>
            </w:r>
          </w:p>
        </w:tc>
        <w:tc>
          <w:tcPr>
            <w:tcW w:type="dxa" w:w="2268"/>
            <w:shd w:fill="FFFFFF" w:color="auto" w:val="clear"/>
          </w:tcPr>
          <w:p>
            <w:r>
              <w:rPr>
                <w:rFonts w:ascii="Calibri" w:hAnsi="Calibri"/>
                <w:b w:val="0"/>
                <w:i w:val="0"/>
                <w:sz w:val="20"/>
              </w:rPr>
              <w:t>Light highway</w:t>
            </w:r>
          </w:p>
        </w:tc>
      </w:tr>
      <w:tr>
        <w:tc>
          <w:tcPr>
            <w:tcW w:type="dxa" w:w="850"/>
            <w:shd w:fill="EEF4FA" w:color="auto" w:val="clear"/>
          </w:tcPr>
          <w:p>
            <w:r>
              <w:rPr>
                <w:rFonts w:ascii="Calibri" w:hAnsi="Calibri"/>
                <w:b w:val="0"/>
                <w:i w:val="0"/>
                <w:sz w:val="20"/>
              </w:rPr>
              <w:t>3</w:t>
            </w:r>
          </w:p>
        </w:tc>
        <w:tc>
          <w:tcPr>
            <w:tcW w:type="dxa" w:w="1701"/>
            <w:shd w:fill="EEF4FA" w:color="auto" w:val="clear"/>
          </w:tcPr>
          <w:p>
            <w:r>
              <w:rPr>
                <w:rFonts w:ascii="Calibri" w:hAnsi="Calibri"/>
                <w:b w:val="0"/>
                <w:i w:val="0"/>
                <w:sz w:val="20"/>
              </w:rPr>
              <w:t>55 kW</w:t>
            </w:r>
          </w:p>
        </w:tc>
        <w:tc>
          <w:tcPr>
            <w:tcW w:type="dxa" w:w="1701"/>
            <w:shd w:fill="EEF4FA" w:color="auto" w:val="clear"/>
          </w:tcPr>
          <w:p>
            <w:r>
              <w:rPr>
                <w:rFonts w:ascii="Calibri" w:hAnsi="Calibri"/>
                <w:b w:val="0"/>
                <w:i w:val="0"/>
                <w:sz w:val="20"/>
              </w:rPr>
              <w:t>2,300</w:t>
            </w:r>
          </w:p>
        </w:tc>
        <w:tc>
          <w:tcPr>
            <w:tcW w:type="dxa" w:w="2551"/>
            <w:shd w:fill="EEF4FA" w:color="auto" w:val="clear"/>
          </w:tcPr>
          <w:p>
            <w:r>
              <w:rPr>
                <w:rFonts w:ascii="Calibri" w:hAnsi="Calibri"/>
                <w:b w:val="0"/>
                <w:i w:val="0"/>
                <w:sz w:val="20"/>
              </w:rPr>
              <w:t>36.5–38.0%</w:t>
            </w:r>
          </w:p>
        </w:tc>
        <w:tc>
          <w:tcPr>
            <w:tcW w:type="dxa" w:w="2268"/>
            <w:shd w:fill="EEF4FA" w:color="auto" w:val="clear"/>
          </w:tcPr>
          <w:p>
            <w:r>
              <w:rPr>
                <w:rFonts w:ascii="Calibri" w:hAnsi="Calibri"/>
                <w:b w:val="0"/>
                <w:i w:val="0"/>
                <w:sz w:val="20"/>
              </w:rPr>
              <w:t>Normal highway</w:t>
            </w:r>
          </w:p>
        </w:tc>
      </w:tr>
      <w:tr>
        <w:tc>
          <w:tcPr>
            <w:tcW w:type="dxa" w:w="850"/>
            <w:shd w:fill="FFFFFF" w:color="auto" w:val="clear"/>
          </w:tcPr>
          <w:p>
            <w:r>
              <w:rPr>
                <w:rFonts w:ascii="Calibri" w:hAnsi="Calibri"/>
                <w:b w:val="0"/>
                <w:i w:val="0"/>
                <w:sz w:val="20"/>
              </w:rPr>
              <w:t>4</w:t>
            </w:r>
          </w:p>
        </w:tc>
        <w:tc>
          <w:tcPr>
            <w:tcW w:type="dxa" w:w="1701"/>
            <w:shd w:fill="FFFFFF" w:color="auto" w:val="clear"/>
          </w:tcPr>
          <w:p>
            <w:r>
              <w:rPr>
                <w:rFonts w:ascii="Calibri" w:hAnsi="Calibri"/>
                <w:b w:val="0"/>
                <w:i w:val="0"/>
                <w:sz w:val="20"/>
              </w:rPr>
              <w:t>70 kW</w:t>
            </w:r>
          </w:p>
        </w:tc>
        <w:tc>
          <w:tcPr>
            <w:tcW w:type="dxa" w:w="1701"/>
            <w:shd w:fill="FFFFFF" w:color="auto" w:val="clear"/>
          </w:tcPr>
          <w:p>
            <w:r>
              <w:rPr>
                <w:rFonts w:ascii="Calibri" w:hAnsi="Calibri"/>
                <w:b w:val="0"/>
                <w:i w:val="0"/>
                <w:sz w:val="20"/>
              </w:rPr>
              <w:t>2,800</w:t>
            </w:r>
          </w:p>
        </w:tc>
        <w:tc>
          <w:tcPr>
            <w:tcW w:type="dxa" w:w="2551"/>
            <w:shd w:fill="FFFFFF" w:color="auto" w:val="clear"/>
          </w:tcPr>
          <w:p>
            <w:r>
              <w:rPr>
                <w:rFonts w:ascii="Calibri" w:hAnsi="Calibri"/>
                <w:b w:val="0"/>
                <w:i w:val="0"/>
                <w:sz w:val="20"/>
              </w:rPr>
              <w:t>35.0–37.0%</w:t>
            </w:r>
          </w:p>
        </w:tc>
        <w:tc>
          <w:tcPr>
            <w:tcW w:type="dxa" w:w="2268"/>
            <w:shd w:fill="FFFFFF" w:color="auto" w:val="clear"/>
          </w:tcPr>
          <w:p>
            <w:r>
              <w:rPr>
                <w:rFonts w:ascii="Calibri" w:hAnsi="Calibri"/>
                <w:b w:val="0"/>
                <w:i w:val="0"/>
                <w:sz w:val="20"/>
              </w:rPr>
              <w:t>Sustained high load</w:t>
            </w:r>
          </w:p>
        </w:tc>
      </w:tr>
      <w:tr>
        <w:tc>
          <w:tcPr>
            <w:tcW w:type="dxa" w:w="850"/>
            <w:shd w:fill="EEF4FA" w:color="auto" w:val="clear"/>
          </w:tcPr>
          <w:p>
            <w:r>
              <w:rPr>
                <w:rFonts w:ascii="Calibri" w:hAnsi="Calibri"/>
                <w:b w:val="0"/>
                <w:i w:val="0"/>
                <w:sz w:val="20"/>
              </w:rPr>
              <w:t>5</w:t>
            </w:r>
          </w:p>
        </w:tc>
        <w:tc>
          <w:tcPr>
            <w:tcW w:type="dxa" w:w="1701"/>
            <w:shd w:fill="EEF4FA" w:color="auto" w:val="clear"/>
          </w:tcPr>
          <w:p>
            <w:r>
              <w:rPr>
                <w:rFonts w:ascii="Calibri" w:hAnsi="Calibri"/>
                <w:b w:val="0"/>
                <w:i w:val="0"/>
                <w:sz w:val="20"/>
              </w:rPr>
              <w:t>90 kW</w:t>
            </w:r>
          </w:p>
        </w:tc>
        <w:tc>
          <w:tcPr>
            <w:tcW w:type="dxa" w:w="1701"/>
            <w:shd w:fill="EEF4FA" w:color="auto" w:val="clear"/>
          </w:tcPr>
          <w:p>
            <w:r>
              <w:rPr>
                <w:rFonts w:ascii="Calibri" w:hAnsi="Calibri"/>
                <w:b w:val="0"/>
                <w:i w:val="0"/>
                <w:sz w:val="20"/>
              </w:rPr>
              <w:t>3,500</w:t>
            </w:r>
          </w:p>
        </w:tc>
        <w:tc>
          <w:tcPr>
            <w:tcW w:type="dxa" w:w="2551"/>
            <w:shd w:fill="EEF4FA" w:color="auto" w:val="clear"/>
          </w:tcPr>
          <w:p>
            <w:r>
              <w:rPr>
                <w:rFonts w:ascii="Calibri" w:hAnsi="Calibri"/>
                <w:b w:val="0"/>
                <w:i w:val="0"/>
                <w:sz w:val="20"/>
              </w:rPr>
              <w:t>33.5–35.5%</w:t>
            </w:r>
          </w:p>
        </w:tc>
        <w:tc>
          <w:tcPr>
            <w:tcW w:type="dxa" w:w="2268"/>
            <w:shd w:fill="EEF4FA" w:color="auto" w:val="clear"/>
          </w:tcPr>
          <w:p>
            <w:r>
              <w:rPr>
                <w:rFonts w:ascii="Calibri" w:hAnsi="Calibri"/>
                <w:b w:val="0"/>
                <w:i w:val="0"/>
                <w:sz w:val="20"/>
              </w:rPr>
              <w:t>High demand / hills</w:t>
            </w:r>
          </w:p>
        </w:tc>
      </w:tr>
      <w:tr>
        <w:tc>
          <w:tcPr>
            <w:tcW w:type="dxa" w:w="850"/>
            <w:shd w:fill="FFFFFF" w:color="auto" w:val="clear"/>
          </w:tcPr>
          <w:p>
            <w:r>
              <w:rPr>
                <w:rFonts w:ascii="Calibri" w:hAnsi="Calibri"/>
                <w:b w:val="0"/>
                <w:i w:val="0"/>
                <w:sz w:val="20"/>
              </w:rPr>
              <w:t>6</w:t>
            </w:r>
          </w:p>
        </w:tc>
        <w:tc>
          <w:tcPr>
            <w:tcW w:type="dxa" w:w="1701"/>
            <w:shd w:fill="FFFFFF" w:color="auto" w:val="clear"/>
          </w:tcPr>
          <w:p>
            <w:r>
              <w:rPr>
                <w:rFonts w:ascii="Calibri" w:hAnsi="Calibri"/>
                <w:b w:val="0"/>
                <w:i w:val="0"/>
                <w:sz w:val="20"/>
              </w:rPr>
              <w:t>105 kW</w:t>
            </w:r>
          </w:p>
        </w:tc>
        <w:tc>
          <w:tcPr>
            <w:tcW w:type="dxa" w:w="1701"/>
            <w:shd w:fill="FFFFFF" w:color="auto" w:val="clear"/>
          </w:tcPr>
          <w:p>
            <w:r>
              <w:rPr>
                <w:rFonts w:ascii="Calibri" w:hAnsi="Calibri"/>
                <w:b w:val="0"/>
                <w:i w:val="0"/>
                <w:sz w:val="20"/>
              </w:rPr>
              <w:t>4,000</w:t>
            </w:r>
          </w:p>
        </w:tc>
        <w:tc>
          <w:tcPr>
            <w:tcW w:type="dxa" w:w="2551"/>
            <w:shd w:fill="FFFFFF" w:color="auto" w:val="clear"/>
          </w:tcPr>
          <w:p>
            <w:r>
              <w:rPr>
                <w:rFonts w:ascii="Calibri" w:hAnsi="Calibri"/>
                <w:b w:val="0"/>
                <w:i w:val="0"/>
                <w:sz w:val="20"/>
              </w:rPr>
              <w:t>31.5–34.0%</w:t>
            </w:r>
          </w:p>
        </w:tc>
        <w:tc>
          <w:tcPr>
            <w:tcW w:type="dxa" w:w="2268"/>
            <w:shd w:fill="FFFFFF" w:color="auto" w:val="clear"/>
          </w:tcPr>
          <w:p>
            <w:r>
              <w:rPr>
                <w:rFonts w:ascii="Calibri" w:hAnsi="Calibri"/>
                <w:b w:val="0"/>
                <w:i w:val="0"/>
                <w:sz w:val="20"/>
              </w:rPr>
              <w:t>Maximum output</w:t>
            </w:r>
          </w:p>
        </w:tc>
      </w:tr>
    </w:tbl>
    <w:p/>
    <w:p>
      <w:pPr>
        <w:pStyle w:val="Heading1"/>
        <w:jc w:val="left"/>
      </w:pPr>
      <w:r>
        <w:rPr>
          <w:rFonts w:ascii="Calibri" w:hAnsi="Calibri"/>
          <w:color w:val="00467F"/>
        </w:rPr>
        <w:t>6.  Energy Management — Control Law Summary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vAlign w:val="center"/>
            <w:shd w:fill="00467F" w:color="auto" w:val="clear"/>
          </w:tcPr>
          <w:p>
            <w:pPr>
              <w:jc w:val="left"/>
            </w:pPr>
            <w:r>
              <w:rPr>
                <w:rFonts w:ascii="Calibri" w:hAnsi="Calibri"/>
                <w:b/>
                <w:i w:val="0"/>
                <w:color w:val="FFFFFF"/>
                <w:sz w:val="20"/>
              </w:rPr>
              <w:t>State</w:t>
            </w:r>
          </w:p>
        </w:tc>
        <w:tc>
          <w:tcPr>
            <w:tcW w:type="dxa" w:w="2551"/>
            <w:vAlign w:val="center"/>
            <w:shd w:fill="00467F" w:color="auto" w:val="clear"/>
          </w:tcPr>
          <w:p>
            <w:pPr>
              <w:jc w:val="left"/>
            </w:pPr>
            <w:r>
              <w:rPr>
                <w:rFonts w:ascii="Calibri" w:hAnsi="Calibri"/>
                <w:b/>
                <w:i w:val="0"/>
                <w:color w:val="FFFFFF"/>
                <w:sz w:val="20"/>
              </w:rPr>
              <w:t>Condition</w:t>
            </w:r>
          </w:p>
        </w:tc>
        <w:tc>
          <w:tcPr>
            <w:tcW w:type="dxa" w:w="2268"/>
            <w:vAlign w:val="center"/>
            <w:shd w:fill="00467F" w:color="auto" w:val="clear"/>
          </w:tcPr>
          <w:p>
            <w:pPr>
              <w:jc w:val="left"/>
            </w:pPr>
            <w:r>
              <w:rPr>
                <w:rFonts w:ascii="Calibri" w:hAnsi="Calibri"/>
                <w:b/>
                <w:i w:val="0"/>
                <w:color w:val="FFFFFF"/>
                <w:sz w:val="20"/>
              </w:rPr>
              <w:t>Generator</w:t>
            </w:r>
          </w:p>
        </w:tc>
        <w:tc>
          <w:tcPr>
            <w:tcW w:type="dxa" w:w="1984"/>
            <w:vAlign w:val="center"/>
            <w:shd w:fill="00467F" w:color="auto" w:val="clear"/>
          </w:tcPr>
          <w:p>
            <w:pPr>
              <w:jc w:val="left"/>
            </w:pPr>
            <w:r>
              <w:rPr>
                <w:rFonts w:ascii="Calibri" w:hAnsi="Calibri"/>
                <w:b/>
                <w:i w:val="0"/>
                <w:color w:val="FFFFFF"/>
                <w:sz w:val="20"/>
              </w:rPr>
              <w:t>Battery role</w:t>
            </w:r>
          </w:p>
        </w:tc>
      </w:tr>
      <w:tr>
        <w:tc>
          <w:tcPr>
            <w:tcW w:type="dxa" w:w="2268"/>
            <w:shd w:fill="EEF4FA" w:color="auto" w:val="clear"/>
          </w:tcPr>
          <w:p>
            <w:r>
              <w:rPr>
                <w:rFonts w:ascii="Calibri" w:hAnsi="Calibri"/>
                <w:b w:val="0"/>
                <w:i w:val="0"/>
                <w:sz w:val="20"/>
              </w:rPr>
              <w:t>S1 — Pure EV</w:t>
            </w:r>
          </w:p>
        </w:tc>
        <w:tc>
          <w:tcPr>
            <w:tcW w:type="dxa" w:w="2551"/>
            <w:shd w:fill="EEF4FA" w:color="auto" w:val="clear"/>
          </w:tcPr>
          <w:p>
            <w:r>
              <w:rPr>
                <w:rFonts w:ascii="Calibri" w:hAnsi="Calibri"/>
                <w:b w:val="0"/>
                <w:i w:val="0"/>
                <w:sz w:val="20"/>
              </w:rPr>
              <w:t>SoC above mode start boundary</w:t>
            </w:r>
          </w:p>
        </w:tc>
        <w:tc>
          <w:tcPr>
            <w:tcW w:type="dxa" w:w="2268"/>
            <w:shd w:fill="EEF4FA" w:color="auto" w:val="clear"/>
          </w:tcPr>
          <w:p>
            <w:r>
              <w:rPr>
                <w:rFonts w:ascii="Calibri" w:hAnsi="Calibri"/>
                <w:b w:val="0"/>
                <w:i w:val="0"/>
                <w:sz w:val="20"/>
              </w:rPr>
              <w:t>Off</w:t>
            </w:r>
          </w:p>
        </w:tc>
        <w:tc>
          <w:tcPr>
            <w:tcW w:type="dxa" w:w="1984"/>
            <w:shd w:fill="EEF4FA" w:color="auto" w:val="clear"/>
          </w:tcPr>
          <w:p>
            <w:r>
              <w:rPr>
                <w:rFonts w:ascii="Calibri" w:hAnsi="Calibri"/>
                <w:b w:val="0"/>
                <w:i w:val="0"/>
                <w:sz w:val="20"/>
              </w:rPr>
              <w:t>Supplies all traction and auxiliaries</w:t>
            </w:r>
          </w:p>
        </w:tc>
      </w:tr>
      <w:tr>
        <w:tc>
          <w:tcPr>
            <w:tcW w:type="dxa" w:w="2268"/>
            <w:shd w:fill="FFFFFF" w:color="auto" w:val="clear"/>
          </w:tcPr>
          <w:p>
            <w:r>
              <w:rPr>
                <w:rFonts w:ascii="Calibri" w:hAnsi="Calibri"/>
                <w:b w:val="0"/>
                <w:i w:val="0"/>
                <w:sz w:val="20"/>
              </w:rPr>
              <w:t>S2 — Battery protection</w:t>
            </w:r>
          </w:p>
        </w:tc>
        <w:tc>
          <w:tcPr>
            <w:tcW w:type="dxa" w:w="2551"/>
            <w:shd w:fill="FFFFFF" w:color="auto" w:val="clear"/>
          </w:tcPr>
          <w:p>
            <w:r>
              <w:rPr>
                <w:rFonts w:ascii="Calibri" w:hAnsi="Calibri"/>
                <w:b w:val="0"/>
                <w:i w:val="0"/>
                <w:sz w:val="20"/>
              </w:rPr>
              <w:t>SoC healthy but capability limited</w:t>
            </w:r>
          </w:p>
        </w:tc>
        <w:tc>
          <w:tcPr>
            <w:tcW w:type="dxa" w:w="2268"/>
            <w:shd w:fill="FFFFFF" w:color="auto" w:val="clear"/>
          </w:tcPr>
          <w:p>
            <w:r>
              <w:rPr>
                <w:rFonts w:ascii="Calibri" w:hAnsi="Calibri"/>
                <w:b w:val="0"/>
                <w:i w:val="0"/>
                <w:sz w:val="20"/>
              </w:rPr>
              <w:t>Off</w:t>
            </w:r>
          </w:p>
        </w:tc>
        <w:tc>
          <w:tcPr>
            <w:tcW w:type="dxa" w:w="1984"/>
            <w:shd w:fill="FFFFFF" w:color="auto" w:val="clear"/>
          </w:tcPr>
          <w:p>
            <w:r>
              <w:rPr>
                <w:rFonts w:ascii="Calibri" w:hAnsi="Calibri"/>
                <w:b w:val="0"/>
                <w:i w:val="0"/>
                <w:sz w:val="20"/>
              </w:rPr>
              <w:t>Torque reduced; no generator start for acceleration</w:t>
            </w:r>
          </w:p>
        </w:tc>
      </w:tr>
      <w:tr>
        <w:tc>
          <w:tcPr>
            <w:tcW w:type="dxa" w:w="2268"/>
            <w:shd w:fill="EEF4FA" w:color="auto" w:val="clear"/>
          </w:tcPr>
          <w:p>
            <w:r>
              <w:rPr>
                <w:rFonts w:ascii="Calibri" w:hAnsi="Calibri"/>
                <w:b w:val="0"/>
                <w:i w:val="0"/>
                <w:sz w:val="20"/>
              </w:rPr>
              <w:t>S3 — Charge sustaining</w:t>
            </w:r>
          </w:p>
        </w:tc>
        <w:tc>
          <w:tcPr>
            <w:tcW w:type="dxa" w:w="2551"/>
            <w:shd w:fill="EEF4FA" w:color="auto" w:val="clear"/>
          </w:tcPr>
          <w:p>
            <w:r>
              <w:rPr>
                <w:rFonts w:ascii="Calibri" w:hAnsi="Calibri"/>
                <w:b w:val="0"/>
                <w:i w:val="0"/>
                <w:sz w:val="20"/>
              </w:rPr>
              <w:t>SoC at mode start boundary</w:t>
            </w:r>
          </w:p>
        </w:tc>
        <w:tc>
          <w:tcPr>
            <w:tcW w:type="dxa" w:w="2268"/>
            <w:shd w:fill="EEF4FA" w:color="auto" w:val="clear"/>
          </w:tcPr>
          <w:p>
            <w:r>
              <w:rPr>
                <w:rFonts w:ascii="Calibri" w:hAnsi="Calibri"/>
                <w:b w:val="0"/>
                <w:i w:val="0"/>
                <w:sz w:val="20"/>
              </w:rPr>
              <w:t>Running in smallest sufficient band</w:t>
            </w:r>
          </w:p>
        </w:tc>
        <w:tc>
          <w:tcPr>
            <w:tcW w:type="dxa" w:w="1984"/>
            <w:shd w:fill="EEF4FA" w:color="auto" w:val="clear"/>
          </w:tcPr>
          <w:p>
            <w:r>
              <w:rPr>
                <w:rFonts w:ascii="Calibri" w:hAnsi="Calibri"/>
                <w:b w:val="0"/>
                <w:i w:val="0"/>
                <w:sz w:val="20"/>
              </w:rPr>
              <w:t>Covers transients; surplus recharges battery</w:t>
            </w:r>
          </w:p>
        </w:tc>
      </w:tr>
      <w:tr>
        <w:tc>
          <w:tcPr>
            <w:tcW w:type="dxa" w:w="2268"/>
            <w:shd w:fill="FFFFFF" w:color="auto" w:val="clear"/>
          </w:tcPr>
          <w:p>
            <w:r>
              <w:rPr>
                <w:rFonts w:ascii="Calibri" w:hAnsi="Calibri"/>
                <w:b w:val="0"/>
                <w:i w:val="0"/>
                <w:sz w:val="20"/>
              </w:rPr>
              <w:t>S4 — Generator limited</w:t>
            </w:r>
          </w:p>
        </w:tc>
        <w:tc>
          <w:tcPr>
            <w:tcW w:type="dxa" w:w="2551"/>
            <w:shd w:fill="FFFFFF" w:color="auto" w:val="clear"/>
          </w:tcPr>
          <w:p>
            <w:r>
              <w:rPr>
                <w:rFonts w:ascii="Calibri" w:hAnsi="Calibri"/>
                <w:b w:val="0"/>
                <w:i w:val="0"/>
                <w:sz w:val="20"/>
              </w:rPr>
              <w:t>Battery cannot sustain traction deficit safely</w:t>
            </w:r>
          </w:p>
        </w:tc>
        <w:tc>
          <w:tcPr>
            <w:tcW w:type="dxa" w:w="2268"/>
            <w:shd w:fill="FFFFFF" w:color="auto" w:val="clear"/>
          </w:tcPr>
          <w:p>
            <w:r>
              <w:rPr>
                <w:rFonts w:ascii="Calibri" w:hAnsi="Calibri"/>
                <w:b w:val="0"/>
                <w:i w:val="0"/>
                <w:sz w:val="20"/>
              </w:rPr>
              <w:t>Running; covers auxiliaries + traction</w:t>
            </w:r>
          </w:p>
        </w:tc>
        <w:tc>
          <w:tcPr>
            <w:tcW w:type="dxa" w:w="1984"/>
            <w:shd w:fill="FFFFFF" w:color="auto" w:val="clear"/>
          </w:tcPr>
          <w:p>
            <w:r>
              <w:rPr>
                <w:rFonts w:ascii="Calibri" w:hAnsi="Calibri"/>
                <w:b w:val="0"/>
                <w:i w:val="0"/>
                <w:sz w:val="20"/>
              </w:rPr>
              <w:t>Discharge limit zero; accepts generator surplus only</w:t>
            </w:r>
          </w:p>
        </w:tc>
      </w:tr>
      <w:tr>
        <w:tc>
          <w:tcPr>
            <w:tcW w:type="dxa" w:w="2268"/>
            <w:shd w:fill="EEF4FA" w:color="auto" w:val="clear"/>
          </w:tcPr>
          <w:p>
            <w:r>
              <w:rPr>
                <w:rFonts w:ascii="Calibri" w:hAnsi="Calibri"/>
                <w:b w:val="0"/>
                <w:i w:val="0"/>
                <w:sz w:val="20"/>
              </w:rPr>
              <w:t>S5 — Turtle</w:t>
            </w:r>
          </w:p>
        </w:tc>
        <w:tc>
          <w:tcPr>
            <w:tcW w:type="dxa" w:w="2551"/>
            <w:shd w:fill="EEF4FA" w:color="auto" w:val="clear"/>
          </w:tcPr>
          <w:p>
            <w:r>
              <w:rPr>
                <w:rFonts w:ascii="Calibri" w:hAnsi="Calibri"/>
                <w:b w:val="0"/>
                <w:i w:val="0"/>
                <w:sz w:val="20"/>
              </w:rPr>
              <w:t>Battery at Turtle floor, no fuel</w:t>
            </w:r>
          </w:p>
        </w:tc>
        <w:tc>
          <w:tcPr>
            <w:tcW w:type="dxa" w:w="2268"/>
            <w:shd w:fill="EEF4FA" w:color="auto" w:val="clear"/>
          </w:tcPr>
          <w:p>
            <w:r>
              <w:rPr>
                <w:rFonts w:ascii="Calibri" w:hAnsi="Calibri"/>
                <w:b w:val="0"/>
                <w:i w:val="0"/>
                <w:sz w:val="20"/>
              </w:rPr>
              <w:t>Off</w:t>
            </w:r>
          </w:p>
        </w:tc>
        <w:tc>
          <w:tcPr>
            <w:tcW w:type="dxa" w:w="1984"/>
            <w:shd w:fill="EEF4FA" w:color="auto" w:val="clear"/>
          </w:tcPr>
          <w:p>
            <w:r>
              <w:rPr>
                <w:rFonts w:ascii="Calibri" w:hAnsi="Calibri"/>
                <w:b w:val="0"/>
                <w:i w:val="0"/>
                <w:sz w:val="20"/>
              </w:rPr>
              <w:t>Emergency mobility; 60 km/h ceiling</w:t>
            </w:r>
          </w:p>
        </w:tc>
      </w:tr>
      <w:tr>
        <w:tc>
          <w:tcPr>
            <w:tcW w:type="dxa" w:w="2268"/>
            <w:shd w:fill="FFFFFF" w:color="auto" w:val="clear"/>
          </w:tcPr>
          <w:p>
            <w:r>
              <w:rPr>
                <w:rFonts w:ascii="Calibri" w:hAnsi="Calibri"/>
                <w:b w:val="0"/>
                <w:i w:val="0"/>
                <w:sz w:val="20"/>
              </w:rPr>
              <w:t>S6 — Refuel recovery</w:t>
            </w:r>
          </w:p>
        </w:tc>
        <w:tc>
          <w:tcPr>
            <w:tcW w:type="dxa" w:w="2551"/>
            <w:shd w:fill="FFFFFF" w:color="auto" w:val="clear"/>
          </w:tcPr>
          <w:p>
            <w:r>
              <w:rPr>
                <w:rFonts w:ascii="Calibri" w:hAnsi="Calibri"/>
                <w:b w:val="0"/>
                <w:i w:val="0"/>
                <w:sz w:val="20"/>
              </w:rPr>
              <w:t>Fuel confirmed from S5</w:t>
            </w:r>
          </w:p>
        </w:tc>
        <w:tc>
          <w:tcPr>
            <w:tcW w:type="dxa" w:w="2268"/>
            <w:shd w:fill="FFFFFF" w:color="auto" w:val="clear"/>
          </w:tcPr>
          <w:p>
            <w:r>
              <w:rPr>
                <w:rFonts w:ascii="Calibri" w:hAnsi="Calibri"/>
                <w:b w:val="0"/>
                <w:i w:val="0"/>
                <w:sz w:val="20"/>
              </w:rPr>
              <w:t>Restarting at 30–40 kW</w:t>
            </w:r>
          </w:p>
        </w:tc>
        <w:tc>
          <w:tcPr>
            <w:tcW w:type="dxa" w:w="1984"/>
            <w:shd w:fill="FFFFFF" w:color="auto" w:val="clear"/>
          </w:tcPr>
          <w:p>
            <w:r>
              <w:rPr>
                <w:rFonts w:ascii="Calibri" w:hAnsi="Calibri"/>
                <w:b w:val="0"/>
                <w:i w:val="0"/>
                <w:sz w:val="20"/>
              </w:rPr>
              <w:t>Energy rebuilt before performance restored</w:t>
            </w:r>
          </w:p>
        </w:tc>
      </w:tr>
    </w:tbl>
    <w:p/>
    <w:p>
      <w:pPr>
        <w:spacing w:after="80" w:before="0"/>
      </w:pPr>
      <w:r>
        <w:rPr>
          <w:rFonts w:ascii="Calibri" w:hAnsi="Calibri"/>
          <w:sz w:val="22"/>
        </w:rPr>
        <w:t>Three driver-selectable modes — Economy (15%/30%), Sport (20%/35%), Hills/Terrain (20%/35% with longer downshift dwell) — adjust generator boundaries and ramp rates. Sport demotes to Economy at 9.5% SoC. Hills/Terrain holds its band-hunting character down to 8%.</w:t>
      </w:r>
    </w:p>
    <w:p>
      <w:pPr>
        <w:pStyle w:val="Heading1"/>
        <w:jc w:val="left"/>
      </w:pPr>
      <w:r>
        <w:rPr>
          <w:rFonts w:ascii="Calibri" w:hAnsi="Calibri"/>
          <w:color w:val="00467F"/>
        </w:rPr>
        <w:t>7.  Mass Budget</w:t>
      </w:r>
    </w:p>
    <w:p>
      <w:pPr>
        <w:spacing w:after="120" w:before="0"/>
      </w:pPr>
      <w:r>
        <w:rPr>
          <w:rFonts w:ascii="Calibri" w:hAnsi="Calibri"/>
          <w:sz w:val="22"/>
        </w:rPr>
        <w:t>XEV 9S reference: 2,240 kg with 79 kWh pack. All values are planning ranges, not weighed results:</w:t>
      </w:r>
    </w:p>
    <w:tbl>
      <w:tblPr>
        <w:tblStyle w:val="TableGrid"/>
        <w:tblW w:type="auto" w:w="0"/>
        <w:jc w:val="left"/>
        <w:tblLook w:firstColumn="1" w:firstRow="1" w:lastColumn="0" w:lastRow="0" w:noHBand="0" w:noVBand="1" w:val="04A0"/>
      </w:tblPr>
      <w:tblGrid>
        <w:gridCol w:w="3024"/>
        <w:gridCol w:w="3024"/>
        <w:gridCol w:w="3024"/>
      </w:tblGrid>
      <w:tr>
        <w:tc>
          <w:tcPr>
            <w:tcW w:type="dxa" w:w="5102"/>
            <w:vAlign w:val="center"/>
            <w:shd w:fill="00467F" w:color="auto" w:val="clear"/>
          </w:tcPr>
          <w:p>
            <w:pPr>
              <w:jc w:val="left"/>
            </w:pPr>
            <w:r>
              <w:rPr>
                <w:rFonts w:ascii="Calibri" w:hAnsi="Calibri"/>
                <w:b/>
                <w:i w:val="0"/>
                <w:color w:val="FFFFFF"/>
                <w:sz w:val="20"/>
              </w:rPr>
              <w:t>Item</w:t>
            </w:r>
          </w:p>
        </w:tc>
        <w:tc>
          <w:tcPr>
            <w:tcW w:type="dxa" w:w="1701"/>
            <w:vAlign w:val="center"/>
            <w:shd w:fill="00467F" w:color="auto" w:val="clear"/>
          </w:tcPr>
          <w:p>
            <w:pPr>
              <w:jc w:val="left"/>
            </w:pPr>
            <w:r>
              <w:rPr>
                <w:rFonts w:ascii="Calibri" w:hAnsi="Calibri"/>
                <w:b/>
                <w:i w:val="0"/>
                <w:color w:val="FFFFFF"/>
                <w:sz w:val="20"/>
              </w:rPr>
              <w:t>RWD Δ kg</w:t>
            </w:r>
          </w:p>
        </w:tc>
        <w:tc>
          <w:tcPr>
            <w:tcW w:type="dxa" w:w="1701"/>
            <w:vAlign w:val="center"/>
            <w:shd w:fill="00467F" w:color="auto" w:val="clear"/>
          </w:tcPr>
          <w:p>
            <w:pPr>
              <w:jc w:val="left"/>
            </w:pPr>
            <w:r>
              <w:rPr>
                <w:rFonts w:ascii="Calibri" w:hAnsi="Calibri"/>
                <w:b/>
                <w:i w:val="0"/>
                <w:color w:val="FFFFFF"/>
                <w:sz w:val="20"/>
              </w:rPr>
              <w:t>AWD Δ kg</w:t>
            </w:r>
          </w:p>
        </w:tc>
      </w:tr>
      <w:tr>
        <w:tc>
          <w:tcPr>
            <w:tcW w:type="dxa" w:w="5102"/>
            <w:shd w:fill="EEF4FA" w:color="auto" w:val="clear"/>
          </w:tcPr>
          <w:p>
            <w:r>
              <w:rPr>
                <w:rFonts w:ascii="Calibri" w:hAnsi="Calibri"/>
                <w:b w:val="0"/>
                <w:i w:val="0"/>
                <w:sz w:val="20"/>
              </w:rPr>
              <w:t>Remove: 79 kWh Blade 1.0 LFP pack</w:t>
            </w:r>
          </w:p>
        </w:tc>
        <w:tc>
          <w:tcPr>
            <w:tcW w:type="dxa" w:w="1701"/>
            <w:shd w:fill="EEF4FA" w:color="auto" w:val="clear"/>
          </w:tcPr>
          <w:p>
            <w:r>
              <w:rPr>
                <w:rFonts w:ascii="Calibri" w:hAnsi="Calibri"/>
                <w:b w:val="0"/>
                <w:i w:val="0"/>
                <w:sz w:val="20"/>
              </w:rPr>
              <w:t>−550 to −560</w:t>
            </w:r>
          </w:p>
        </w:tc>
        <w:tc>
          <w:tcPr>
            <w:tcW w:type="dxa" w:w="1701"/>
            <w:shd w:fill="EEF4FA" w:color="auto" w:val="clear"/>
          </w:tcPr>
          <w:p>
            <w:r>
              <w:rPr>
                <w:rFonts w:ascii="Calibri" w:hAnsi="Calibri"/>
                <w:b w:val="0"/>
                <w:i w:val="0"/>
                <w:sz w:val="20"/>
              </w:rPr>
              <w:t>−550 to −560</w:t>
            </w:r>
          </w:p>
        </w:tc>
      </w:tr>
      <w:tr>
        <w:tc>
          <w:tcPr>
            <w:tcW w:type="dxa" w:w="5102"/>
            <w:shd w:fill="FFFFFF" w:color="auto" w:val="clear"/>
          </w:tcPr>
          <w:p>
            <w:r>
              <w:rPr>
                <w:rFonts w:ascii="Calibri" w:hAnsi="Calibri"/>
                <w:b w:val="0"/>
                <w:i w:val="0"/>
                <w:sz w:val="20"/>
              </w:rPr>
              <w:t>Add: 40 kWh Short Blade 2.0 RWD pack</w:t>
            </w:r>
          </w:p>
        </w:tc>
        <w:tc>
          <w:tcPr>
            <w:tcW w:type="dxa" w:w="1701"/>
            <w:shd w:fill="FFFFFF" w:color="auto" w:val="clear"/>
          </w:tcPr>
          <w:p>
            <w:r>
              <w:rPr>
                <w:rFonts w:ascii="Calibri" w:hAnsi="Calibri"/>
                <w:b w:val="0"/>
                <w:i w:val="0"/>
                <w:sz w:val="20"/>
              </w:rPr>
              <w:t>+240 to +270</w:t>
            </w:r>
          </w:p>
        </w:tc>
        <w:tc>
          <w:tcPr>
            <w:tcW w:type="dxa" w:w="1701"/>
            <w:shd w:fill="FFFFFF" w:color="auto" w:val="clear"/>
          </w:tcPr>
          <w:p>
            <w:r>
              <w:rPr>
                <w:rFonts w:ascii="Calibri" w:hAnsi="Calibri"/>
                <w:b w:val="0"/>
                <w:i w:val="0"/>
                <w:sz w:val="20"/>
              </w:rPr>
              <w:t>—</w:t>
            </w:r>
          </w:p>
        </w:tc>
      </w:tr>
      <w:tr>
        <w:tc>
          <w:tcPr>
            <w:tcW w:type="dxa" w:w="5102"/>
            <w:shd w:fill="EEF4FA" w:color="auto" w:val="clear"/>
          </w:tcPr>
          <w:p>
            <w:r>
              <w:rPr>
                <w:rFonts w:ascii="Calibri" w:hAnsi="Calibri"/>
                <w:b w:val="0"/>
                <w:i w:val="0"/>
                <w:sz w:val="20"/>
              </w:rPr>
              <w:t>Add: 50 kWh Short Blade 2.0 AWD pack</w:t>
            </w:r>
          </w:p>
        </w:tc>
        <w:tc>
          <w:tcPr>
            <w:tcW w:type="dxa" w:w="1701"/>
            <w:shd w:fill="EEF4FA" w:color="auto" w:val="clear"/>
          </w:tcPr>
          <w:p>
            <w:r>
              <w:rPr>
                <w:rFonts w:ascii="Calibri" w:hAnsi="Calibri"/>
                <w:b w:val="0"/>
                <w:i w:val="0"/>
                <w:sz w:val="20"/>
              </w:rPr>
              <w:t>—</w:t>
            </w:r>
          </w:p>
        </w:tc>
        <w:tc>
          <w:tcPr>
            <w:tcW w:type="dxa" w:w="1701"/>
            <w:shd w:fill="EEF4FA" w:color="auto" w:val="clear"/>
          </w:tcPr>
          <w:p>
            <w:r>
              <w:rPr>
                <w:rFonts w:ascii="Calibri" w:hAnsi="Calibri"/>
                <w:b w:val="0"/>
                <w:i w:val="0"/>
                <w:sz w:val="20"/>
              </w:rPr>
              <w:t>+295 to +330</w:t>
            </w:r>
          </w:p>
        </w:tc>
      </w:tr>
      <w:tr>
        <w:tc>
          <w:tcPr>
            <w:tcW w:type="dxa" w:w="5102"/>
            <w:shd w:fill="FFFFFF" w:color="auto" w:val="clear"/>
          </w:tcPr>
          <w:p>
            <w:r>
              <w:rPr>
                <w:rFonts w:ascii="Calibri" w:hAnsi="Calibri"/>
                <w:b w:val="0"/>
                <w:i w:val="0"/>
                <w:sz w:val="20"/>
              </w:rPr>
              <w:t>Add: Engine + fluids + PMSG + coupling + rectifier + intake</w:t>
            </w:r>
          </w:p>
        </w:tc>
        <w:tc>
          <w:tcPr>
            <w:tcW w:type="dxa" w:w="1701"/>
            <w:shd w:fill="FFFFFF" w:color="auto" w:val="clear"/>
          </w:tcPr>
          <w:p>
            <w:r>
              <w:rPr>
                <w:rFonts w:ascii="Calibri" w:hAnsi="Calibri"/>
                <w:b w:val="0"/>
                <w:i w:val="0"/>
                <w:sz w:val="20"/>
              </w:rPr>
              <w:t>+230 to +290</w:t>
            </w:r>
          </w:p>
        </w:tc>
        <w:tc>
          <w:tcPr>
            <w:tcW w:type="dxa" w:w="1701"/>
            <w:shd w:fill="FFFFFF" w:color="auto" w:val="clear"/>
          </w:tcPr>
          <w:p>
            <w:r>
              <w:rPr>
                <w:rFonts w:ascii="Calibri" w:hAnsi="Calibri"/>
                <w:b w:val="0"/>
                <w:i w:val="0"/>
                <w:sz w:val="20"/>
              </w:rPr>
              <w:t>+230 to +290</w:t>
            </w:r>
          </w:p>
        </w:tc>
      </w:tr>
      <w:tr>
        <w:tc>
          <w:tcPr>
            <w:tcW w:type="dxa" w:w="5102"/>
            <w:shd w:fill="EEF4FA" w:color="auto" w:val="clear"/>
          </w:tcPr>
          <w:p>
            <w:r>
              <w:rPr>
                <w:rFonts w:ascii="Calibri" w:hAnsi="Calibri"/>
                <w:b w:val="0"/>
                <w:i w:val="0"/>
                <w:sz w:val="20"/>
              </w:rPr>
              <w:t>Add: Exhaust + after-treatment + cooling + NVH shields</w:t>
            </w:r>
          </w:p>
        </w:tc>
        <w:tc>
          <w:tcPr>
            <w:tcW w:type="dxa" w:w="1701"/>
            <w:shd w:fill="EEF4FA" w:color="auto" w:val="clear"/>
          </w:tcPr>
          <w:p>
            <w:r>
              <w:rPr>
                <w:rFonts w:ascii="Calibri" w:hAnsi="Calibri"/>
                <w:b w:val="0"/>
                <w:i w:val="0"/>
                <w:sz w:val="20"/>
              </w:rPr>
              <w:t>+54 to +85</w:t>
            </w:r>
          </w:p>
        </w:tc>
        <w:tc>
          <w:tcPr>
            <w:tcW w:type="dxa" w:w="1701"/>
            <w:shd w:fill="EEF4FA" w:color="auto" w:val="clear"/>
          </w:tcPr>
          <w:p>
            <w:r>
              <w:rPr>
                <w:rFonts w:ascii="Calibri" w:hAnsi="Calibri"/>
                <w:b w:val="0"/>
                <w:i w:val="0"/>
                <w:sz w:val="20"/>
              </w:rPr>
              <w:t>+54 to +85</w:t>
            </w:r>
          </w:p>
        </w:tc>
      </w:tr>
      <w:tr>
        <w:tc>
          <w:tcPr>
            <w:tcW w:type="dxa" w:w="5102"/>
            <w:shd w:fill="FFFFFF" w:color="auto" w:val="clear"/>
          </w:tcPr>
          <w:p>
            <w:r>
              <w:rPr>
                <w:rFonts w:ascii="Calibri" w:hAnsi="Calibri"/>
                <w:b w:val="0"/>
                <w:i w:val="0"/>
                <w:sz w:val="20"/>
              </w:rPr>
              <w:t>Add: 42 L fuel tank + pump + lines + vapour system</w:t>
            </w:r>
          </w:p>
        </w:tc>
        <w:tc>
          <w:tcPr>
            <w:tcW w:type="dxa" w:w="1701"/>
            <w:shd w:fill="FFFFFF" w:color="auto" w:val="clear"/>
          </w:tcPr>
          <w:p>
            <w:r>
              <w:rPr>
                <w:rFonts w:ascii="Calibri" w:hAnsi="Calibri"/>
                <w:b w:val="0"/>
                <w:i w:val="0"/>
                <w:sz w:val="20"/>
              </w:rPr>
              <w:t>+40 to +50</w:t>
            </w:r>
          </w:p>
        </w:tc>
        <w:tc>
          <w:tcPr>
            <w:tcW w:type="dxa" w:w="1701"/>
            <w:shd w:fill="FFFFFF" w:color="auto" w:val="clear"/>
          </w:tcPr>
          <w:p>
            <w:r>
              <w:rPr>
                <w:rFonts w:ascii="Calibri" w:hAnsi="Calibri"/>
                <w:b w:val="0"/>
                <w:i w:val="0"/>
                <w:sz w:val="20"/>
              </w:rPr>
              <w:t>+40 to +50</w:t>
            </w:r>
          </w:p>
        </w:tc>
      </w:tr>
      <w:tr>
        <w:tc>
          <w:tcPr>
            <w:tcW w:type="dxa" w:w="5102"/>
            <w:shd w:fill="EEF4FA" w:color="auto" w:val="clear"/>
          </w:tcPr>
          <w:p>
            <w:r>
              <w:rPr>
                <w:rFonts w:ascii="Calibri" w:hAnsi="Calibri"/>
                <w:b w:val="0"/>
                <w:i w:val="0"/>
                <w:sz w:val="20"/>
              </w:rPr>
              <w:t>Add: Thermal / structural / NVH integration</w:t>
            </w:r>
          </w:p>
        </w:tc>
        <w:tc>
          <w:tcPr>
            <w:tcW w:type="dxa" w:w="1701"/>
            <w:shd w:fill="EEF4FA" w:color="auto" w:val="clear"/>
          </w:tcPr>
          <w:p>
            <w:r>
              <w:rPr>
                <w:rFonts w:ascii="Calibri" w:hAnsi="Calibri"/>
                <w:b w:val="0"/>
                <w:i w:val="0"/>
                <w:sz w:val="20"/>
              </w:rPr>
              <w:t>+15 to +30</w:t>
            </w:r>
          </w:p>
        </w:tc>
        <w:tc>
          <w:tcPr>
            <w:tcW w:type="dxa" w:w="1701"/>
            <w:shd w:fill="EEF4FA" w:color="auto" w:val="clear"/>
          </w:tcPr>
          <w:p>
            <w:r>
              <w:rPr>
                <w:rFonts w:ascii="Calibri" w:hAnsi="Calibri"/>
                <w:b w:val="0"/>
                <w:i w:val="0"/>
                <w:sz w:val="20"/>
              </w:rPr>
              <w:t>+15 to +30</w:t>
            </w:r>
          </w:p>
        </w:tc>
      </w:tr>
      <w:tr>
        <w:tc>
          <w:tcPr>
            <w:tcW w:type="dxa" w:w="5102"/>
            <w:shd w:fill="FFFFFF" w:color="auto" w:val="clear"/>
          </w:tcPr>
          <w:p>
            <w:r>
              <w:rPr>
                <w:rFonts w:ascii="Calibri" w:hAnsi="Calibri"/>
                <w:b w:val="0"/>
                <w:i w:val="0"/>
                <w:sz w:val="20"/>
              </w:rPr>
              <w:t>Add: AWD front 70 kW EDU + subframe + HV hardware</w:t>
            </w:r>
          </w:p>
        </w:tc>
        <w:tc>
          <w:tcPr>
            <w:tcW w:type="dxa" w:w="1701"/>
            <w:shd w:fill="FFFFFF" w:color="auto" w:val="clear"/>
          </w:tcPr>
          <w:p>
            <w:r>
              <w:rPr>
                <w:rFonts w:ascii="Calibri" w:hAnsi="Calibri"/>
                <w:b w:val="0"/>
                <w:i w:val="0"/>
                <w:sz w:val="20"/>
              </w:rPr>
              <w:t>—</w:t>
            </w:r>
          </w:p>
        </w:tc>
        <w:tc>
          <w:tcPr>
            <w:tcW w:type="dxa" w:w="1701"/>
            <w:shd w:fill="FFFFFF" w:color="auto" w:val="clear"/>
          </w:tcPr>
          <w:p>
            <w:r>
              <w:rPr>
                <w:rFonts w:ascii="Calibri" w:hAnsi="Calibri"/>
                <w:b w:val="0"/>
                <w:i w:val="0"/>
                <w:sz w:val="20"/>
              </w:rPr>
              <w:t>+145 to +195</w:t>
            </w:r>
          </w:p>
        </w:tc>
      </w:tr>
      <w:tr>
        <w:tc>
          <w:tcPr>
            <w:tcW w:type="dxa" w:w="5102"/>
            <w:shd w:fill="EEF4FA" w:color="auto" w:val="clear"/>
          </w:tcPr>
          <w:p>
            <w:r>
              <w:rPr>
                <w:rFonts w:ascii="Calibri" w:hAnsi="Calibri"/>
                <w:b w:val="0"/>
                <w:i w:val="0"/>
                <w:sz w:val="20"/>
              </w:rPr>
              <w:t>BIW / floor optimisation opportunity</w:t>
            </w:r>
          </w:p>
        </w:tc>
        <w:tc>
          <w:tcPr>
            <w:tcW w:type="dxa" w:w="1701"/>
            <w:shd w:fill="EEF4FA" w:color="auto" w:val="clear"/>
          </w:tcPr>
          <w:p>
            <w:r>
              <w:rPr>
                <w:rFonts w:ascii="Calibri" w:hAnsi="Calibri"/>
                <w:b w:val="0"/>
                <w:i w:val="0"/>
                <w:sz w:val="20"/>
              </w:rPr>
              <w:t>−20 to −70</w:t>
            </w:r>
          </w:p>
        </w:tc>
        <w:tc>
          <w:tcPr>
            <w:tcW w:type="dxa" w:w="1701"/>
            <w:shd w:fill="EEF4FA" w:color="auto" w:val="clear"/>
          </w:tcPr>
          <w:p>
            <w:r>
              <w:rPr>
                <w:rFonts w:ascii="Calibri" w:hAnsi="Calibri"/>
                <w:b w:val="0"/>
                <w:i w:val="0"/>
                <w:sz w:val="20"/>
              </w:rPr>
              <w:t>−20 to −70</w:t>
            </w:r>
          </w:p>
        </w:tc>
      </w:tr>
      <w:tr>
        <w:tc>
          <w:tcPr>
            <w:tcW w:type="dxa" w:w="5102"/>
            <w:shd w:fill="FFFFFF" w:color="auto" w:val="clear"/>
          </w:tcPr>
          <w:p>
            <w:r>
              <w:rPr>
                <w:rFonts w:ascii="Calibri" w:hAnsi="Calibri"/>
                <w:b w:val="0"/>
                <w:i w:val="0"/>
                <w:sz w:val="20"/>
              </w:rPr>
              <w:t>Planning range vs XEV 9S</w:t>
            </w:r>
          </w:p>
        </w:tc>
        <w:tc>
          <w:tcPr>
            <w:tcW w:type="dxa" w:w="1701"/>
            <w:shd w:fill="FFFFFF" w:color="auto" w:val="clear"/>
          </w:tcPr>
          <w:p>
            <w:r>
              <w:rPr>
                <w:rFonts w:ascii="Calibri" w:hAnsi="Calibri"/>
                <w:b w:val="0"/>
                <w:i w:val="0"/>
                <w:sz w:val="20"/>
              </w:rPr>
              <w:t>~2,170 to ~2,330 kg</w:t>
            </w:r>
          </w:p>
        </w:tc>
        <w:tc>
          <w:tcPr>
            <w:tcW w:type="dxa" w:w="1701"/>
            <w:shd w:fill="FFFFFF" w:color="auto" w:val="clear"/>
          </w:tcPr>
          <w:p>
            <w:r>
              <w:rPr>
                <w:rFonts w:ascii="Calibri" w:hAnsi="Calibri"/>
                <w:b w:val="0"/>
                <w:i w:val="0"/>
                <w:sz w:val="20"/>
              </w:rPr>
              <w:t>~2,360 to ~2,545 kg</w:t>
            </w:r>
          </w:p>
        </w:tc>
      </w:tr>
      <w:tr>
        <w:tc>
          <w:tcPr>
            <w:tcW w:type="dxa" w:w="5102"/>
            <w:shd w:fill="EEF4FA" w:color="auto" w:val="clear"/>
          </w:tcPr>
          <w:p>
            <w:r>
              <w:rPr>
                <w:rFonts w:ascii="Calibri" w:hAnsi="Calibri"/>
                <w:b w:val="0"/>
                <w:i w:val="0"/>
                <w:sz w:val="20"/>
              </w:rPr>
              <w:t>Programme kerb target</w:t>
            </w:r>
          </w:p>
        </w:tc>
        <w:tc>
          <w:tcPr>
            <w:tcW w:type="dxa" w:w="1701"/>
            <w:shd w:fill="EEF4FA" w:color="auto" w:val="clear"/>
          </w:tcPr>
          <w:p>
            <w:r>
              <w:rPr>
                <w:rFonts w:ascii="Calibri" w:hAnsi="Calibri"/>
                <w:b w:val="0"/>
                <w:i w:val="0"/>
                <w:sz w:val="20"/>
              </w:rPr>
              <w:t>2,300 kg</w:t>
            </w:r>
          </w:p>
        </w:tc>
        <w:tc>
          <w:tcPr>
            <w:tcW w:type="dxa" w:w="1701"/>
            <w:shd w:fill="EEF4FA" w:color="auto" w:val="clear"/>
          </w:tcPr>
          <w:p>
            <w:r>
              <w:rPr>
                <w:rFonts w:ascii="Calibri" w:hAnsi="Calibri"/>
                <w:b w:val="0"/>
                <w:i w:val="0"/>
                <w:sz w:val="20"/>
              </w:rPr>
              <w:t>2,500 kg</w:t>
            </w:r>
          </w:p>
        </w:tc>
      </w:tr>
    </w:tbl>
    <w:p/>
    <w:p>
      <w:pPr>
        <w:pStyle w:val="Heading1"/>
        <w:jc w:val="left"/>
      </w:pPr>
      <w:r>
        <w:rPr>
          <w:rFonts w:ascii="Calibri" w:hAnsi="Calibri"/>
          <w:color w:val="00467F"/>
        </w:rPr>
        <w:t>8.  Running Costs vs Alternatives</w:t>
      </w:r>
    </w:p>
    <w:p>
      <w:pPr>
        <w:spacing w:after="120" w:before="0"/>
      </w:pPr>
      <w:r>
        <w:rPr>
          <w:rFonts w:ascii="Calibri" w:hAnsi="Calibri"/>
          <w:sz w:val="22"/>
        </w:rPr>
        <w:t>Road-load model at 2,300 kg RWD, 100 km/h highway, normal load. REEV assumes 95% grid charging in city. Fuel prices: petrol ₹104/L, diesel ₹92/L, electricity ₹8/kWh.</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18"/>
            <w:vAlign w:val="center"/>
            <w:shd w:fill="00467F" w:color="auto" w:val="clear"/>
          </w:tcPr>
          <w:p>
            <w:pPr>
              <w:jc w:val="left"/>
            </w:pPr>
            <w:r>
              <w:rPr>
                <w:rFonts w:ascii="Calibri" w:hAnsi="Calibri"/>
                <w:b/>
                <w:i w:val="0"/>
                <w:color w:val="FFFFFF"/>
                <w:sz w:val="20"/>
              </w:rPr>
              <w:t>Vehicle</w:t>
            </w:r>
          </w:p>
        </w:tc>
        <w:tc>
          <w:tcPr>
            <w:tcW w:type="dxa" w:w="1701"/>
            <w:vAlign w:val="center"/>
            <w:shd w:fill="00467F" w:color="auto" w:val="clear"/>
          </w:tcPr>
          <w:p>
            <w:pPr>
              <w:jc w:val="left"/>
            </w:pPr>
            <w:r>
              <w:rPr>
                <w:rFonts w:ascii="Calibri" w:hAnsi="Calibri"/>
                <w:b/>
                <w:i w:val="0"/>
                <w:color w:val="FFFFFF"/>
                <w:sz w:val="20"/>
              </w:rPr>
              <w:t>City ₹/km</w:t>
            </w:r>
          </w:p>
        </w:tc>
        <w:tc>
          <w:tcPr>
            <w:tcW w:type="dxa" w:w="1984"/>
            <w:vAlign w:val="center"/>
            <w:shd w:fill="00467F" w:color="auto" w:val="clear"/>
          </w:tcPr>
          <w:p>
            <w:pPr>
              <w:jc w:val="left"/>
            </w:pPr>
            <w:r>
              <w:rPr>
                <w:rFonts w:ascii="Calibri" w:hAnsi="Calibri"/>
                <w:b/>
                <w:i w:val="0"/>
                <w:color w:val="FFFFFF"/>
                <w:sz w:val="20"/>
              </w:rPr>
              <w:t>Highway ₹/km</w:t>
            </w:r>
          </w:p>
        </w:tc>
        <w:tc>
          <w:tcPr>
            <w:tcW w:type="dxa" w:w="2268"/>
            <w:vAlign w:val="center"/>
            <w:shd w:fill="00467F" w:color="auto" w:val="clear"/>
          </w:tcPr>
          <w:p>
            <w:pPr>
              <w:jc w:val="left"/>
            </w:pPr>
            <w:r>
              <w:rPr>
                <w:rFonts w:ascii="Calibri" w:hAnsi="Calibri"/>
                <w:b/>
                <w:i w:val="0"/>
                <w:color w:val="FFFFFF"/>
                <w:sz w:val="20"/>
              </w:rPr>
              <w:t>10-yr fuel cost (10,000 km/yr)</w:t>
            </w:r>
          </w:p>
        </w:tc>
      </w:tr>
      <w:tr>
        <w:tc>
          <w:tcPr>
            <w:tcW w:type="dxa" w:w="3118"/>
            <w:shd w:fill="EEF4FA" w:color="auto" w:val="clear"/>
          </w:tcPr>
          <w:p>
            <w:r>
              <w:rPr>
                <w:rFonts w:ascii="Calibri" w:hAnsi="Calibri"/>
                <w:b w:val="0"/>
                <w:i w:val="0"/>
                <w:sz w:val="20"/>
              </w:rPr>
              <w:t>REEV RWD — city on grid</w:t>
            </w:r>
          </w:p>
        </w:tc>
        <w:tc>
          <w:tcPr>
            <w:tcW w:type="dxa" w:w="1701"/>
            <w:shd w:fill="EEF4FA" w:color="auto" w:val="clear"/>
          </w:tcPr>
          <w:p>
            <w:r>
              <w:rPr>
                <w:rFonts w:ascii="Calibri" w:hAnsi="Calibri"/>
                <w:b w:val="0"/>
                <w:i w:val="0"/>
                <w:sz w:val="20"/>
              </w:rPr>
              <w:t>~₹2.0</w:t>
            </w:r>
          </w:p>
        </w:tc>
        <w:tc>
          <w:tcPr>
            <w:tcW w:type="dxa" w:w="1984"/>
            <w:shd w:fill="EEF4FA" w:color="auto" w:val="clear"/>
          </w:tcPr>
          <w:p>
            <w:r>
              <w:rPr>
                <w:rFonts w:ascii="Calibri" w:hAnsi="Calibri"/>
                <w:b w:val="0"/>
                <w:i w:val="0"/>
                <w:sz w:val="20"/>
              </w:rPr>
              <w:t>~₹4.5 (generator)</w:t>
            </w:r>
          </w:p>
        </w:tc>
        <w:tc>
          <w:tcPr>
            <w:tcW w:type="dxa" w:w="2268"/>
            <w:shd w:fill="EEF4FA" w:color="auto" w:val="clear"/>
          </w:tcPr>
          <w:p>
            <w:r>
              <w:rPr>
                <w:rFonts w:ascii="Calibri" w:hAnsi="Calibri"/>
                <w:b w:val="0"/>
                <w:i w:val="0"/>
                <w:sz w:val="20"/>
              </w:rPr>
              <w:t>~₹3.3 lakh</w:t>
            </w:r>
          </w:p>
        </w:tc>
      </w:tr>
      <w:tr>
        <w:tc>
          <w:tcPr>
            <w:tcW w:type="dxa" w:w="3118"/>
            <w:shd w:fill="FFFFFF" w:color="auto" w:val="clear"/>
          </w:tcPr>
          <w:p>
            <w:r>
              <w:rPr>
                <w:rFonts w:ascii="Calibri" w:hAnsi="Calibri"/>
                <w:b w:val="0"/>
                <w:i w:val="0"/>
                <w:sz w:val="20"/>
              </w:rPr>
              <w:t>XEV 9S BEV (79 kWh)</w:t>
            </w:r>
          </w:p>
        </w:tc>
        <w:tc>
          <w:tcPr>
            <w:tcW w:type="dxa" w:w="1701"/>
            <w:shd w:fill="FFFFFF" w:color="auto" w:val="clear"/>
          </w:tcPr>
          <w:p>
            <w:r>
              <w:rPr>
                <w:rFonts w:ascii="Calibri" w:hAnsi="Calibri"/>
                <w:b w:val="0"/>
                <w:i w:val="0"/>
                <w:sz w:val="20"/>
              </w:rPr>
              <w:t>~₹2.0</w:t>
            </w:r>
          </w:p>
        </w:tc>
        <w:tc>
          <w:tcPr>
            <w:tcW w:type="dxa" w:w="1984"/>
            <w:shd w:fill="FFFFFF" w:color="auto" w:val="clear"/>
          </w:tcPr>
          <w:p>
            <w:r>
              <w:rPr>
                <w:rFonts w:ascii="Calibri" w:hAnsi="Calibri"/>
                <w:b w:val="0"/>
                <w:i w:val="0"/>
                <w:sz w:val="20"/>
              </w:rPr>
              <w:t>~₹3.8</w:t>
            </w:r>
          </w:p>
        </w:tc>
        <w:tc>
          <w:tcPr>
            <w:tcW w:type="dxa" w:w="2268"/>
            <w:shd w:fill="FFFFFF" w:color="auto" w:val="clear"/>
          </w:tcPr>
          <w:p>
            <w:r>
              <w:rPr>
                <w:rFonts w:ascii="Calibri" w:hAnsi="Calibri"/>
                <w:b w:val="0"/>
                <w:i w:val="0"/>
                <w:sz w:val="20"/>
              </w:rPr>
              <w:t>~₹3.0 lakh</w:t>
            </w:r>
          </w:p>
        </w:tc>
      </w:tr>
      <w:tr>
        <w:tc>
          <w:tcPr>
            <w:tcW w:type="dxa" w:w="3118"/>
            <w:shd w:fill="EEF4FA" w:color="auto" w:val="clear"/>
          </w:tcPr>
          <w:p>
            <w:r>
              <w:rPr>
                <w:rFonts w:ascii="Calibri" w:hAnsi="Calibri"/>
                <w:b w:val="0"/>
                <w:i w:val="0"/>
                <w:sz w:val="20"/>
              </w:rPr>
              <w:t>2.2 mHawk diesel AT</w:t>
            </w:r>
          </w:p>
        </w:tc>
        <w:tc>
          <w:tcPr>
            <w:tcW w:type="dxa" w:w="1701"/>
            <w:shd w:fill="EEF4FA" w:color="auto" w:val="clear"/>
          </w:tcPr>
          <w:p>
            <w:r>
              <w:rPr>
                <w:rFonts w:ascii="Calibri" w:hAnsi="Calibri"/>
                <w:b w:val="0"/>
                <w:i w:val="0"/>
                <w:sz w:val="20"/>
              </w:rPr>
              <w:t>~₹8.2</w:t>
            </w:r>
          </w:p>
        </w:tc>
        <w:tc>
          <w:tcPr>
            <w:tcW w:type="dxa" w:w="1984"/>
            <w:shd w:fill="EEF4FA" w:color="auto" w:val="clear"/>
          </w:tcPr>
          <w:p>
            <w:r>
              <w:rPr>
                <w:rFonts w:ascii="Calibri" w:hAnsi="Calibri"/>
                <w:b w:val="0"/>
                <w:i w:val="0"/>
                <w:sz w:val="20"/>
              </w:rPr>
              <w:t>~₹6.2</w:t>
            </w:r>
          </w:p>
        </w:tc>
        <w:tc>
          <w:tcPr>
            <w:tcW w:type="dxa" w:w="2268"/>
            <w:shd w:fill="EEF4FA" w:color="auto" w:val="clear"/>
          </w:tcPr>
          <w:p>
            <w:r>
              <w:rPr>
                <w:rFonts w:ascii="Calibri" w:hAnsi="Calibri"/>
                <w:b w:val="0"/>
                <w:i w:val="0"/>
                <w:sz w:val="20"/>
              </w:rPr>
              <w:t>~₹7.2 lakh</w:t>
            </w:r>
          </w:p>
        </w:tc>
      </w:tr>
      <w:tr>
        <w:tc>
          <w:tcPr>
            <w:tcW w:type="dxa" w:w="3118"/>
            <w:shd w:fill="FFFFFF" w:color="auto" w:val="clear"/>
          </w:tcPr>
          <w:p>
            <w:r>
              <w:rPr>
                <w:rFonts w:ascii="Calibri" w:hAnsi="Calibri"/>
                <w:b w:val="0"/>
                <w:i w:val="0"/>
                <w:sz w:val="20"/>
              </w:rPr>
              <w:t>2.0 mStallion petrol AT</w:t>
            </w:r>
          </w:p>
        </w:tc>
        <w:tc>
          <w:tcPr>
            <w:tcW w:type="dxa" w:w="1701"/>
            <w:shd w:fill="FFFFFF" w:color="auto" w:val="clear"/>
          </w:tcPr>
          <w:p>
            <w:r>
              <w:rPr>
                <w:rFonts w:ascii="Calibri" w:hAnsi="Calibri"/>
                <w:b w:val="0"/>
                <w:i w:val="0"/>
                <w:sz w:val="20"/>
              </w:rPr>
              <w:t>~₹13.7</w:t>
            </w:r>
          </w:p>
        </w:tc>
        <w:tc>
          <w:tcPr>
            <w:tcW w:type="dxa" w:w="1984"/>
            <w:shd w:fill="FFFFFF" w:color="auto" w:val="clear"/>
          </w:tcPr>
          <w:p>
            <w:r>
              <w:rPr>
                <w:rFonts w:ascii="Calibri" w:hAnsi="Calibri"/>
                <w:b w:val="0"/>
                <w:i w:val="0"/>
                <w:sz w:val="20"/>
              </w:rPr>
              <w:t>~₹10.6</w:t>
            </w:r>
          </w:p>
        </w:tc>
        <w:tc>
          <w:tcPr>
            <w:tcW w:type="dxa" w:w="2268"/>
            <w:shd w:fill="FFFFFF" w:color="auto" w:val="clear"/>
          </w:tcPr>
          <w:p>
            <w:r>
              <w:rPr>
                <w:rFonts w:ascii="Calibri" w:hAnsi="Calibri"/>
                <w:b w:val="0"/>
                <w:i w:val="0"/>
                <w:sz w:val="20"/>
              </w:rPr>
              <w:t>~₹12.2 lakh</w:t>
            </w:r>
          </w:p>
        </w:tc>
      </w:tr>
      <w:tr>
        <w:tc>
          <w:tcPr>
            <w:tcW w:type="dxa" w:w="3118"/>
            <w:shd w:fill="EEF4FA" w:color="auto" w:val="clear"/>
          </w:tcPr>
          <w:p>
            <w:r>
              <w:rPr>
                <w:rFonts w:ascii="Calibri" w:hAnsi="Calibri"/>
                <w:b w:val="0"/>
                <w:i w:val="0"/>
                <w:sz w:val="20"/>
              </w:rPr>
              <w:t>Illustrative 185 hp HEV</w:t>
            </w:r>
          </w:p>
        </w:tc>
        <w:tc>
          <w:tcPr>
            <w:tcW w:type="dxa" w:w="1701"/>
            <w:shd w:fill="EEF4FA" w:color="auto" w:val="clear"/>
          </w:tcPr>
          <w:p>
            <w:r>
              <w:rPr>
                <w:rFonts w:ascii="Calibri" w:hAnsi="Calibri"/>
                <w:b w:val="0"/>
                <w:i w:val="0"/>
                <w:sz w:val="20"/>
              </w:rPr>
              <w:t>~₹5.6</w:t>
            </w:r>
          </w:p>
        </w:tc>
        <w:tc>
          <w:tcPr>
            <w:tcW w:type="dxa" w:w="1984"/>
            <w:shd w:fill="EEF4FA" w:color="auto" w:val="clear"/>
          </w:tcPr>
          <w:p>
            <w:r>
              <w:rPr>
                <w:rFonts w:ascii="Calibri" w:hAnsi="Calibri"/>
                <w:b w:val="0"/>
                <w:i w:val="0"/>
                <w:sz w:val="20"/>
              </w:rPr>
              <w:t>~₹6.1</w:t>
            </w:r>
          </w:p>
        </w:tc>
        <w:tc>
          <w:tcPr>
            <w:tcW w:type="dxa" w:w="2268"/>
            <w:shd w:fill="EEF4FA" w:color="auto" w:val="clear"/>
          </w:tcPr>
          <w:p>
            <w:r>
              <w:rPr>
                <w:rFonts w:ascii="Calibri" w:hAnsi="Calibri"/>
                <w:b w:val="0"/>
                <w:i w:val="0"/>
                <w:sz w:val="20"/>
              </w:rPr>
              <w:t>~₹5.9 lakh</w:t>
            </w:r>
          </w:p>
        </w:tc>
      </w:tr>
    </w:tbl>
    <w:p/>
    <w:p>
      <w:pPr>
        <w:pStyle w:val="Heading1"/>
        <w:jc w:val="left"/>
      </w:pPr>
      <w:r>
        <w:rPr>
          <w:rFonts w:ascii="Calibri" w:hAnsi="Calibri"/>
          <w:color w:val="00467F"/>
        </w:rPr>
        <w:t>9.  Policy Proposal — GST Classification</w:t>
      </w:r>
    </w:p>
    <w:p>
      <w:pPr>
        <w:spacing w:after="120" w:before="0"/>
      </w:pPr>
      <w:r>
        <w:rPr>
          <w:rFonts w:ascii="Calibri" w:hAnsi="Calibri"/>
          <w:sz w:val="22"/>
        </w:rPr>
        <w:t>A capability-based GST class defined by measurable, independently verifiable criteria. Current GST on an over-4-metre petrol SUV above 1,500 cc is 40%:</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vAlign w:val="center"/>
            <w:shd w:fill="00467F" w:color="auto" w:val="clear"/>
          </w:tcPr>
          <w:p>
            <w:pPr>
              <w:jc w:val="left"/>
            </w:pPr>
            <w:r>
              <w:rPr>
                <w:rFonts w:ascii="Calibri" w:hAnsi="Calibri"/>
                <w:b/>
                <w:i w:val="0"/>
                <w:color w:val="FFFFFF"/>
                <w:sz w:val="20"/>
              </w:rPr>
              <w:t>Class</w:t>
            </w:r>
          </w:p>
        </w:tc>
        <w:tc>
          <w:tcPr>
            <w:tcW w:type="dxa" w:w="1701"/>
            <w:vAlign w:val="center"/>
            <w:shd w:fill="00467F" w:color="auto" w:val="clear"/>
          </w:tcPr>
          <w:p>
            <w:pPr>
              <w:jc w:val="left"/>
            </w:pPr>
            <w:r>
              <w:rPr>
                <w:rFonts w:ascii="Calibri" w:hAnsi="Calibri"/>
                <w:b/>
                <w:i w:val="0"/>
                <w:color w:val="FFFFFF"/>
                <w:sz w:val="20"/>
              </w:rPr>
              <w:t>Proposed GST</w:t>
            </w:r>
          </w:p>
        </w:tc>
        <w:tc>
          <w:tcPr>
            <w:tcW w:type="dxa" w:w="2835"/>
            <w:vAlign w:val="center"/>
            <w:shd w:fill="00467F" w:color="auto" w:val="clear"/>
          </w:tcPr>
          <w:p>
            <w:pPr>
              <w:jc w:val="left"/>
            </w:pPr>
            <w:r>
              <w:rPr>
                <w:rFonts w:ascii="Calibri" w:hAnsi="Calibri"/>
                <w:b/>
                <w:i w:val="0"/>
                <w:color w:val="FFFFFF"/>
                <w:sz w:val="20"/>
              </w:rPr>
              <w:t>Generator displacement</w:t>
            </w:r>
          </w:p>
        </w:tc>
        <w:tc>
          <w:tcPr>
            <w:tcW w:type="dxa" w:w="2268"/>
            <w:vAlign w:val="center"/>
            <w:shd w:fill="00467F" w:color="auto" w:val="clear"/>
          </w:tcPr>
          <w:p>
            <w:pPr>
              <w:jc w:val="left"/>
            </w:pPr>
            <w:r>
              <w:rPr>
                <w:rFonts w:ascii="Calibri" w:hAnsi="Calibri"/>
                <w:b/>
                <w:i w:val="0"/>
                <w:color w:val="FFFFFF"/>
                <w:sz w:val="20"/>
              </w:rPr>
              <w:t>Certified MIDC all-electric range</w:t>
            </w:r>
          </w:p>
        </w:tc>
      </w:tr>
      <w:tr>
        <w:tc>
          <w:tcPr>
            <w:tcW w:type="dxa" w:w="2268"/>
            <w:shd w:fill="EEF4FA" w:color="auto" w:val="clear"/>
          </w:tcPr>
          <w:p>
            <w:r>
              <w:rPr>
                <w:rFonts w:ascii="Calibri" w:hAnsi="Calibri"/>
                <w:b w:val="0"/>
                <w:i w:val="0"/>
                <w:sz w:val="20"/>
              </w:rPr>
              <w:t>Above 4 metres</w:t>
            </w:r>
          </w:p>
        </w:tc>
        <w:tc>
          <w:tcPr>
            <w:tcW w:type="dxa" w:w="1701"/>
            <w:shd w:fill="EEF4FA" w:color="auto" w:val="clear"/>
          </w:tcPr>
          <w:p>
            <w:r>
              <w:rPr>
                <w:rFonts w:ascii="Calibri" w:hAnsi="Calibri"/>
                <w:b w:val="0"/>
                <w:i w:val="0"/>
                <w:sz w:val="20"/>
              </w:rPr>
              <w:t>18%</w:t>
            </w:r>
          </w:p>
        </w:tc>
        <w:tc>
          <w:tcPr>
            <w:tcW w:type="dxa" w:w="2835"/>
            <w:shd w:fill="EEF4FA" w:color="auto" w:val="clear"/>
          </w:tcPr>
          <w:p>
            <w:r>
              <w:rPr>
                <w:rFonts w:ascii="Calibri" w:hAnsi="Calibri"/>
                <w:b w:val="0"/>
                <w:i w:val="0"/>
                <w:sz w:val="20"/>
              </w:rPr>
              <w:t>Above 1,000 cc and below 1,500 cc</w:t>
            </w:r>
          </w:p>
        </w:tc>
        <w:tc>
          <w:tcPr>
            <w:tcW w:type="dxa" w:w="2268"/>
            <w:shd w:fill="EEF4FA" w:color="auto" w:val="clear"/>
          </w:tcPr>
          <w:p>
            <w:r>
              <w:rPr>
                <w:rFonts w:ascii="Calibri" w:hAnsi="Calibri"/>
                <w:b w:val="0"/>
                <w:i w:val="0"/>
                <w:sz w:val="20"/>
              </w:rPr>
              <w:t>At least 270 km</w:t>
            </w:r>
          </w:p>
        </w:tc>
      </w:tr>
      <w:tr>
        <w:tc>
          <w:tcPr>
            <w:tcW w:type="dxa" w:w="2268"/>
            <w:shd w:fill="FFFFFF" w:color="auto" w:val="clear"/>
          </w:tcPr>
          <w:p>
            <w:r>
              <w:rPr>
                <w:rFonts w:ascii="Calibri" w:hAnsi="Calibri"/>
                <w:b w:val="0"/>
                <w:i w:val="0"/>
                <w:sz w:val="20"/>
              </w:rPr>
              <w:t>Sub-4 metres</w:t>
            </w:r>
          </w:p>
        </w:tc>
        <w:tc>
          <w:tcPr>
            <w:tcW w:type="dxa" w:w="1701"/>
            <w:shd w:fill="FFFFFF" w:color="auto" w:val="clear"/>
          </w:tcPr>
          <w:p>
            <w:r>
              <w:rPr>
                <w:rFonts w:ascii="Calibri" w:hAnsi="Calibri"/>
                <w:b w:val="0"/>
                <w:i w:val="0"/>
                <w:sz w:val="20"/>
              </w:rPr>
              <w:t>9%</w:t>
            </w:r>
          </w:p>
        </w:tc>
        <w:tc>
          <w:tcPr>
            <w:tcW w:type="dxa" w:w="2835"/>
            <w:shd w:fill="FFFFFF" w:color="auto" w:val="clear"/>
          </w:tcPr>
          <w:p>
            <w:r>
              <w:rPr>
                <w:rFonts w:ascii="Calibri" w:hAnsi="Calibri"/>
                <w:b w:val="0"/>
                <w:i w:val="0"/>
                <w:sz w:val="20"/>
              </w:rPr>
              <w:t>500 cc to below 1,000 cc</w:t>
            </w:r>
          </w:p>
        </w:tc>
        <w:tc>
          <w:tcPr>
            <w:tcW w:type="dxa" w:w="2268"/>
            <w:shd w:fill="FFFFFF" w:color="auto" w:val="clear"/>
          </w:tcPr>
          <w:p>
            <w:r>
              <w:rPr>
                <w:rFonts w:ascii="Calibri" w:hAnsi="Calibri"/>
                <w:b w:val="0"/>
                <w:i w:val="0"/>
                <w:sz w:val="20"/>
              </w:rPr>
              <w:t>At least 210 km</w:t>
            </w:r>
          </w:p>
        </w:tc>
      </w:tr>
      <w:tr>
        <w:tc>
          <w:tcPr>
            <w:tcW w:type="dxa" w:w="2268"/>
            <w:shd w:fill="EEF4FA" w:color="auto" w:val="clear"/>
          </w:tcPr>
          <w:p>
            <w:r>
              <w:rPr>
                <w:rFonts w:ascii="Calibri" w:hAnsi="Calibri"/>
                <w:b w:val="0"/>
                <w:i w:val="0"/>
                <w:sz w:val="20"/>
              </w:rPr>
              <w:t>At or above 1,500 cc</w:t>
            </w:r>
          </w:p>
        </w:tc>
        <w:tc>
          <w:tcPr>
            <w:tcW w:type="dxa" w:w="1701"/>
            <w:shd w:fill="EEF4FA" w:color="auto" w:val="clear"/>
          </w:tcPr>
          <w:p>
            <w:r>
              <w:rPr>
                <w:rFonts w:ascii="Calibri" w:hAnsi="Calibri"/>
                <w:b w:val="0"/>
                <w:i w:val="0"/>
                <w:sz w:val="20"/>
              </w:rPr>
              <w:t>40%</w:t>
            </w:r>
          </w:p>
        </w:tc>
        <w:tc>
          <w:tcPr>
            <w:tcW w:type="dxa" w:w="2835"/>
            <w:shd w:fill="EEF4FA" w:color="auto" w:val="clear"/>
          </w:tcPr>
          <w:p>
            <w:r>
              <w:rPr>
                <w:rFonts w:ascii="Calibri" w:hAnsi="Calibri"/>
                <w:b w:val="0"/>
                <w:i w:val="0"/>
                <w:sz w:val="20"/>
              </w:rPr>
              <w:t>1,500 cc and above</w:t>
            </w:r>
          </w:p>
        </w:tc>
        <w:tc>
          <w:tcPr>
            <w:tcW w:type="dxa" w:w="2268"/>
            <w:shd w:fill="EEF4FA" w:color="auto" w:val="clear"/>
          </w:tcPr>
          <w:p>
            <w:r>
              <w:rPr>
                <w:rFonts w:ascii="Calibri" w:hAnsi="Calibri"/>
                <w:b w:val="0"/>
                <w:i w:val="0"/>
                <w:sz w:val="20"/>
              </w:rPr>
              <w:t>No preferential rate</w:t>
            </w:r>
          </w:p>
        </w:tc>
      </w:tr>
    </w:tbl>
    <w:p/>
    <w:p>
      <w:pPr>
        <w:spacing w:after="80" w:before="0"/>
      </w:pPr>
      <w:r>
        <w:rPr>
          <w:rFonts w:ascii="Calibri" w:hAnsi="Calibri"/>
          <w:sz w:val="22"/>
        </w:rPr>
        <w:t>The fiscal case: GST forgone is ~₹0.86 lakh net delta per vehicle (₹4.73L forgone minus ₹3.87L still collected at 18%). Crude import saving recovers that net delta in under 4 years for a typical user. At 1 lakh vehicles the ₹860 crore net delta is recovered from ₹286 crore/year in avoided crude imports in approximately 3 years.</w:t>
      </w:r>
    </w:p>
    <w:p>
      <w:pPr>
        <w:pStyle w:val="Heading1"/>
        <w:jc w:val="left"/>
      </w:pPr>
      <w:r>
        <w:rPr>
          <w:rFonts w:ascii="Calibri" w:hAnsi="Calibri"/>
          <w:color w:val="00467F"/>
        </w:rPr>
        <w:t>10.  Competitive Context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vAlign w:val="center"/>
            <w:shd w:fill="00467F" w:color="auto" w:val="clear"/>
          </w:tcPr>
          <w:p>
            <w:pPr>
              <w:jc w:val="left"/>
            </w:pPr>
            <w:r>
              <w:rPr>
                <w:rFonts w:ascii="Calibri" w:hAnsi="Calibri"/>
                <w:b/>
                <w:i w:val="0"/>
                <w:color w:val="FFFFFF"/>
                <w:sz w:val="20"/>
              </w:rPr>
              <w:t>Vehicle</w:t>
            </w:r>
          </w:p>
        </w:tc>
        <w:tc>
          <w:tcPr>
            <w:tcW w:type="dxa" w:w="2268"/>
            <w:vAlign w:val="center"/>
            <w:shd w:fill="00467F" w:color="auto" w:val="clear"/>
          </w:tcPr>
          <w:p>
            <w:pPr>
              <w:jc w:val="left"/>
            </w:pPr>
            <w:r>
              <w:rPr>
                <w:rFonts w:ascii="Calibri" w:hAnsi="Calibri"/>
                <w:b/>
                <w:i w:val="0"/>
                <w:color w:val="FFFFFF"/>
                <w:sz w:val="20"/>
              </w:rPr>
              <w:t>Architecture</w:t>
            </w:r>
          </w:p>
        </w:tc>
        <w:tc>
          <w:tcPr>
            <w:tcW w:type="dxa" w:w="1417"/>
            <w:vAlign w:val="center"/>
            <w:shd w:fill="00467F" w:color="auto" w:val="clear"/>
          </w:tcPr>
          <w:p>
            <w:pPr>
              <w:jc w:val="left"/>
            </w:pPr>
            <w:r>
              <w:rPr>
                <w:rFonts w:ascii="Calibri" w:hAnsi="Calibri"/>
                <w:b/>
                <w:i w:val="0"/>
                <w:color w:val="FFFFFF"/>
                <w:sz w:val="20"/>
              </w:rPr>
              <w:t>Pack</w:t>
            </w:r>
          </w:p>
        </w:tc>
        <w:tc>
          <w:tcPr>
            <w:tcW w:type="dxa" w:w="3402"/>
            <w:vAlign w:val="center"/>
            <w:shd w:fill="00467F" w:color="auto" w:val="clear"/>
          </w:tcPr>
          <w:p>
            <w:pPr>
              <w:jc w:val="left"/>
            </w:pPr>
            <w:r>
              <w:rPr>
                <w:rFonts w:ascii="Calibri" w:hAnsi="Calibri"/>
                <w:b/>
                <w:i w:val="0"/>
                <w:color w:val="FFFFFF"/>
                <w:sz w:val="20"/>
              </w:rPr>
              <w:t>Key distinction vs this concept</w:t>
            </w:r>
          </w:p>
        </w:tc>
      </w:tr>
      <w:tr>
        <w:tc>
          <w:tcPr>
            <w:tcW w:type="dxa" w:w="1984"/>
            <w:shd w:fill="EEF4FA" w:color="auto" w:val="clear"/>
          </w:tcPr>
          <w:p>
            <w:r>
              <w:rPr>
                <w:rFonts w:ascii="Calibri" w:hAnsi="Calibri"/>
                <w:b w:val="0"/>
                <w:i w:val="0"/>
                <w:sz w:val="20"/>
              </w:rPr>
              <w:t>Li Auto L6 (China)</w:t>
            </w:r>
          </w:p>
        </w:tc>
        <w:tc>
          <w:tcPr>
            <w:tcW w:type="dxa" w:w="2268"/>
            <w:shd w:fill="EEF4FA" w:color="auto" w:val="clear"/>
          </w:tcPr>
          <w:p>
            <w:r>
              <w:rPr>
                <w:rFonts w:ascii="Calibri" w:hAnsi="Calibri"/>
                <w:b w:val="0"/>
                <w:i w:val="0"/>
                <w:sz w:val="20"/>
              </w:rPr>
              <w:t>Series REEV</w:t>
            </w:r>
          </w:p>
        </w:tc>
        <w:tc>
          <w:tcPr>
            <w:tcW w:type="dxa" w:w="1417"/>
            <w:shd w:fill="EEF4FA" w:color="auto" w:val="clear"/>
          </w:tcPr>
          <w:p>
            <w:r>
              <w:rPr>
                <w:rFonts w:ascii="Calibri" w:hAnsi="Calibri"/>
                <w:b w:val="0"/>
                <w:i w:val="0"/>
                <w:sz w:val="20"/>
              </w:rPr>
              <w:t>52.3 kWh</w:t>
            </w:r>
          </w:p>
        </w:tc>
        <w:tc>
          <w:tcPr>
            <w:tcW w:type="dxa" w:w="3402"/>
            <w:shd w:fill="EEF4FA" w:color="auto" w:val="clear"/>
          </w:tcPr>
          <w:p>
            <w:r>
              <w:rPr>
                <w:rFonts w:ascii="Calibri" w:hAnsi="Calibri"/>
                <w:b w:val="0"/>
                <w:i w:val="0"/>
                <w:sz w:val="20"/>
              </w:rPr>
              <w:t>Premium estate; no mechanical wheel path</w:t>
            </w:r>
          </w:p>
        </w:tc>
      </w:tr>
      <w:tr>
        <w:tc>
          <w:tcPr>
            <w:tcW w:type="dxa" w:w="1984"/>
            <w:shd w:fill="FFFFFF" w:color="auto" w:val="clear"/>
          </w:tcPr>
          <w:p>
            <w:r>
              <w:rPr>
                <w:rFonts w:ascii="Calibri" w:hAnsi="Calibri"/>
                <w:b w:val="0"/>
                <w:i w:val="0"/>
                <w:sz w:val="20"/>
              </w:rPr>
              <w:t>Leapmotor C10 REEV (Europe)</w:t>
            </w:r>
          </w:p>
        </w:tc>
        <w:tc>
          <w:tcPr>
            <w:tcW w:type="dxa" w:w="2268"/>
            <w:shd w:fill="FFFFFF" w:color="auto" w:val="clear"/>
          </w:tcPr>
          <w:p>
            <w:r>
              <w:rPr>
                <w:rFonts w:ascii="Calibri" w:hAnsi="Calibri"/>
                <w:b w:val="0"/>
                <w:i w:val="0"/>
                <w:sz w:val="20"/>
              </w:rPr>
              <w:t>Series REEV</w:t>
            </w:r>
          </w:p>
        </w:tc>
        <w:tc>
          <w:tcPr>
            <w:tcW w:type="dxa" w:w="1417"/>
            <w:shd w:fill="FFFFFF" w:color="auto" w:val="clear"/>
          </w:tcPr>
          <w:p>
            <w:r>
              <w:rPr>
                <w:rFonts w:ascii="Calibri" w:hAnsi="Calibri"/>
                <w:b w:val="0"/>
                <w:i w:val="0"/>
                <w:sz w:val="20"/>
              </w:rPr>
              <w:t>28.4 kWh</w:t>
            </w:r>
          </w:p>
        </w:tc>
        <w:tc>
          <w:tcPr>
            <w:tcW w:type="dxa" w:w="3402"/>
            <w:shd w:fill="FFFFFF" w:color="auto" w:val="clear"/>
          </w:tcPr>
          <w:p>
            <w:r>
              <w:rPr>
                <w:rFonts w:ascii="Calibri" w:hAnsi="Calibri"/>
                <w:b w:val="0"/>
                <w:i w:val="0"/>
                <w:sz w:val="20"/>
              </w:rPr>
              <w:t>B-segment; smaller pack; lower price point</w:t>
            </w:r>
          </w:p>
        </w:tc>
      </w:tr>
      <w:tr>
        <w:tc>
          <w:tcPr>
            <w:tcW w:type="dxa" w:w="1984"/>
            <w:shd w:fill="EEF4FA" w:color="auto" w:val="clear"/>
          </w:tcPr>
          <w:p>
            <w:r>
              <w:rPr>
                <w:rFonts w:ascii="Calibri" w:hAnsi="Calibri"/>
                <w:b w:val="0"/>
                <w:i w:val="0"/>
                <w:sz w:val="20"/>
              </w:rPr>
              <w:t>Aito M7 (China)</w:t>
            </w:r>
          </w:p>
        </w:tc>
        <w:tc>
          <w:tcPr>
            <w:tcW w:type="dxa" w:w="2268"/>
            <w:shd w:fill="EEF4FA" w:color="auto" w:val="clear"/>
          </w:tcPr>
          <w:p>
            <w:r>
              <w:rPr>
                <w:rFonts w:ascii="Calibri" w:hAnsi="Calibri"/>
                <w:b w:val="0"/>
                <w:i w:val="0"/>
                <w:sz w:val="20"/>
              </w:rPr>
              <w:t>Series REEV (Huawei Driveone)</w:t>
            </w:r>
          </w:p>
        </w:tc>
        <w:tc>
          <w:tcPr>
            <w:tcW w:type="dxa" w:w="1417"/>
            <w:shd w:fill="EEF4FA" w:color="auto" w:val="clear"/>
          </w:tcPr>
          <w:p>
            <w:r>
              <w:rPr>
                <w:rFonts w:ascii="Calibri" w:hAnsi="Calibri"/>
                <w:b w:val="0"/>
                <w:i w:val="0"/>
                <w:sz w:val="20"/>
              </w:rPr>
              <w:t>~40 kWh</w:t>
            </w:r>
          </w:p>
        </w:tc>
        <w:tc>
          <w:tcPr>
            <w:tcW w:type="dxa" w:w="3402"/>
            <w:shd w:fill="EEF4FA" w:color="auto" w:val="clear"/>
          </w:tcPr>
          <w:p>
            <w:r>
              <w:rPr>
                <w:rFonts w:ascii="Calibri" w:hAnsi="Calibri"/>
                <w:b w:val="0"/>
                <w:i w:val="0"/>
                <w:sz w:val="20"/>
              </w:rPr>
              <w:t>Premium SUV; HarmonyOS integration</w:t>
            </w:r>
          </w:p>
        </w:tc>
      </w:tr>
      <w:tr>
        <w:tc>
          <w:tcPr>
            <w:tcW w:type="dxa" w:w="1984"/>
            <w:shd w:fill="FFFFFF" w:color="auto" w:val="clear"/>
          </w:tcPr>
          <w:p>
            <w:r>
              <w:rPr>
                <w:rFonts w:ascii="Calibri" w:hAnsi="Calibri"/>
                <w:b w:val="0"/>
                <w:i w:val="0"/>
                <w:sz w:val="20"/>
              </w:rPr>
              <w:t>MG ADAPT (India, Jul 2026)</w:t>
            </w:r>
          </w:p>
        </w:tc>
        <w:tc>
          <w:tcPr>
            <w:tcW w:type="dxa" w:w="2268"/>
            <w:shd w:fill="FFFFFF" w:color="auto" w:val="clear"/>
          </w:tcPr>
          <w:p>
            <w:r>
              <w:rPr>
                <w:rFonts w:ascii="Calibri" w:hAnsi="Calibri"/>
                <w:b w:val="0"/>
                <w:i w:val="0"/>
                <w:sz w:val="20"/>
              </w:rPr>
              <w:t>DHT — parallel hybrid + REEV mode</w:t>
            </w:r>
          </w:p>
        </w:tc>
        <w:tc>
          <w:tcPr>
            <w:tcW w:type="dxa" w:w="1417"/>
            <w:shd w:fill="FFFFFF" w:color="auto" w:val="clear"/>
          </w:tcPr>
          <w:p>
            <w:r>
              <w:rPr>
                <w:rFonts w:ascii="Calibri" w:hAnsi="Calibri"/>
                <w:b w:val="0"/>
                <w:i w:val="0"/>
                <w:sz w:val="20"/>
              </w:rPr>
              <w:t>20.5 kWh PHEV</w:t>
            </w:r>
          </w:p>
        </w:tc>
        <w:tc>
          <w:tcPr>
            <w:tcW w:type="dxa" w:w="3402"/>
            <w:shd w:fill="FFFFFF" w:color="auto" w:val="clear"/>
          </w:tcPr>
          <w:p>
            <w:r>
              <w:rPr>
                <w:rFonts w:ascii="Calibri" w:hAnsi="Calibri"/>
                <w:b w:val="0"/>
                <w:i w:val="0"/>
                <w:sz w:val="20"/>
              </w:rPr>
              <w:t>Multi-mode; REEV deprioritised; 400V capable</w:t>
            </w:r>
          </w:p>
        </w:tc>
      </w:tr>
      <w:tr>
        <w:tc>
          <w:tcPr>
            <w:tcW w:type="dxa" w:w="1984"/>
            <w:shd w:fill="EEF4FA" w:color="auto" w:val="clear"/>
          </w:tcPr>
          <w:p>
            <w:r>
              <w:rPr>
                <w:rFonts w:ascii="Calibri" w:hAnsi="Calibri"/>
                <w:b w:val="0"/>
                <w:i w:val="0"/>
                <w:sz w:val="20"/>
              </w:rPr>
              <w:t>This concept</w:t>
            </w:r>
          </w:p>
        </w:tc>
        <w:tc>
          <w:tcPr>
            <w:tcW w:type="dxa" w:w="2268"/>
            <w:shd w:fill="EEF4FA" w:color="auto" w:val="clear"/>
          </w:tcPr>
          <w:p>
            <w:r>
              <w:rPr>
                <w:rFonts w:ascii="Calibri" w:hAnsi="Calibri"/>
                <w:b w:val="0"/>
                <w:i w:val="0"/>
                <w:sz w:val="20"/>
              </w:rPr>
              <w:t>Dedicated series REEV only</w:t>
            </w:r>
          </w:p>
        </w:tc>
        <w:tc>
          <w:tcPr>
            <w:tcW w:type="dxa" w:w="1417"/>
            <w:shd w:fill="EEF4FA" w:color="auto" w:val="clear"/>
          </w:tcPr>
          <w:p>
            <w:r>
              <w:rPr>
                <w:rFonts w:ascii="Calibri" w:hAnsi="Calibri"/>
                <w:b w:val="0"/>
                <w:i w:val="0"/>
                <w:sz w:val="20"/>
              </w:rPr>
              <w:t>40 / 50 kWh</w:t>
            </w:r>
          </w:p>
        </w:tc>
        <w:tc>
          <w:tcPr>
            <w:tcW w:type="dxa" w:w="3402"/>
            <w:shd w:fill="EEF4FA" w:color="auto" w:val="clear"/>
          </w:tcPr>
          <w:p>
            <w:r>
              <w:rPr>
                <w:rFonts w:ascii="Calibri" w:hAnsi="Calibri"/>
                <w:b w:val="0"/>
                <w:i w:val="0"/>
                <w:sz w:val="20"/>
              </w:rPr>
              <w:t>INGLO derivation; India-specific control law; always-electric wheels</w:t>
            </w:r>
          </w:p>
        </w:tc>
      </w:tr>
    </w:tbl>
    <w:p/>
    <w:p>
      <w:pPr>
        <w:pStyle w:val="Heading1"/>
        <w:jc w:val="left"/>
      </w:pPr>
      <w:r>
        <w:rPr>
          <w:rFonts w:ascii="Calibri" w:hAnsi="Calibri"/>
          <w:color w:val="00467F"/>
        </w:rPr>
        <w:t>11.  Open Questions and Next Steps</w:t>
      </w:r>
    </w:p>
    <w:p>
      <w:pPr>
        <w:pStyle w:val="ListBullet"/>
        <w:spacing w:after="60"/>
      </w:pPr>
      <w:r>
        <w:rPr>
          <w:rFonts w:ascii="Calibri" w:hAnsi="Calibri"/>
          <w:b/>
          <w:i w:val="0"/>
          <w:sz w:val="22"/>
        </w:rPr>
        <w:t xml:space="preserve">Pack and cell  </w:t>
      </w:r>
      <w:r>
        <w:rPr>
          <w:rFonts w:ascii="Calibri" w:hAnsi="Calibri"/>
          <w:b w:val="0"/>
          <w:i w:val="0"/>
          <w:sz w:val="22"/>
        </w:rPr>
        <w:t>Cell selection, pack topology, voltage and current maps, pulse durability, thermal analysis — BYD Short Blade 2.0 is the candidate but supplier datasheet data is required.</w:t>
      </w:r>
    </w:p>
    <w:p>
      <w:pPr>
        <w:pStyle w:val="ListBullet"/>
        <w:spacing w:after="60"/>
      </w:pPr>
      <w:r>
        <w:rPr>
          <w:rFonts w:ascii="Calibri" w:hAnsi="Calibri"/>
          <w:b/>
          <w:i w:val="0"/>
          <w:sz w:val="22"/>
        </w:rPr>
        <w:t xml:space="preserve">Engine-generator  </w:t>
      </w:r>
      <w:r>
        <w:rPr>
          <w:rFonts w:ascii="Calibri" w:hAnsi="Calibri"/>
          <w:b w:val="0"/>
          <w:i w:val="0"/>
          <w:sz w:val="22"/>
        </w:rPr>
        <w:t>Engine-generator dyno maps for the specific mStallion TGDi + PMSG unit. Band BTE values are provisional abstractions.</w:t>
      </w:r>
    </w:p>
    <w:p>
      <w:pPr>
        <w:pStyle w:val="ListBullet"/>
        <w:spacing w:after="60"/>
      </w:pPr>
      <w:r>
        <w:rPr>
          <w:rFonts w:ascii="Calibri" w:hAnsi="Calibri"/>
          <w:b/>
          <w:i w:val="0"/>
          <w:sz w:val="22"/>
        </w:rPr>
        <w:t xml:space="preserve">Road-load constants  </w:t>
      </w:r>
      <w:r>
        <w:rPr>
          <w:rFonts w:ascii="Calibri" w:hAnsi="Calibri"/>
          <w:b w:val="0"/>
          <w:i w:val="0"/>
          <w:sz w:val="22"/>
        </w:rPr>
        <w:t>Coast-down testing to confirm CdA, Crr, and kerb mass on a production-representative vehicle.</w:t>
      </w:r>
    </w:p>
    <w:p>
      <w:pPr>
        <w:pStyle w:val="ListBullet"/>
        <w:spacing w:after="60"/>
      </w:pPr>
      <w:r>
        <w:rPr>
          <w:rFonts w:ascii="Calibri" w:hAnsi="Calibri"/>
          <w:b/>
          <w:i w:val="0"/>
          <w:sz w:val="22"/>
        </w:rPr>
        <w:t xml:space="preserve">Regenerative braking  </w:t>
      </w:r>
      <w:r>
        <w:rPr>
          <w:rFonts w:ascii="Calibri" w:hAnsi="Calibri"/>
          <w:b w:val="0"/>
          <w:i w:val="0"/>
          <w:sz w:val="22"/>
        </w:rPr>
        <w:t>Brake-by-wire hardware design, ABS/ESC integration, and homologation for the 70% regen recovery assumption.</w:t>
      </w:r>
    </w:p>
    <w:p>
      <w:pPr>
        <w:pStyle w:val="ListBullet"/>
        <w:spacing w:after="60"/>
      </w:pPr>
      <w:r>
        <w:rPr>
          <w:rFonts w:ascii="Calibri" w:hAnsi="Calibri"/>
          <w:b/>
          <w:i w:val="0"/>
          <w:sz w:val="22"/>
        </w:rPr>
        <w:t xml:space="preserve">ARAI certification  </w:t>
      </w:r>
      <w:r>
        <w:rPr>
          <w:rFonts w:ascii="Calibri" w:hAnsi="Calibri"/>
          <w:b w:val="0"/>
          <w:i w:val="0"/>
          <w:sz w:val="22"/>
        </w:rPr>
        <w:t>ARAI OVC-HEV procedure agreement — test family, variant selection, and break-off criterion require regulatory alignment.</w:t>
      </w:r>
    </w:p>
    <w:p/>
    <w:p>
      <w:pPr>
        <w:spacing w:before="80" w:after="80"/>
        <w:jc w:val="left"/>
        <w:pBdr>
          <w:bottom w:val="single" w:sz="4" w:space="1" w:color="B8C8D8"/>
        </w:pBdr>
      </w:pPr>
    </w:p>
    <w:p>
      <w:pPr>
        <w:spacing w:before="120"/>
        <w:jc w:val="left"/>
      </w:pPr>
      <w:r>
        <w:rPr>
          <w:rFonts w:ascii="Calibri" w:hAnsi="Calibri"/>
          <w:b w:val="0"/>
          <w:i/>
          <w:color w:val="8C9BAA"/>
          <w:sz w:val="18"/>
        </w:rPr>
        <w:t>This is an independent, engineer-led pre-feasibility concept developed from publicly available information and first-principles calculations. It is not a production specification. Every effort has been made to keep the architecture, performance and cost assumptions grounded, but they require validation through packaging studies, supplier data, simulation, dynamometer testing and homologation. No vehicle has been built, tested, or homologated.</w:t>
      </w:r>
    </w:p>
    <w:sectPr w:rsidR="00FC693F" w:rsidRPr="0006063C" w:rsidSect="00034616">
      <w:pgSz w:w="11906" w:h="16838"/>
      <w:pgMar w:top="1247" w:right="1417" w:bottom="1247" w:left="1417"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