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B7A2B" w:sz="18" w:space="6"/>
        </w:pBdr>
        <w:spacing w:after="120" w:before="1200"/>
      </w:pPr>
      <w:r>
        <w:rPr>
          <w:b/>
          <w:bCs/>
          <w:color w:val="0B7A2B"/>
          <w:sz w:val="52"/>
          <w:szCs w:val="52"/>
        </w:rPr>
        <w:t xml:space="preserve">Customer Purchase &amp; Behaviour Analysis</w:t>
      </w:r>
    </w:p>
    <w:p>
      <w:pPr>
        <w:spacing w:after="200"/>
      </w:pPr>
      <w:r>
        <w:rPr>
          <w:color w:val="595959"/>
          <w:sz w:val="21"/>
          <w:szCs w:val="21"/>
        </w:rPr>
        <w:t xml:space="preserve">Power BI dashboard report  |  Orders from 10 Jan 2023 to 14 Jul 2026  |  Currency: INR (₹)</w:t>
      </w:r>
    </w:p>
    <w:p>
      <w:pPr>
        <w:pStyle w:val="Heading1"/>
      </w:pPr>
      <w:r>
        <w:t xml:space="preserve">1. Executive Summary</w:t>
      </w:r>
    </w:p>
    <w:p>
      <w:pPr>
        <w:keepNext w:val="false"/>
        <w:spacing w:after="120" w:line="288"/>
      </w:pPr>
      <w:r>
        <w:t xml:space="preserve">This report presents an analysis of customer purchase behaviour across 690 orders. The analysis is built in Power BI and covers customer distribution by location, guest versus registered buying, one-time versus repeat customers, revenue by purchase type and the monthly purchasing trend.</w:t>
      </w:r>
    </w:p>
    <w:p>
      <w:pPr>
        <w:keepNext w:val="false"/>
        <w:spacing w:after="120" w:line="288"/>
      </w:pPr>
      <w:r>
        <w:rPr>
          <w:b/>
          <w:bCs/>
        </w:rPr>
        <w:t xml:space="preserve">Key finding: </w:t>
      </w:r>
      <w:r>
        <w:t xml:space="preserve">Only 21 of 323 registered customers (6.5%) have bought more than once, yet they generate about ₹0.2M, roughly 2.4 times the revenue per customer of one-time buyers. Almost half of all orders (340 of 690) come from guests, so a large share of buying behaviour cannot be tracked. India accounts for about 85% of registered customers, and monthly orders peaked at about 82 around May 2026.</w:t>
      </w:r>
    </w:p>
    <w:p>
      <w:pPr>
        <w:pStyle w:val="Heading1"/>
      </w:pPr>
      <w:r>
        <w:t xml:space="preserve">2. Dashboard Overview</w:t>
      </w:r>
    </w:p>
    <w:p>
      <w:pPr>
        <w:spacing w:after="120"/>
        <w:jc w:val="center"/>
      </w:pPr>
      <w:r>
        <w:drawing>
          <wp:inline distT="0" distB="0" distL="0" distR="0">
            <wp:extent cx="5943600" cy="3324225"/>
            <wp:effectExtent t="0" r="0" b="0" l="0"/>
            <wp:docPr id="1" name="Dashboard" descr="Customer Purchase and Behaviour Analysis Power BI 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324225"/>
                    </a:xfrm>
                    <a:prstGeom prst="rect">
                      <a:avLst/>
                    </a:prstGeom>
                  </pic:spPr>
                </pic:pic>
              </a:graphicData>
            </a:graphic>
          </wp:inline>
        </w:drawing>
      </w:r>
    </w:p>
    <w:p>
      <w:pPr>
        <w:keepNext w:val="false"/>
        <w:spacing w:after="120" w:line="288"/>
      </w:pPr>
      <w:r>
        <w:t xml:space="preserve">The dashboard combines four KPI cards, filters for order date, customer type, product name and country, three comparison charts, a monthly trend line and an automated key-insights panel, so stakeholders can understand customer behaviour on a single page.</w:t>
      </w:r>
    </w:p>
    <w:p>
      <w:pPr>
        <w:pStyle w:val="Heading1"/>
      </w:pPr>
      <w:r>
        <w:t xml:space="preserve">3. 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cantSplit/>
          <w:tblHeader/>
        </w:trPr>
        <w:tc>
          <w:tcPr>
            <w:tcW w:type="dxa" w:w="2600"/>
            <w:tcBorders>
              <w:top w:val="single" w:color="BFBFBF" w:sz="4"/>
              <w:left w:val="single" w:color="BFBFBF" w:sz="4"/>
              <w:bottom w:val="single" w:color="BFBFBF" w:sz="4"/>
              <w:right w:val="single" w:color="BFBFBF" w:sz="4"/>
            </w:tcBorders>
            <w:shd w:fill="0B7A2B" w:color="auto" w:val="clear"/>
            <w:tcMar>
              <w:top w:type="dxa" w:w="80"/>
              <w:left w:type="dxa" w:w="120"/>
              <w:bottom w:type="dxa" w:w="80"/>
              <w:right w:type="dxa" w:w="120"/>
            </w:tcMar>
          </w:tcPr>
          <w:p>
            <w:r>
              <w:rPr>
                <w:b/>
                <w:bCs/>
                <w:color w:val="FFFFFF"/>
                <w:sz w:val="21"/>
                <w:szCs w:val="21"/>
              </w:rPr>
              <w:t xml:space="preserve">KPI</w:t>
            </w:r>
          </w:p>
        </w:tc>
        <w:tc>
          <w:tcPr>
            <w:tcW w:type="dxa" w:w="1700"/>
            <w:tcBorders>
              <w:top w:val="single" w:color="BFBFBF" w:sz="4"/>
              <w:left w:val="single" w:color="BFBFBF" w:sz="4"/>
              <w:bottom w:val="single" w:color="BFBFBF" w:sz="4"/>
              <w:right w:val="single" w:color="BFBFBF" w:sz="4"/>
            </w:tcBorders>
            <w:shd w:fill="0B7A2B" w:color="auto" w:val="clear"/>
            <w:tcMar>
              <w:top w:type="dxa" w:w="80"/>
              <w:left w:type="dxa" w:w="120"/>
              <w:bottom w:type="dxa" w:w="80"/>
              <w:right w:type="dxa" w:w="120"/>
            </w:tcMar>
          </w:tcPr>
          <w:p>
            <w:r>
              <w:rPr>
                <w:b/>
                <w:bCs/>
                <w:color w:val="FFFFFF"/>
                <w:sz w:val="21"/>
                <w:szCs w:val="21"/>
              </w:rPr>
              <w:t xml:space="preserve">Value</w:t>
            </w:r>
          </w:p>
        </w:tc>
        <w:tc>
          <w:tcPr>
            <w:tcW w:type="dxa" w:w="5060"/>
            <w:tcBorders>
              <w:top w:val="single" w:color="BFBFBF" w:sz="4"/>
              <w:left w:val="single" w:color="BFBFBF" w:sz="4"/>
              <w:bottom w:val="single" w:color="BFBFBF" w:sz="4"/>
              <w:right w:val="single" w:color="BFBFBF" w:sz="4"/>
            </w:tcBorders>
            <w:shd w:fill="0B7A2B" w:color="auto" w:val="clear"/>
            <w:tcMar>
              <w:top w:type="dxa" w:w="80"/>
              <w:left w:type="dxa" w:w="120"/>
              <w:bottom w:type="dxa" w:w="80"/>
              <w:right w:type="dxa" w:w="120"/>
            </w:tcMar>
          </w:tcPr>
          <w:p>
            <w:r>
              <w:rPr>
                <w:b/>
                <w:bCs/>
                <w:color w:val="FFFFFF"/>
                <w:sz w:val="21"/>
                <w:szCs w:val="21"/>
              </w:rPr>
              <w:t xml:space="preserve">Description</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1"/>
                <w:szCs w:val="21"/>
              </w:rPr>
              <w:t xml:space="preserve">Total Orders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1"/>
                <w:szCs w:val="21"/>
              </w:rPr>
              <w:t xml:space="preserve">690</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1"/>
                <w:szCs w:val="21"/>
              </w:rPr>
              <w:t xml:space="preserve">Distinct count of order IDs</w:t>
            </w:r>
          </w:p>
        </w:tc>
      </w:tr>
      <w:tr>
        <w:trPr>
          <w:cantSplit/>
        </w:trPr>
        <w:tc>
          <w:tcPr>
            <w:tcW w:type="dxa" w:w="2600"/>
            <w:tcBorders>
              <w:top w:val="single" w:color="BFBFBF" w:sz="4"/>
              <w:left w:val="single" w:color="BFBFBF" w:sz="4"/>
              <w:bottom w:val="single" w:color="BFBFBF" w:sz="4"/>
              <w:right w:val="single" w:color="BFBFBF" w:sz="4"/>
            </w:tcBorders>
            <w:shd w:fill="F7F7F7" w:color="auto" w:val="clear"/>
            <w:tcMar>
              <w:top w:type="dxa" w:w="80"/>
              <w:left w:type="dxa" w:w="120"/>
              <w:bottom w:type="dxa" w:w="80"/>
              <w:right w:type="dxa" w:w="120"/>
            </w:tcMar>
          </w:tcPr>
          <w:p>
            <w:r>
              <w:rPr>
                <w:b/>
                <w:bCs/>
                <w:sz w:val="21"/>
                <w:szCs w:val="21"/>
              </w:rPr>
              <w:t xml:space="preserve">Registered Customers</w:t>
            </w:r>
          </w:p>
        </w:tc>
        <w:tc>
          <w:tcPr>
            <w:tcW w:type="dxa" w:w="1700"/>
            <w:tcBorders>
              <w:top w:val="single" w:color="BFBFBF" w:sz="4"/>
              <w:left w:val="single" w:color="BFBFBF" w:sz="4"/>
              <w:bottom w:val="single" w:color="BFBFBF" w:sz="4"/>
              <w:right w:val="single" w:color="BFBFBF" w:sz="4"/>
            </w:tcBorders>
            <w:shd w:fill="F7F7F7" w:color="auto" w:val="clear"/>
            <w:tcMar>
              <w:top w:type="dxa" w:w="80"/>
              <w:left w:type="dxa" w:w="120"/>
              <w:bottom w:type="dxa" w:w="80"/>
              <w:right w:type="dxa" w:w="120"/>
            </w:tcMar>
          </w:tcPr>
          <w:p>
            <w:r>
              <w:rPr>
                <w:b w:val="false"/>
                <w:bCs w:val="false"/>
                <w:sz w:val="21"/>
                <w:szCs w:val="21"/>
              </w:rPr>
              <w:t xml:space="preserve">323</w:t>
            </w:r>
          </w:p>
        </w:tc>
        <w:tc>
          <w:tcPr>
            <w:tcW w:type="dxa" w:w="5060"/>
            <w:tcBorders>
              <w:top w:val="single" w:color="BFBFBF" w:sz="4"/>
              <w:left w:val="single" w:color="BFBFBF" w:sz="4"/>
              <w:bottom w:val="single" w:color="BFBFBF" w:sz="4"/>
              <w:right w:val="single" w:color="BFBFBF" w:sz="4"/>
            </w:tcBorders>
            <w:shd w:fill="F7F7F7" w:color="auto" w:val="clear"/>
            <w:tcMar>
              <w:top w:type="dxa" w:w="80"/>
              <w:left w:type="dxa" w:w="120"/>
              <w:bottom w:type="dxa" w:w="80"/>
              <w:right w:type="dxa" w:w="120"/>
            </w:tcMar>
          </w:tcPr>
          <w:p>
            <w:r>
              <w:rPr>
                <w:b w:val="false"/>
                <w:bCs w:val="false"/>
                <w:sz w:val="21"/>
                <w:szCs w:val="21"/>
              </w:rPr>
              <w:t xml:space="preserve">Distinct customers with a valid customer ID (not 0 or blank)</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1"/>
                <w:szCs w:val="21"/>
              </w:rPr>
              <w:t xml:space="preserve">Guest Orders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1"/>
                <w:szCs w:val="21"/>
              </w:rPr>
              <w:t xml:space="preserve">340</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1"/>
                <w:szCs w:val="21"/>
              </w:rPr>
              <w:t xml:space="preserve">Distinct orders placed with Customer Type = Guest</w:t>
            </w:r>
          </w:p>
        </w:tc>
      </w:tr>
      <w:tr>
        <w:trPr>
          <w:cantSplit/>
        </w:trPr>
        <w:tc>
          <w:tcPr>
            <w:tcW w:type="dxa" w:w="2600"/>
            <w:tcBorders>
              <w:top w:val="single" w:color="BFBFBF" w:sz="4"/>
              <w:left w:val="single" w:color="BFBFBF" w:sz="4"/>
              <w:bottom w:val="single" w:color="BFBFBF" w:sz="4"/>
              <w:right w:val="single" w:color="BFBFBF" w:sz="4"/>
            </w:tcBorders>
            <w:shd w:fill="F7F7F7" w:color="auto" w:val="clear"/>
            <w:tcMar>
              <w:top w:type="dxa" w:w="80"/>
              <w:left w:type="dxa" w:w="120"/>
              <w:bottom w:type="dxa" w:w="80"/>
              <w:right w:type="dxa" w:w="120"/>
            </w:tcMar>
          </w:tcPr>
          <w:p>
            <w:r>
              <w:rPr>
                <w:b/>
                <w:bCs/>
                <w:sz w:val="21"/>
                <w:szCs w:val="21"/>
              </w:rPr>
              <w:t xml:space="preserve">Repeated Registered Customers</w:t>
            </w:r>
          </w:p>
        </w:tc>
        <w:tc>
          <w:tcPr>
            <w:tcW w:type="dxa" w:w="1700"/>
            <w:tcBorders>
              <w:top w:val="single" w:color="BFBFBF" w:sz="4"/>
              <w:left w:val="single" w:color="BFBFBF" w:sz="4"/>
              <w:bottom w:val="single" w:color="BFBFBF" w:sz="4"/>
              <w:right w:val="single" w:color="BFBFBF" w:sz="4"/>
            </w:tcBorders>
            <w:shd w:fill="F7F7F7" w:color="auto" w:val="clear"/>
            <w:tcMar>
              <w:top w:type="dxa" w:w="80"/>
              <w:left w:type="dxa" w:w="120"/>
              <w:bottom w:type="dxa" w:w="80"/>
              <w:right w:type="dxa" w:w="120"/>
            </w:tcMar>
          </w:tcPr>
          <w:p>
            <w:r>
              <w:rPr>
                <w:b w:val="false"/>
                <w:bCs w:val="false"/>
                <w:sz w:val="21"/>
                <w:szCs w:val="21"/>
              </w:rPr>
              <w:t xml:space="preserve">21</w:t>
            </w:r>
          </w:p>
        </w:tc>
        <w:tc>
          <w:tcPr>
            <w:tcW w:type="dxa" w:w="5060"/>
            <w:tcBorders>
              <w:top w:val="single" w:color="BFBFBF" w:sz="4"/>
              <w:left w:val="single" w:color="BFBFBF" w:sz="4"/>
              <w:bottom w:val="single" w:color="BFBFBF" w:sz="4"/>
              <w:right w:val="single" w:color="BFBFBF" w:sz="4"/>
            </w:tcBorders>
            <w:shd w:fill="F7F7F7" w:color="auto" w:val="clear"/>
            <w:tcMar>
              <w:top w:type="dxa" w:w="80"/>
              <w:left w:type="dxa" w:w="120"/>
              <w:bottom w:type="dxa" w:w="80"/>
              <w:right w:type="dxa" w:w="120"/>
            </w:tcMar>
          </w:tcPr>
          <w:p>
            <w:r>
              <w:rPr>
                <w:b w:val="false"/>
                <w:bCs w:val="false"/>
                <w:sz w:val="21"/>
                <w:szCs w:val="21"/>
              </w:rPr>
              <w:t xml:space="preserve">Registered customers with more than one order</w:t>
            </w:r>
          </w:p>
        </w:tc>
      </w:tr>
    </w:tbl>
    <w:p>
      <w:pPr>
        <w:spacing w:after="120"/>
      </w:pPr>
    </w:p>
    <w:p>
      <w:pPr>
        <w:pStyle w:val="Heading2"/>
      </w:pPr>
      <w:r>
        <w:t xml:space="preserve">DAX Measures Used</w:t>
      </w:r>
    </w:p>
    <w:p>
      <w:pPr>
        <w:keepNext/>
        <w:spacing w:after="120" w:line="288"/>
      </w:pPr>
      <w:r>
        <w:rPr>
          <w:b/>
          <w:bCs/>
        </w:rPr>
        <w:t xml:space="preserve">Total Orders – </w:t>
      </w:r>
      <w:r>
        <w:t xml:space="preserve">counts the unique orders in the dataset.</w:t>
      </w:r>
    </w:p>
    <w:p>
      <w:pPr>
        <w:keepNext/>
        <w:keepLines/>
        <w:shd w:fill="F3F3F3" w:val="clear"/>
        <w:spacing w:line="252"/>
        <w:ind w:left="200" w:right="200"/>
      </w:pPr>
      <w:r>
        <w:rPr>
          <w:rFonts w:ascii="Consolas" w:cs="Consolas" w:eastAsia="Consolas" w:hAnsi="Consolas"/>
          <w:sz w:val="18"/>
          <w:szCs w:val="18"/>
        </w:rPr>
        <w:t xml:space="preserve">Total Orders =</w:t>
      </w:r>
    </w:p>
    <w:p>
      <w:pPr>
        <w:keepNext/>
        <w:keepLines/>
        <w:shd w:fill="F3F3F3" w:val="clear"/>
        <w:spacing w:line="252"/>
        <w:ind w:left="200" w:right="200"/>
      </w:pPr>
      <w:r>
        <w:rPr>
          <w:rFonts w:ascii="Consolas" w:cs="Consolas" w:eastAsia="Consolas" w:hAnsi="Consolas"/>
          <w:sz w:val="18"/>
          <w:szCs w:val="18"/>
        </w:rPr>
        <w:t xml:space="preserve">DISTINCTCOUNT(</w:t>
      </w:r>
    </w:p>
    <w:p>
      <w:pPr>
        <w:keepNext/>
        <w:keepLines/>
        <w:shd w:fill="F3F3F3" w:val="clear"/>
        <w:spacing w:line="252"/>
        <w:ind w:left="200" w:right="200"/>
      </w:pPr>
      <w:r>
        <w:rPr>
          <w:rFonts w:ascii="Consolas" w:cs="Consolas" w:eastAsia="Consolas" w:hAnsi="Consolas"/>
          <w:sz w:val="18"/>
          <w:szCs w:val="18"/>
        </w:rPr>
        <w:t xml:space="preserve">    'padanjaly-order export cleaned'[order_id]</w:t>
      </w:r>
    </w:p>
    <w:p>
      <w:pPr>
        <w:keepNext/>
        <w:keepLines/>
        <w:shd w:fill="F3F3F3" w:val="clear"/>
        <w:spacing w:line="252"/>
        <w:ind w:left="200" w:right="200"/>
      </w:pPr>
      <w:r>
        <w:rPr>
          <w:rFonts w:ascii="Consolas" w:cs="Consolas" w:eastAsia="Consolas" w:hAnsi="Consolas"/>
          <w:sz w:val="18"/>
          <w:szCs w:val="18"/>
        </w:rPr>
        <w:t xml:space="preserve">)</w:t>
      </w:r>
    </w:p>
    <w:p>
      <w:pPr>
        <w:spacing w:after="120"/>
      </w:pPr>
    </w:p>
    <w:p>
      <w:pPr>
        <w:keepNext/>
        <w:spacing w:after="120" w:line="288"/>
      </w:pPr>
      <w:r>
        <w:rPr>
          <w:b/>
          <w:bCs/>
        </w:rPr>
        <w:t xml:space="preserve">Registered Customers – </w:t>
      </w:r>
      <w:r>
        <w:t xml:space="preserve">counts unique customers, excluding guest records where the customer ID is 0 or blank.</w:t>
      </w:r>
    </w:p>
    <w:p>
      <w:pPr>
        <w:keepNext/>
        <w:keepLines/>
        <w:shd w:fill="F3F3F3" w:val="clear"/>
        <w:spacing w:line="252"/>
        <w:ind w:left="200" w:right="200"/>
      </w:pPr>
      <w:r>
        <w:rPr>
          <w:rFonts w:ascii="Consolas" w:cs="Consolas" w:eastAsia="Consolas" w:hAnsi="Consolas"/>
          <w:sz w:val="18"/>
          <w:szCs w:val="18"/>
        </w:rPr>
        <w:t xml:space="preserve">Registered Customers =</w:t>
      </w:r>
    </w:p>
    <w:p>
      <w:pPr>
        <w:keepNext/>
        <w:keepLines/>
        <w:shd w:fill="F3F3F3" w:val="clear"/>
        <w:spacing w:line="252"/>
        <w:ind w:left="200" w:right="200"/>
      </w:pPr>
      <w:r>
        <w:rPr>
          <w:rFonts w:ascii="Consolas" w:cs="Consolas" w:eastAsia="Consolas" w:hAnsi="Consolas"/>
          <w:sz w:val="18"/>
          <w:szCs w:val="18"/>
        </w:rPr>
        <w:t xml:space="preserve">CALCULATE(</w:t>
      </w:r>
    </w:p>
    <w:p>
      <w:pPr>
        <w:keepNext/>
        <w:keepLines/>
        <w:shd w:fill="F3F3F3" w:val="clear"/>
        <w:spacing w:line="252"/>
        <w:ind w:left="200" w:right="200"/>
      </w:pPr>
      <w:r>
        <w:rPr>
          <w:rFonts w:ascii="Consolas" w:cs="Consolas" w:eastAsia="Consolas" w:hAnsi="Consolas"/>
          <w:sz w:val="18"/>
          <w:szCs w:val="18"/>
        </w:rPr>
        <w:t xml:space="preserve">    DISTINCTCOUNT(</w:t>
      </w:r>
    </w:p>
    <w:p>
      <w:pPr>
        <w:keepNext/>
        <w:keepLines/>
        <w:shd w:fill="F3F3F3" w:val="clear"/>
        <w:spacing w:line="252"/>
        <w:ind w:left="200" w:right="200"/>
      </w:pPr>
      <w:r>
        <w:rPr>
          <w:rFonts w:ascii="Consolas" w:cs="Consolas" w:eastAsia="Consolas" w:hAnsi="Consolas"/>
          <w:sz w:val="18"/>
          <w:szCs w:val="18"/>
        </w:rPr>
        <w:t xml:space="preserve">        'padanjaly-order export cleaned'[customer_id]</w:t>
      </w:r>
    </w:p>
    <w:p>
      <w:pPr>
        <w:keepNext/>
        <w:keepLines/>
        <w:shd w:fill="F3F3F3" w:val="clear"/>
        <w:spacing w:line="252"/>
        <w:ind w:left="200" w:right="200"/>
      </w:pPr>
      <w:r>
        <w:rPr>
          <w:rFonts w:ascii="Consolas" w:cs="Consolas" w:eastAsia="Consolas" w:hAnsi="Consolas"/>
          <w:sz w:val="18"/>
          <w:szCs w:val="18"/>
        </w:rPr>
        <w:t xml:space="preserve">    ),</w:t>
      </w:r>
    </w:p>
    <w:p>
      <w:pPr>
        <w:keepNext/>
        <w:keepLines/>
        <w:shd w:fill="F3F3F3" w:val="clear"/>
        <w:spacing w:line="252"/>
        <w:ind w:left="200" w:right="200"/>
      </w:pPr>
      <w:r>
        <w:rPr>
          <w:rFonts w:ascii="Consolas" w:cs="Consolas" w:eastAsia="Consolas" w:hAnsi="Consolas"/>
          <w:sz w:val="18"/>
          <w:szCs w:val="18"/>
        </w:rPr>
        <w:t xml:space="preserve">    'padanjaly-order export cleaned'[customer_id] &lt;&gt; 0,</w:t>
      </w:r>
    </w:p>
    <w:p>
      <w:pPr>
        <w:keepNext/>
        <w:keepLines/>
        <w:shd w:fill="F3F3F3" w:val="clear"/>
        <w:spacing w:line="252"/>
        <w:ind w:left="200" w:right="200"/>
      </w:pPr>
      <w:r>
        <w:rPr>
          <w:rFonts w:ascii="Consolas" w:cs="Consolas" w:eastAsia="Consolas" w:hAnsi="Consolas"/>
          <w:sz w:val="18"/>
          <w:szCs w:val="18"/>
        </w:rPr>
        <w:t xml:space="preserve">    NOT ISBLANK(</w:t>
      </w:r>
    </w:p>
    <w:p>
      <w:pPr>
        <w:keepNext/>
        <w:keepLines/>
        <w:shd w:fill="F3F3F3" w:val="clear"/>
        <w:spacing w:line="252"/>
        <w:ind w:left="200" w:right="200"/>
      </w:pPr>
      <w:r>
        <w:rPr>
          <w:rFonts w:ascii="Consolas" w:cs="Consolas" w:eastAsia="Consolas" w:hAnsi="Consolas"/>
          <w:sz w:val="18"/>
          <w:szCs w:val="18"/>
        </w:rPr>
        <w:t xml:space="preserve">        'padanjaly-order export cleaned'[customer_id]</w:t>
      </w:r>
    </w:p>
    <w:p>
      <w:pPr>
        <w:keepNext/>
        <w:keepLines/>
        <w:shd w:fill="F3F3F3" w:val="clear"/>
        <w:spacing w:line="252"/>
        <w:ind w:left="200" w:right="200"/>
      </w:pPr>
      <w:r>
        <w:rPr>
          <w:rFonts w:ascii="Consolas" w:cs="Consolas" w:eastAsia="Consolas" w:hAnsi="Consolas"/>
          <w:sz w:val="18"/>
          <w:szCs w:val="18"/>
        </w:rPr>
        <w:t xml:space="preserve">    )</w:t>
      </w:r>
    </w:p>
    <w:p>
      <w:pPr>
        <w:keepNext/>
        <w:keepLines/>
        <w:shd w:fill="F3F3F3" w:val="clear"/>
        <w:spacing w:line="252"/>
        <w:ind w:left="200" w:right="200"/>
      </w:pPr>
      <w:r>
        <w:rPr>
          <w:rFonts w:ascii="Consolas" w:cs="Consolas" w:eastAsia="Consolas" w:hAnsi="Consolas"/>
          <w:sz w:val="18"/>
          <w:szCs w:val="18"/>
        </w:rPr>
        <w:t xml:space="preserve">)</w:t>
      </w:r>
    </w:p>
    <w:p>
      <w:pPr>
        <w:spacing w:after="120"/>
      </w:pPr>
    </w:p>
    <w:p>
      <w:pPr>
        <w:keepNext/>
        <w:spacing w:after="120" w:line="288"/>
      </w:pPr>
      <w:r>
        <w:rPr>
          <w:b/>
          <w:bCs/>
        </w:rPr>
        <w:t xml:space="preserve">Guest Orders – </w:t>
      </w:r>
      <w:r>
        <w:t xml:space="preserve">counts the unique orders placed by guest customers.</w:t>
      </w:r>
    </w:p>
    <w:p>
      <w:pPr>
        <w:keepNext/>
        <w:keepLines/>
        <w:shd w:fill="F3F3F3" w:val="clear"/>
        <w:spacing w:line="252"/>
        <w:ind w:left="200" w:right="200"/>
      </w:pPr>
      <w:r>
        <w:rPr>
          <w:rFonts w:ascii="Consolas" w:cs="Consolas" w:eastAsia="Consolas" w:hAnsi="Consolas"/>
          <w:sz w:val="18"/>
          <w:szCs w:val="18"/>
        </w:rPr>
        <w:t xml:space="preserve">Guest Orders =</w:t>
      </w:r>
    </w:p>
    <w:p>
      <w:pPr>
        <w:keepNext/>
        <w:keepLines/>
        <w:shd w:fill="F3F3F3" w:val="clear"/>
        <w:spacing w:line="252"/>
        <w:ind w:left="200" w:right="200"/>
      </w:pPr>
      <w:r>
        <w:rPr>
          <w:rFonts w:ascii="Consolas" w:cs="Consolas" w:eastAsia="Consolas" w:hAnsi="Consolas"/>
          <w:sz w:val="18"/>
          <w:szCs w:val="18"/>
        </w:rPr>
        <w:t xml:space="preserve">CALCULATE(</w:t>
      </w:r>
    </w:p>
    <w:p>
      <w:pPr>
        <w:keepNext/>
        <w:keepLines/>
        <w:shd w:fill="F3F3F3" w:val="clear"/>
        <w:spacing w:line="252"/>
        <w:ind w:left="200" w:right="200"/>
      </w:pPr>
      <w:r>
        <w:rPr>
          <w:rFonts w:ascii="Consolas" w:cs="Consolas" w:eastAsia="Consolas" w:hAnsi="Consolas"/>
          <w:sz w:val="18"/>
          <w:szCs w:val="18"/>
        </w:rPr>
        <w:t xml:space="preserve">    DISTINCTCOUNT(</w:t>
      </w:r>
    </w:p>
    <w:p>
      <w:pPr>
        <w:keepNext/>
        <w:keepLines/>
        <w:shd w:fill="F3F3F3" w:val="clear"/>
        <w:spacing w:line="252"/>
        <w:ind w:left="200" w:right="200"/>
      </w:pPr>
      <w:r>
        <w:rPr>
          <w:rFonts w:ascii="Consolas" w:cs="Consolas" w:eastAsia="Consolas" w:hAnsi="Consolas"/>
          <w:sz w:val="18"/>
          <w:szCs w:val="18"/>
        </w:rPr>
        <w:t xml:space="preserve">        'padanjaly-order export cleaned'[order_id]</w:t>
      </w:r>
    </w:p>
    <w:p>
      <w:pPr>
        <w:keepNext/>
        <w:keepLines/>
        <w:shd w:fill="F3F3F3" w:val="clear"/>
        <w:spacing w:line="252"/>
        <w:ind w:left="200" w:right="200"/>
      </w:pPr>
      <w:r>
        <w:rPr>
          <w:rFonts w:ascii="Consolas" w:cs="Consolas" w:eastAsia="Consolas" w:hAnsi="Consolas"/>
          <w:sz w:val="18"/>
          <w:szCs w:val="18"/>
        </w:rPr>
        <w:t xml:space="preserve">    ),</w:t>
      </w:r>
    </w:p>
    <w:p>
      <w:pPr>
        <w:keepNext/>
        <w:keepLines/>
        <w:shd w:fill="F3F3F3" w:val="clear"/>
        <w:spacing w:line="252"/>
        <w:ind w:left="200" w:right="200"/>
      </w:pPr>
      <w:r>
        <w:rPr>
          <w:rFonts w:ascii="Consolas" w:cs="Consolas" w:eastAsia="Consolas" w:hAnsi="Consolas"/>
          <w:sz w:val="18"/>
          <w:szCs w:val="18"/>
        </w:rPr>
        <w:t xml:space="preserve">    'padanjaly-order export cleaned'[Customer Type] = "Guest"</w:t>
      </w:r>
    </w:p>
    <w:p>
      <w:pPr>
        <w:keepNext/>
        <w:keepLines/>
        <w:shd w:fill="F3F3F3" w:val="clear"/>
        <w:spacing w:line="252"/>
        <w:ind w:left="200" w:right="200"/>
      </w:pPr>
      <w:r>
        <w:rPr>
          <w:rFonts w:ascii="Consolas" w:cs="Consolas" w:eastAsia="Consolas" w:hAnsi="Consolas"/>
          <w:sz w:val="18"/>
          <w:szCs w:val="18"/>
        </w:rPr>
        <w:t xml:space="preserve">)</w:t>
      </w:r>
    </w:p>
    <w:p>
      <w:pPr>
        <w:spacing w:after="120"/>
      </w:pPr>
    </w:p>
    <w:p>
      <w:pPr>
        <w:keepNext/>
        <w:spacing w:after="120" w:line="288"/>
      </w:pPr>
      <w:r>
        <w:rPr>
          <w:b/>
          <w:bCs/>
        </w:rPr>
        <w:t xml:space="preserve">Repeated Registered Customers – </w:t>
      </w:r>
      <w:r>
        <w:t xml:space="preserve">counts registered customers who have placed more than one order.</w:t>
      </w:r>
    </w:p>
    <w:p>
      <w:pPr>
        <w:keepNext/>
        <w:keepLines/>
        <w:shd w:fill="F3F3F3" w:val="clear"/>
        <w:spacing w:line="252"/>
        <w:ind w:left="200" w:right="200"/>
      </w:pPr>
      <w:r>
        <w:rPr>
          <w:rFonts w:ascii="Consolas" w:cs="Consolas" w:eastAsia="Consolas" w:hAnsi="Consolas"/>
          <w:sz w:val="18"/>
          <w:szCs w:val="18"/>
        </w:rPr>
        <w:t xml:space="preserve">Repeated Registered Customers =</w:t>
      </w:r>
    </w:p>
    <w:p>
      <w:pPr>
        <w:keepNext/>
        <w:keepLines/>
        <w:shd w:fill="F3F3F3" w:val="clear"/>
        <w:spacing w:line="252"/>
        <w:ind w:left="200" w:right="200"/>
      </w:pPr>
      <w:r>
        <w:rPr>
          <w:rFonts w:ascii="Consolas" w:cs="Consolas" w:eastAsia="Consolas" w:hAnsi="Consolas"/>
          <w:sz w:val="18"/>
          <w:szCs w:val="18"/>
        </w:rPr>
        <w:t xml:space="preserve">COUNTROWS (</w:t>
      </w:r>
    </w:p>
    <w:p>
      <w:pPr>
        <w:keepNext/>
        <w:keepLines/>
        <w:shd w:fill="F3F3F3" w:val="clear"/>
        <w:spacing w:line="252"/>
        <w:ind w:left="200" w:right="200"/>
      </w:pPr>
      <w:r>
        <w:rPr>
          <w:rFonts w:ascii="Consolas" w:cs="Consolas" w:eastAsia="Consolas" w:hAnsi="Consolas"/>
          <w:sz w:val="18"/>
          <w:szCs w:val="18"/>
        </w:rPr>
        <w:t xml:space="preserve">    FILTER (</w:t>
      </w:r>
    </w:p>
    <w:p>
      <w:pPr>
        <w:keepNext/>
        <w:keepLines/>
        <w:shd w:fill="F3F3F3" w:val="clear"/>
        <w:spacing w:line="252"/>
        <w:ind w:left="200" w:right="200"/>
      </w:pPr>
      <w:r>
        <w:rPr>
          <w:rFonts w:ascii="Consolas" w:cs="Consolas" w:eastAsia="Consolas" w:hAnsi="Consolas"/>
          <w:sz w:val="18"/>
          <w:szCs w:val="18"/>
        </w:rPr>
        <w:t xml:space="preserve">        VALUES ( 'padanjaly-order export cleaned'[customer_id] ),</w:t>
      </w:r>
    </w:p>
    <w:p>
      <w:pPr>
        <w:keepNext/>
        <w:keepLines/>
        <w:shd w:fill="F3F3F3" w:val="clear"/>
        <w:spacing w:line="252"/>
        <w:ind w:left="200" w:right="200"/>
      </w:pPr>
      <w:r>
        <w:rPr>
          <w:rFonts w:ascii="Consolas" w:cs="Consolas" w:eastAsia="Consolas" w:hAnsi="Consolas"/>
          <w:sz w:val="18"/>
          <w:szCs w:val="18"/>
        </w:rPr>
        <w:t xml:space="preserve">        'padanjaly-order export cleaned'[customer_id] &lt;&gt; 0</w:t>
      </w:r>
    </w:p>
    <w:p>
      <w:pPr>
        <w:keepNext/>
        <w:keepLines/>
        <w:shd w:fill="F3F3F3" w:val="clear"/>
        <w:spacing w:line="252"/>
        <w:ind w:left="200" w:right="200"/>
      </w:pPr>
      <w:r>
        <w:rPr>
          <w:rFonts w:ascii="Consolas" w:cs="Consolas" w:eastAsia="Consolas" w:hAnsi="Consolas"/>
          <w:sz w:val="18"/>
          <w:szCs w:val="18"/>
        </w:rPr>
        <w:t xml:space="preserve">            &amp;&amp; CALCULATE ( [Total Orders] ) &gt; 1</w:t>
      </w:r>
    </w:p>
    <w:p>
      <w:pPr>
        <w:keepNext/>
        <w:keepLines/>
        <w:shd w:fill="F3F3F3" w:val="clear"/>
        <w:spacing w:line="252"/>
        <w:ind w:left="200" w:right="200"/>
      </w:pPr>
      <w:r>
        <w:rPr>
          <w:rFonts w:ascii="Consolas" w:cs="Consolas" w:eastAsia="Consolas" w:hAnsi="Consolas"/>
          <w:sz w:val="18"/>
          <w:szCs w:val="18"/>
        </w:rPr>
        <w:t xml:space="preserve">    )</w:t>
      </w:r>
    </w:p>
    <w:p>
      <w:pPr>
        <w:keepNext/>
        <w:keepLines/>
        <w:shd w:fill="F3F3F3" w:val="clear"/>
        <w:spacing w:line="252"/>
        <w:ind w:left="200" w:right="200"/>
      </w:pPr>
      <w:r>
        <w:rPr>
          <w:rFonts w:ascii="Consolas" w:cs="Consolas" w:eastAsia="Consolas" w:hAnsi="Consolas"/>
          <w:sz w:val="18"/>
          <w:szCs w:val="18"/>
        </w:rPr>
        <w:t xml:space="preserve">)</w:t>
      </w:r>
    </w:p>
    <w:p>
      <w:pPr>
        <w:spacing w:after="120"/>
      </w:pPr>
    </w:p>
    <w:p>
      <w:pPr>
        <w:pStyle w:val="Heading1"/>
      </w:pPr>
      <w:r>
        <w:t xml:space="preserve">4. Visual Analysis</w:t>
      </w:r>
    </w:p>
    <w:p>
      <w:pPr>
        <w:pStyle w:val="Heading2"/>
      </w:pPr>
      <w:r>
        <w:t xml:space="preserve">4.1 Customer Distribution by Location</w:t>
      </w:r>
    </w:p>
    <w:p>
      <w:pPr>
        <w:keepNext w:val="false"/>
        <w:spacing w:after="120" w:line="288"/>
      </w:pPr>
      <w:r>
        <w:t xml:space="preserve">India dominates the customer base with 276 of 323 registered customers (about 85%) and 307 of 340 guest orders (about 90%). The United States (21 registered customers) and the United Kingdom (8) are far behind, followed by Australia (3), Canada, Germany and Kenya (2 each). The remaining countries have only one or two customers each, so the business is heavily concentrated in a single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cantSplit/>
          <w:tblHeader/>
        </w:trPr>
        <w:tc>
          <w:tcPr>
            <w:tcW w:type="dxa" w:w="2600"/>
            <w:tcBorders>
              <w:top w:val="single" w:color="BFBFBF" w:sz="4"/>
              <w:left w:val="single" w:color="BFBFBF" w:sz="4"/>
              <w:bottom w:val="single" w:color="BFBFBF" w:sz="4"/>
              <w:right w:val="single" w:color="BFBFBF" w:sz="4"/>
            </w:tcBorders>
            <w:shd w:fill="0B7A2B" w:color="auto" w:val="clear"/>
            <w:tcMar>
              <w:top w:type="dxa" w:w="80"/>
              <w:left w:type="dxa" w:w="120"/>
              <w:bottom w:type="dxa" w:w="80"/>
              <w:right w:type="dxa" w:w="120"/>
            </w:tcMar>
          </w:tcPr>
          <w:p>
            <w:r>
              <w:rPr>
                <w:b/>
                <w:bCs/>
                <w:color w:val="FFFFFF"/>
                <w:sz w:val="21"/>
                <w:szCs w:val="21"/>
              </w:rPr>
              <w:t xml:space="preserve">Metric</w:t>
            </w:r>
          </w:p>
        </w:tc>
        <w:tc>
          <w:tcPr>
            <w:tcW w:type="dxa" w:w="1700"/>
            <w:tcBorders>
              <w:top w:val="single" w:color="BFBFBF" w:sz="4"/>
              <w:left w:val="single" w:color="BFBFBF" w:sz="4"/>
              <w:bottom w:val="single" w:color="BFBFBF" w:sz="4"/>
              <w:right w:val="single" w:color="BFBFBF" w:sz="4"/>
            </w:tcBorders>
            <w:shd w:fill="0B7A2B" w:color="auto" w:val="clear"/>
            <w:tcMar>
              <w:top w:type="dxa" w:w="80"/>
              <w:left w:type="dxa" w:w="120"/>
              <w:bottom w:type="dxa" w:w="80"/>
              <w:right w:type="dxa" w:w="120"/>
            </w:tcMar>
          </w:tcPr>
          <w:p>
            <w:r>
              <w:rPr>
                <w:b/>
                <w:bCs/>
                <w:color w:val="FFFFFF"/>
                <w:sz w:val="21"/>
                <w:szCs w:val="21"/>
              </w:rPr>
              <w:t xml:space="preserve">India share</w:t>
            </w:r>
          </w:p>
        </w:tc>
        <w:tc>
          <w:tcPr>
            <w:tcW w:type="dxa" w:w="5060"/>
            <w:tcBorders>
              <w:top w:val="single" w:color="BFBFBF" w:sz="4"/>
              <w:left w:val="single" w:color="BFBFBF" w:sz="4"/>
              <w:bottom w:val="single" w:color="BFBFBF" w:sz="4"/>
              <w:right w:val="single" w:color="BFBFBF" w:sz="4"/>
            </w:tcBorders>
            <w:shd w:fill="0B7A2B" w:color="auto" w:val="clear"/>
            <w:tcMar>
              <w:top w:type="dxa" w:w="80"/>
              <w:left w:type="dxa" w:w="120"/>
              <w:bottom w:type="dxa" w:w="80"/>
              <w:right w:type="dxa" w:w="120"/>
            </w:tcMar>
          </w:tcPr>
          <w:p>
            <w:r>
              <w:rPr>
                <w:b/>
                <w:bCs/>
                <w:color w:val="FFFFFF"/>
                <w:sz w:val="21"/>
                <w:szCs w:val="21"/>
              </w:rPr>
              <w:t xml:space="preserve">Observation</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1"/>
                <w:szCs w:val="21"/>
              </w:rPr>
              <w:t xml:space="preserve">Registered customers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1"/>
                <w:szCs w:val="21"/>
              </w:rPr>
              <w:t xml:space="preserve">276 of 323 (~85%)</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1"/>
                <w:szCs w:val="21"/>
              </w:rPr>
              <w:t xml:space="preserve">Overwhelming majority of identifiable customers</w:t>
            </w:r>
          </w:p>
        </w:tc>
      </w:tr>
      <w:tr>
        <w:trPr>
          <w:cantSplit/>
        </w:trPr>
        <w:tc>
          <w:tcPr>
            <w:tcW w:type="dxa" w:w="2600"/>
            <w:tcBorders>
              <w:top w:val="single" w:color="BFBFBF" w:sz="4"/>
              <w:left w:val="single" w:color="BFBFBF" w:sz="4"/>
              <w:bottom w:val="single" w:color="BFBFBF" w:sz="4"/>
              <w:right w:val="single" w:color="BFBFBF" w:sz="4"/>
            </w:tcBorders>
            <w:shd w:fill="F7F7F7" w:color="auto" w:val="clear"/>
            <w:tcMar>
              <w:top w:type="dxa" w:w="80"/>
              <w:left w:type="dxa" w:w="120"/>
              <w:bottom w:type="dxa" w:w="80"/>
              <w:right w:type="dxa" w:w="120"/>
            </w:tcMar>
          </w:tcPr>
          <w:p>
            <w:r>
              <w:rPr>
                <w:b/>
                <w:bCs/>
                <w:sz w:val="21"/>
                <w:szCs w:val="21"/>
              </w:rPr>
              <w:t xml:space="preserve">Guest orders</w:t>
            </w:r>
          </w:p>
        </w:tc>
        <w:tc>
          <w:tcPr>
            <w:tcW w:type="dxa" w:w="1700"/>
            <w:tcBorders>
              <w:top w:val="single" w:color="BFBFBF" w:sz="4"/>
              <w:left w:val="single" w:color="BFBFBF" w:sz="4"/>
              <w:bottom w:val="single" w:color="BFBFBF" w:sz="4"/>
              <w:right w:val="single" w:color="BFBFBF" w:sz="4"/>
            </w:tcBorders>
            <w:shd w:fill="F7F7F7" w:color="auto" w:val="clear"/>
            <w:tcMar>
              <w:top w:type="dxa" w:w="80"/>
              <w:left w:type="dxa" w:w="120"/>
              <w:bottom w:type="dxa" w:w="80"/>
              <w:right w:type="dxa" w:w="120"/>
            </w:tcMar>
          </w:tcPr>
          <w:p>
            <w:r>
              <w:rPr>
                <w:b w:val="false"/>
                <w:bCs w:val="false"/>
                <w:sz w:val="21"/>
                <w:szCs w:val="21"/>
              </w:rPr>
              <w:t xml:space="preserve">307 of 340 (~90%)</w:t>
            </w:r>
          </w:p>
        </w:tc>
        <w:tc>
          <w:tcPr>
            <w:tcW w:type="dxa" w:w="5060"/>
            <w:tcBorders>
              <w:top w:val="single" w:color="BFBFBF" w:sz="4"/>
              <w:left w:val="single" w:color="BFBFBF" w:sz="4"/>
              <w:bottom w:val="single" w:color="BFBFBF" w:sz="4"/>
              <w:right w:val="single" w:color="BFBFBF" w:sz="4"/>
            </w:tcBorders>
            <w:shd w:fill="F7F7F7" w:color="auto" w:val="clear"/>
            <w:tcMar>
              <w:top w:type="dxa" w:w="80"/>
              <w:left w:type="dxa" w:w="120"/>
              <w:bottom w:type="dxa" w:w="80"/>
              <w:right w:type="dxa" w:w="120"/>
            </w:tcMar>
          </w:tcPr>
          <w:p>
            <w:r>
              <w:rPr>
                <w:b w:val="false"/>
                <w:bCs w:val="false"/>
                <w:sz w:val="21"/>
                <w:szCs w:val="21"/>
              </w:rPr>
              <w:t xml:space="preserve">Guest buying is even more India-centred</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1"/>
                <w:szCs w:val="21"/>
              </w:rPr>
              <w:t xml:space="preserve">Other countries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1"/>
                <w:szCs w:val="21"/>
              </w:rPr>
              <w:t xml:space="preserve">47 of 323 (~15%)</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1"/>
                <w:szCs w:val="21"/>
              </w:rPr>
              <w:t xml:space="preserve">US and UK lead; the rest are single-digit</w:t>
            </w:r>
          </w:p>
        </w:tc>
      </w:tr>
    </w:tbl>
    <w:p>
      <w:pPr>
        <w:spacing w:after="120"/>
      </w:pPr>
    </w:p>
    <w:p>
      <w:pPr>
        <w:pStyle w:val="Heading2"/>
      </w:pPr>
      <w:r>
        <w:t xml:space="preserve">4.2 One-Time vs Repeat Customers</w:t>
      </w:r>
    </w:p>
    <w:p>
      <w:pPr>
        <w:keepNext w:val="false"/>
        <w:spacing w:after="120" w:line="288"/>
      </w:pPr>
      <w:r>
        <w:t xml:space="preserve">Of the 323 identifiable customers, 302 (93.5%) purchased only once and 21 (6.5%) purchased again. This makes second-purchase conversion the clearest retention opportunity in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0B7A2B" w:color="auto" w:val="clear"/>
            <w:tcMar>
              <w:top w:type="dxa" w:w="80"/>
              <w:left w:type="dxa" w:w="120"/>
              <w:bottom w:type="dxa" w:w="80"/>
              <w:right w:type="dxa" w:w="120"/>
            </w:tcMar>
          </w:tcPr>
          <w:p>
            <w:r>
              <w:rPr>
                <w:b/>
                <w:bCs/>
                <w:color w:val="FFFFFF"/>
                <w:sz w:val="21"/>
                <w:szCs w:val="21"/>
              </w:rPr>
              <w:t xml:space="preserve">Customer Type</w:t>
            </w:r>
          </w:p>
        </w:tc>
        <w:tc>
          <w:tcPr>
            <w:tcW w:type="dxa" w:w="3120"/>
            <w:tcBorders>
              <w:top w:val="single" w:color="BFBFBF" w:sz="4"/>
              <w:left w:val="single" w:color="BFBFBF" w:sz="4"/>
              <w:bottom w:val="single" w:color="BFBFBF" w:sz="4"/>
              <w:right w:val="single" w:color="BFBFBF" w:sz="4"/>
            </w:tcBorders>
            <w:shd w:fill="0B7A2B" w:color="auto" w:val="clear"/>
            <w:tcMar>
              <w:top w:type="dxa" w:w="80"/>
              <w:left w:type="dxa" w:w="120"/>
              <w:bottom w:type="dxa" w:w="80"/>
              <w:right w:type="dxa" w:w="120"/>
            </w:tcMar>
          </w:tcPr>
          <w:p>
            <w:r>
              <w:rPr>
                <w:b/>
                <w:bCs/>
                <w:color w:val="FFFFFF"/>
                <w:sz w:val="21"/>
                <w:szCs w:val="21"/>
              </w:rPr>
              <w:t xml:space="preserve">Count</w:t>
            </w:r>
          </w:p>
        </w:tc>
        <w:tc>
          <w:tcPr>
            <w:tcW w:type="dxa" w:w="3120"/>
            <w:tcBorders>
              <w:top w:val="single" w:color="BFBFBF" w:sz="4"/>
              <w:left w:val="single" w:color="BFBFBF" w:sz="4"/>
              <w:bottom w:val="single" w:color="BFBFBF" w:sz="4"/>
              <w:right w:val="single" w:color="BFBFBF" w:sz="4"/>
            </w:tcBorders>
            <w:shd w:fill="0B7A2B" w:color="auto" w:val="clear"/>
            <w:tcMar>
              <w:top w:type="dxa" w:w="80"/>
              <w:left w:type="dxa" w:w="120"/>
              <w:bottom w:type="dxa" w:w="80"/>
              <w:right w:type="dxa" w:w="120"/>
            </w:tcMar>
          </w:tcPr>
          <w:p>
            <w:r>
              <w:rPr>
                <w:b/>
                <w:bCs/>
                <w:color w:val="FFFFFF"/>
                <w:sz w:val="21"/>
                <w:szCs w:val="21"/>
              </w:rPr>
              <w:t xml:space="preserve">Share</w:t>
            </w:r>
          </w:p>
        </w:tc>
      </w:tr>
      <w:tr>
        <w:trPr>
          <w:cantSplit/>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1"/>
                <w:szCs w:val="21"/>
              </w:rPr>
              <w:t xml:space="preserve">One-time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1"/>
                <w:szCs w:val="21"/>
              </w:rPr>
              <w:t xml:space="preserve">302</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1"/>
                <w:szCs w:val="21"/>
              </w:rPr>
              <w:t xml:space="preserve">93.5%</w:t>
            </w:r>
          </w:p>
        </w:tc>
      </w:tr>
      <w:tr>
        <w:trPr>
          <w:cantSplit/>
        </w:trPr>
        <w:tc>
          <w:tcPr>
            <w:tcW w:type="dxa" w:w="3120"/>
            <w:tcBorders>
              <w:top w:val="single" w:color="BFBFBF" w:sz="4"/>
              <w:left w:val="single" w:color="BFBFBF" w:sz="4"/>
              <w:bottom w:val="single" w:color="BFBFBF" w:sz="4"/>
              <w:right w:val="single" w:color="BFBFBF" w:sz="4"/>
            </w:tcBorders>
            <w:shd w:fill="F7F7F7" w:color="auto" w:val="clear"/>
            <w:tcMar>
              <w:top w:type="dxa" w:w="80"/>
              <w:left w:type="dxa" w:w="120"/>
              <w:bottom w:type="dxa" w:w="80"/>
              <w:right w:type="dxa" w:w="120"/>
            </w:tcMar>
          </w:tcPr>
          <w:p>
            <w:r>
              <w:rPr>
                <w:b/>
                <w:bCs/>
                <w:sz w:val="21"/>
                <w:szCs w:val="21"/>
              </w:rPr>
              <w:t xml:space="preserve">Repeat</w:t>
            </w:r>
          </w:p>
        </w:tc>
        <w:tc>
          <w:tcPr>
            <w:tcW w:type="dxa" w:w="3120"/>
            <w:tcBorders>
              <w:top w:val="single" w:color="BFBFBF" w:sz="4"/>
              <w:left w:val="single" w:color="BFBFBF" w:sz="4"/>
              <w:bottom w:val="single" w:color="BFBFBF" w:sz="4"/>
              <w:right w:val="single" w:color="BFBFBF" w:sz="4"/>
            </w:tcBorders>
            <w:shd w:fill="F7F7F7" w:color="auto" w:val="clear"/>
            <w:tcMar>
              <w:top w:type="dxa" w:w="80"/>
              <w:left w:type="dxa" w:w="120"/>
              <w:bottom w:type="dxa" w:w="80"/>
              <w:right w:type="dxa" w:w="120"/>
            </w:tcMar>
          </w:tcPr>
          <w:p>
            <w:r>
              <w:rPr>
                <w:b w:val="false"/>
                <w:bCs w:val="false"/>
                <w:sz w:val="21"/>
                <w:szCs w:val="21"/>
              </w:rPr>
              <w:t xml:space="preserve">21</w:t>
            </w:r>
          </w:p>
        </w:tc>
        <w:tc>
          <w:tcPr>
            <w:tcW w:type="dxa" w:w="3120"/>
            <w:tcBorders>
              <w:top w:val="single" w:color="BFBFBF" w:sz="4"/>
              <w:left w:val="single" w:color="BFBFBF" w:sz="4"/>
              <w:bottom w:val="single" w:color="BFBFBF" w:sz="4"/>
              <w:right w:val="single" w:color="BFBFBF" w:sz="4"/>
            </w:tcBorders>
            <w:shd w:fill="F7F7F7" w:color="auto" w:val="clear"/>
            <w:tcMar>
              <w:top w:type="dxa" w:w="80"/>
              <w:left w:type="dxa" w:w="120"/>
              <w:bottom w:type="dxa" w:w="80"/>
              <w:right w:type="dxa" w:w="120"/>
            </w:tcMar>
          </w:tcPr>
          <w:p>
            <w:r>
              <w:rPr>
                <w:b w:val="false"/>
                <w:bCs w:val="false"/>
                <w:sz w:val="21"/>
                <w:szCs w:val="21"/>
              </w:rPr>
              <w:t xml:space="preserve">6.5%</w:t>
            </w:r>
          </w:p>
        </w:tc>
      </w:tr>
    </w:tbl>
    <w:p>
      <w:pPr>
        <w:spacing w:after="120"/>
      </w:pPr>
    </w:p>
    <w:p>
      <w:pPr>
        <w:pStyle w:val="Heading2"/>
      </w:pPr>
      <w:r>
        <w:t xml:space="preserve">4.3 Customer Revenue by Purchase Type</w:t>
      </w:r>
    </w:p>
    <w:p>
      <w:pPr>
        <w:keepNext/>
        <w:spacing w:after="120" w:line="288"/>
      </w:pPr>
      <w:r>
        <w:t xml:space="preserve">Registered customers are classified as One-Time or Repeat. Repeat customers contribute about ₹0.2M from only 21 customers, while one-time customers contribute about ₹1.2M from 302 customers. On a per-customer basis, a repeat customer is worth roughly 2.4 times a one-time customer. Per-customer values in the table are derived from the rounded revenue figures shown on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300"/>
        <w:gridCol w:w="2560"/>
      </w:tblGrid>
      <w:tr>
        <w:trPr>
          <w:cantSplit/>
          <w:tblHeader/>
        </w:trPr>
        <w:tc>
          <w:tcPr>
            <w:tcW w:type="dxa" w:w="2600"/>
            <w:tcBorders>
              <w:top w:val="single" w:color="BFBFBF" w:sz="4"/>
              <w:left w:val="single" w:color="BFBFBF" w:sz="4"/>
              <w:bottom w:val="single" w:color="BFBFBF" w:sz="4"/>
              <w:right w:val="single" w:color="BFBFBF" w:sz="4"/>
            </w:tcBorders>
            <w:shd w:fill="0B7A2B" w:color="auto" w:val="clear"/>
            <w:tcMar>
              <w:top w:type="dxa" w:w="80"/>
              <w:left w:type="dxa" w:w="120"/>
              <w:bottom w:type="dxa" w:w="80"/>
              <w:right w:type="dxa" w:w="120"/>
            </w:tcMar>
          </w:tcPr>
          <w:p>
            <w:r>
              <w:rPr>
                <w:b/>
                <w:bCs/>
                <w:color w:val="FFFFFF"/>
                <w:sz w:val="21"/>
                <w:szCs w:val="21"/>
              </w:rPr>
              <w:t xml:space="preserve">Purchase Type</w:t>
            </w:r>
          </w:p>
        </w:tc>
        <w:tc>
          <w:tcPr>
            <w:tcW w:type="dxa" w:w="1900"/>
            <w:tcBorders>
              <w:top w:val="single" w:color="BFBFBF" w:sz="4"/>
              <w:left w:val="single" w:color="BFBFBF" w:sz="4"/>
              <w:bottom w:val="single" w:color="BFBFBF" w:sz="4"/>
              <w:right w:val="single" w:color="BFBFBF" w:sz="4"/>
            </w:tcBorders>
            <w:shd w:fill="0B7A2B" w:color="auto" w:val="clear"/>
            <w:tcMar>
              <w:top w:type="dxa" w:w="80"/>
              <w:left w:type="dxa" w:w="120"/>
              <w:bottom w:type="dxa" w:w="80"/>
              <w:right w:type="dxa" w:w="120"/>
            </w:tcMar>
          </w:tcPr>
          <w:p>
            <w:r>
              <w:rPr>
                <w:b/>
                <w:bCs/>
                <w:color w:val="FFFFFF"/>
                <w:sz w:val="21"/>
                <w:szCs w:val="21"/>
              </w:rPr>
              <w:t xml:space="preserve">Customers</w:t>
            </w:r>
          </w:p>
        </w:tc>
        <w:tc>
          <w:tcPr>
            <w:tcW w:type="dxa" w:w="2300"/>
            <w:tcBorders>
              <w:top w:val="single" w:color="BFBFBF" w:sz="4"/>
              <w:left w:val="single" w:color="BFBFBF" w:sz="4"/>
              <w:bottom w:val="single" w:color="BFBFBF" w:sz="4"/>
              <w:right w:val="single" w:color="BFBFBF" w:sz="4"/>
            </w:tcBorders>
            <w:shd w:fill="0B7A2B" w:color="auto" w:val="clear"/>
            <w:tcMar>
              <w:top w:type="dxa" w:w="80"/>
              <w:left w:type="dxa" w:w="120"/>
              <w:bottom w:type="dxa" w:w="80"/>
              <w:right w:type="dxa" w:w="120"/>
            </w:tcMar>
          </w:tcPr>
          <w:p>
            <w:r>
              <w:rPr>
                <w:b/>
                <w:bCs/>
                <w:color w:val="FFFFFF"/>
                <w:sz w:val="21"/>
                <w:szCs w:val="21"/>
              </w:rPr>
              <w:t xml:space="preserve">Revenue (approx.)</w:t>
            </w:r>
          </w:p>
        </w:tc>
        <w:tc>
          <w:tcPr>
            <w:tcW w:type="dxa" w:w="2560"/>
            <w:tcBorders>
              <w:top w:val="single" w:color="BFBFBF" w:sz="4"/>
              <w:left w:val="single" w:color="BFBFBF" w:sz="4"/>
              <w:bottom w:val="single" w:color="BFBFBF" w:sz="4"/>
              <w:right w:val="single" w:color="BFBFBF" w:sz="4"/>
            </w:tcBorders>
            <w:shd w:fill="0B7A2B" w:color="auto" w:val="clear"/>
            <w:tcMar>
              <w:top w:type="dxa" w:w="80"/>
              <w:left w:type="dxa" w:w="120"/>
              <w:bottom w:type="dxa" w:w="80"/>
              <w:right w:type="dxa" w:w="120"/>
            </w:tcMar>
          </w:tcPr>
          <w:p>
            <w:r>
              <w:rPr>
                <w:b/>
                <w:bCs/>
                <w:color w:val="FFFFFF"/>
                <w:sz w:val="21"/>
                <w:szCs w:val="21"/>
              </w:rPr>
              <w:t xml:space="preserve">Revenue per customer (approx.)</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1"/>
                <w:szCs w:val="21"/>
              </w:rPr>
              <w:t xml:space="preserve">One-time Customer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1"/>
                <w:szCs w:val="21"/>
              </w:rPr>
              <w:t xml:space="preserve">302</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1"/>
                <w:szCs w:val="21"/>
              </w:rPr>
              <w:t xml:space="preserve">₹1.2M</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1"/>
                <w:szCs w:val="21"/>
              </w:rPr>
              <w:t xml:space="preserve">₹4.0K</w:t>
            </w:r>
          </w:p>
        </w:tc>
      </w:tr>
      <w:tr>
        <w:trPr>
          <w:cantSplit/>
        </w:trPr>
        <w:tc>
          <w:tcPr>
            <w:tcW w:type="dxa" w:w="2600"/>
            <w:tcBorders>
              <w:top w:val="single" w:color="BFBFBF" w:sz="4"/>
              <w:left w:val="single" w:color="BFBFBF" w:sz="4"/>
              <w:bottom w:val="single" w:color="BFBFBF" w:sz="4"/>
              <w:right w:val="single" w:color="BFBFBF" w:sz="4"/>
            </w:tcBorders>
            <w:shd w:fill="F7F7F7" w:color="auto" w:val="clear"/>
            <w:tcMar>
              <w:top w:type="dxa" w:w="80"/>
              <w:left w:type="dxa" w:w="120"/>
              <w:bottom w:type="dxa" w:w="80"/>
              <w:right w:type="dxa" w:w="120"/>
            </w:tcMar>
          </w:tcPr>
          <w:p>
            <w:r>
              <w:rPr>
                <w:b/>
                <w:bCs/>
                <w:sz w:val="21"/>
                <w:szCs w:val="21"/>
              </w:rPr>
              <w:t xml:space="preserve">Repeat Customer</w:t>
            </w:r>
          </w:p>
        </w:tc>
        <w:tc>
          <w:tcPr>
            <w:tcW w:type="dxa" w:w="1900"/>
            <w:tcBorders>
              <w:top w:val="single" w:color="BFBFBF" w:sz="4"/>
              <w:left w:val="single" w:color="BFBFBF" w:sz="4"/>
              <w:bottom w:val="single" w:color="BFBFBF" w:sz="4"/>
              <w:right w:val="single" w:color="BFBFBF" w:sz="4"/>
            </w:tcBorders>
            <w:shd w:fill="F7F7F7" w:color="auto" w:val="clear"/>
            <w:tcMar>
              <w:top w:type="dxa" w:w="80"/>
              <w:left w:type="dxa" w:w="120"/>
              <w:bottom w:type="dxa" w:w="80"/>
              <w:right w:type="dxa" w:w="120"/>
            </w:tcMar>
          </w:tcPr>
          <w:p>
            <w:r>
              <w:rPr>
                <w:b w:val="false"/>
                <w:bCs w:val="false"/>
                <w:sz w:val="21"/>
                <w:szCs w:val="21"/>
              </w:rPr>
              <w:t xml:space="preserve">21</w:t>
            </w:r>
          </w:p>
        </w:tc>
        <w:tc>
          <w:tcPr>
            <w:tcW w:type="dxa" w:w="2300"/>
            <w:tcBorders>
              <w:top w:val="single" w:color="BFBFBF" w:sz="4"/>
              <w:left w:val="single" w:color="BFBFBF" w:sz="4"/>
              <w:bottom w:val="single" w:color="BFBFBF" w:sz="4"/>
              <w:right w:val="single" w:color="BFBFBF" w:sz="4"/>
            </w:tcBorders>
            <w:shd w:fill="F7F7F7" w:color="auto" w:val="clear"/>
            <w:tcMar>
              <w:top w:type="dxa" w:w="80"/>
              <w:left w:type="dxa" w:w="120"/>
              <w:bottom w:type="dxa" w:w="80"/>
              <w:right w:type="dxa" w:w="120"/>
            </w:tcMar>
          </w:tcPr>
          <w:p>
            <w:r>
              <w:rPr>
                <w:b w:val="false"/>
                <w:bCs w:val="false"/>
                <w:sz w:val="21"/>
                <w:szCs w:val="21"/>
              </w:rPr>
              <w:t xml:space="preserve">₹0.2M</w:t>
            </w:r>
          </w:p>
        </w:tc>
        <w:tc>
          <w:tcPr>
            <w:tcW w:type="dxa" w:w="2560"/>
            <w:tcBorders>
              <w:top w:val="single" w:color="BFBFBF" w:sz="4"/>
              <w:left w:val="single" w:color="BFBFBF" w:sz="4"/>
              <w:bottom w:val="single" w:color="BFBFBF" w:sz="4"/>
              <w:right w:val="single" w:color="BFBFBF" w:sz="4"/>
            </w:tcBorders>
            <w:shd w:fill="F7F7F7" w:color="auto" w:val="clear"/>
            <w:tcMar>
              <w:top w:type="dxa" w:w="80"/>
              <w:left w:type="dxa" w:w="120"/>
              <w:bottom w:type="dxa" w:w="80"/>
              <w:right w:type="dxa" w:w="120"/>
            </w:tcMar>
          </w:tcPr>
          <w:p>
            <w:r>
              <w:rPr>
                <w:b w:val="false"/>
                <w:bCs w:val="false"/>
                <w:sz w:val="21"/>
                <w:szCs w:val="21"/>
              </w:rPr>
              <w:t xml:space="preserve">₹9.5K</w:t>
            </w:r>
          </w:p>
        </w:tc>
      </w:tr>
    </w:tbl>
    <w:p>
      <w:pPr>
        <w:pStyle w:val="Heading2"/>
      </w:pPr>
      <w:r>
        <w:t xml:space="preserve">4.4 Monthly Purchasing Trend</w:t>
      </w:r>
    </w:p>
    <w:p>
      <w:pPr>
        <w:keepNext w:val="false"/>
        <w:spacing w:after="120" w:line="288"/>
      </w:pPr>
      <w:r>
        <w:t xml:space="preserve">Monthly orders rose steadily from early 2023 to mid-2026. Volumes stayed mostly below 25 orders per month through 2024 and 2025, with a smaller rise to about 41 around January 2026, followed by a sharp spike to about 82 around May 2026. Orders then fell back quickly. The latest month (July 2026) is only a partial month because the data ends on 14 July 2026, so the drop at the end of the line should not be read as a real decline.</w:t>
      </w:r>
    </w:p>
    <w:p>
      <w:pPr>
        <w:pStyle w:val="Heading1"/>
      </w:pPr>
      <w:r>
        <w:t xml:space="preserve">5. Key Insights</w:t>
      </w:r>
    </w:p>
    <w:p>
      <w:pPr>
        <w:pStyle w:val="ListParagraph"/>
        <w:numPr>
          <w:ilvl w:val="0"/>
          <w:numId w:val="2"/>
        </w:numPr>
        <w:spacing w:after="100" w:line="288"/>
      </w:pPr>
      <w:r>
        <w:rPr>
          <w:b/>
          <w:bCs/>
        </w:rPr>
        <w:t xml:space="preserve">India dominates: </w:t>
      </w:r>
      <w:r>
        <w:t xml:space="preserve">276 of 323 registered customers (~85%) and 307 of 340 guest orders (~90%) are from India. The US and UK are far behind.</w:t>
      </w:r>
    </w:p>
    <w:p>
      <w:pPr>
        <w:pStyle w:val="ListParagraph"/>
        <w:numPr>
          <w:ilvl w:val="0"/>
          <w:numId w:val="2"/>
        </w:numPr>
        <w:spacing w:after="100" w:line="288"/>
      </w:pPr>
      <w:r>
        <w:rPr>
          <w:b/>
          <w:bCs/>
        </w:rPr>
        <w:t xml:space="preserve">Guest orders are high: </w:t>
      </w:r>
      <w:r>
        <w:t xml:space="preserve">340 of 690 orders (~49%) are from guests, so half of the buying behaviour cannot be tracked.</w:t>
      </w:r>
    </w:p>
    <w:p>
      <w:pPr>
        <w:pStyle w:val="ListParagraph"/>
        <w:numPr>
          <w:ilvl w:val="0"/>
          <w:numId w:val="2"/>
        </w:numPr>
        <w:spacing w:after="100" w:line="288"/>
      </w:pPr>
      <w:r>
        <w:rPr>
          <w:b/>
          <w:bCs/>
        </w:rPr>
        <w:t xml:space="preserve">Repeat rate is low: </w:t>
      </w:r>
      <w:r>
        <w:t xml:space="preserve">only 21 customers (6.5%) are repeat buyers, while 302 (93.5%) bought just once.</w:t>
      </w:r>
    </w:p>
    <w:p>
      <w:pPr>
        <w:pStyle w:val="ListParagraph"/>
        <w:numPr>
          <w:ilvl w:val="0"/>
          <w:numId w:val="2"/>
        </w:numPr>
        <w:spacing w:after="100" w:line="288"/>
      </w:pPr>
      <w:r>
        <w:rPr>
          <w:b/>
          <w:bCs/>
        </w:rPr>
        <w:t xml:space="preserve">Repeat customers are worth more: </w:t>
      </w:r>
      <w:r>
        <w:t xml:space="preserve">they bring in about ₹0.2M from 6.5% of customers, roughly 2.4 times the revenue per head of one-time buyers (₹1.2M in total).</w:t>
      </w:r>
    </w:p>
    <w:p>
      <w:pPr>
        <w:pStyle w:val="ListParagraph"/>
        <w:numPr>
          <w:ilvl w:val="0"/>
          <w:numId w:val="2"/>
        </w:numPr>
        <w:spacing w:after="100" w:line="288"/>
      </w:pPr>
      <w:r>
        <w:rPr>
          <w:b/>
          <w:bCs/>
        </w:rPr>
        <w:t xml:space="preserve">Orders are growing, with a spike: </w:t>
      </w:r>
      <w:r>
        <w:t xml:space="preserve">monthly orders rose steadily from 2023 to 2026 and peaked at about 82 around May 2026. The cause of this spike should be investigated.</w:t>
      </w:r>
    </w:p>
    <w:p>
      <w:pPr>
        <w:pStyle w:val="Heading1"/>
      </w:pPr>
      <w:r>
        <w:t xml:space="preserve">6. Power BI Chart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rPr>
          <w:cantSplit/>
          <w:tblHeader/>
        </w:trPr>
        <w:tc>
          <w:tcPr>
            <w:tcW w:type="dxa" w:w="2300"/>
            <w:tcBorders>
              <w:top w:val="single" w:color="BFBFBF" w:sz="4"/>
              <w:left w:val="single" w:color="BFBFBF" w:sz="4"/>
              <w:bottom w:val="single" w:color="BFBFBF" w:sz="4"/>
              <w:right w:val="single" w:color="BFBFBF" w:sz="4"/>
            </w:tcBorders>
            <w:shd w:fill="0B7A2B" w:color="auto" w:val="clear"/>
            <w:tcMar>
              <w:top w:type="dxa" w:w="80"/>
              <w:left w:type="dxa" w:w="120"/>
              <w:bottom w:type="dxa" w:w="80"/>
              <w:right w:type="dxa" w:w="120"/>
            </w:tcMar>
          </w:tcPr>
          <w:p>
            <w:r>
              <w:rPr>
                <w:b/>
                <w:bCs/>
                <w:color w:val="FFFFFF"/>
                <w:sz w:val="21"/>
                <w:szCs w:val="21"/>
              </w:rPr>
              <w:t xml:space="preserve">Chart</w:t>
            </w:r>
          </w:p>
        </w:tc>
        <w:tc>
          <w:tcPr>
            <w:tcW w:type="dxa" w:w="2300"/>
            <w:tcBorders>
              <w:top w:val="single" w:color="BFBFBF" w:sz="4"/>
              <w:left w:val="single" w:color="BFBFBF" w:sz="4"/>
              <w:bottom w:val="single" w:color="BFBFBF" w:sz="4"/>
              <w:right w:val="single" w:color="BFBFBF" w:sz="4"/>
            </w:tcBorders>
            <w:shd w:fill="0B7A2B" w:color="auto" w:val="clear"/>
            <w:tcMar>
              <w:top w:type="dxa" w:w="80"/>
              <w:left w:type="dxa" w:w="120"/>
              <w:bottom w:type="dxa" w:w="80"/>
              <w:right w:type="dxa" w:w="120"/>
            </w:tcMar>
          </w:tcPr>
          <w:p>
            <w:r>
              <w:rPr>
                <w:b/>
                <w:bCs/>
                <w:color w:val="FFFFFF"/>
                <w:sz w:val="21"/>
                <w:szCs w:val="21"/>
              </w:rPr>
              <w:t xml:space="preserve">Visual Type</w:t>
            </w:r>
          </w:p>
        </w:tc>
        <w:tc>
          <w:tcPr>
            <w:tcW w:type="dxa" w:w="4760"/>
            <w:tcBorders>
              <w:top w:val="single" w:color="BFBFBF" w:sz="4"/>
              <w:left w:val="single" w:color="BFBFBF" w:sz="4"/>
              <w:bottom w:val="single" w:color="BFBFBF" w:sz="4"/>
              <w:right w:val="single" w:color="BFBFBF" w:sz="4"/>
            </w:tcBorders>
            <w:shd w:fill="0B7A2B" w:color="auto" w:val="clear"/>
            <w:tcMar>
              <w:top w:type="dxa" w:w="80"/>
              <w:left w:type="dxa" w:w="120"/>
              <w:bottom w:type="dxa" w:w="80"/>
              <w:right w:type="dxa" w:w="120"/>
            </w:tcMar>
          </w:tcPr>
          <w:p>
            <w:r>
              <w:rPr>
                <w:b/>
                <w:bCs/>
                <w:color w:val="FFFFFF"/>
                <w:sz w:val="21"/>
                <w:szCs w:val="21"/>
              </w:rPr>
              <w:t xml:space="preserve">Axis / Fields</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1"/>
                <w:szCs w:val="21"/>
              </w:rPr>
              <w:t xml:space="preserve">Customer Distribution by Location</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1"/>
                <w:szCs w:val="21"/>
              </w:rPr>
              <w:t xml:space="preserve">Clustered bar chart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1"/>
                <w:szCs w:val="21"/>
              </w:rPr>
              <w:t xml:space="preserve">Y: billing_country_clean; X: [Registered Customers], [Guest Orders]</w:t>
            </w:r>
          </w:p>
        </w:tc>
      </w:tr>
      <w:tr>
        <w:trPr>
          <w:cantSplit/>
        </w:trPr>
        <w:tc>
          <w:tcPr>
            <w:tcW w:type="dxa" w:w="2300"/>
            <w:tcBorders>
              <w:top w:val="single" w:color="BFBFBF" w:sz="4"/>
              <w:left w:val="single" w:color="BFBFBF" w:sz="4"/>
              <w:bottom w:val="single" w:color="BFBFBF" w:sz="4"/>
              <w:right w:val="single" w:color="BFBFBF" w:sz="4"/>
            </w:tcBorders>
            <w:shd w:fill="F7F7F7" w:color="auto" w:val="clear"/>
            <w:tcMar>
              <w:top w:type="dxa" w:w="80"/>
              <w:left w:type="dxa" w:w="120"/>
              <w:bottom w:type="dxa" w:w="80"/>
              <w:right w:type="dxa" w:w="120"/>
            </w:tcMar>
          </w:tcPr>
          <w:p>
            <w:r>
              <w:rPr>
                <w:b/>
                <w:bCs/>
                <w:sz w:val="21"/>
                <w:szCs w:val="21"/>
              </w:rPr>
              <w:t xml:space="preserve">One-Time vs Repeat Customers</w:t>
            </w:r>
          </w:p>
        </w:tc>
        <w:tc>
          <w:tcPr>
            <w:tcW w:type="dxa" w:w="2300"/>
            <w:tcBorders>
              <w:top w:val="single" w:color="BFBFBF" w:sz="4"/>
              <w:left w:val="single" w:color="BFBFBF" w:sz="4"/>
              <w:bottom w:val="single" w:color="BFBFBF" w:sz="4"/>
              <w:right w:val="single" w:color="BFBFBF" w:sz="4"/>
            </w:tcBorders>
            <w:shd w:fill="F7F7F7" w:color="auto" w:val="clear"/>
            <w:tcMar>
              <w:top w:type="dxa" w:w="80"/>
              <w:left w:type="dxa" w:w="120"/>
              <w:bottom w:type="dxa" w:w="80"/>
              <w:right w:type="dxa" w:w="120"/>
            </w:tcMar>
          </w:tcPr>
          <w:p>
            <w:r>
              <w:rPr>
                <w:b w:val="false"/>
                <w:bCs w:val="false"/>
                <w:sz w:val="21"/>
                <w:szCs w:val="21"/>
              </w:rPr>
              <w:t xml:space="preserve">Donut chart</w:t>
            </w:r>
          </w:p>
        </w:tc>
        <w:tc>
          <w:tcPr>
            <w:tcW w:type="dxa" w:w="4760"/>
            <w:tcBorders>
              <w:top w:val="single" w:color="BFBFBF" w:sz="4"/>
              <w:left w:val="single" w:color="BFBFBF" w:sz="4"/>
              <w:bottom w:val="single" w:color="BFBFBF" w:sz="4"/>
              <w:right w:val="single" w:color="BFBFBF" w:sz="4"/>
            </w:tcBorders>
            <w:shd w:fill="F7F7F7" w:color="auto" w:val="clear"/>
            <w:tcMar>
              <w:top w:type="dxa" w:w="80"/>
              <w:left w:type="dxa" w:w="120"/>
              <w:bottom w:type="dxa" w:w="80"/>
              <w:right w:type="dxa" w:w="120"/>
            </w:tcMar>
          </w:tcPr>
          <w:p>
            <w:r>
              <w:rPr>
                <w:b w:val="false"/>
                <w:bCs w:val="false"/>
                <w:sz w:val="21"/>
                <w:szCs w:val="21"/>
              </w:rPr>
              <w:t xml:space="preserve">Legend: Customer Type; Values: Distinct Customer Count</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1"/>
                <w:szCs w:val="21"/>
              </w:rPr>
              <w:t xml:space="preserve">Customer Revenue by Purchase Type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1"/>
                <w:szCs w:val="21"/>
              </w:rPr>
              <w:t xml:space="preserve">Clustered column chart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1"/>
                <w:szCs w:val="21"/>
              </w:rPr>
              <w:t xml:space="preserve">X: Purchase Type; Y: [Total Customer Revenue (INR)]; Tooltips: [Customer Count], [Total Orders]</w:t>
            </w:r>
          </w:p>
        </w:tc>
      </w:tr>
      <w:tr>
        <w:trPr>
          <w:cantSplit/>
        </w:trPr>
        <w:tc>
          <w:tcPr>
            <w:tcW w:type="dxa" w:w="2300"/>
            <w:tcBorders>
              <w:top w:val="single" w:color="BFBFBF" w:sz="4"/>
              <w:left w:val="single" w:color="BFBFBF" w:sz="4"/>
              <w:bottom w:val="single" w:color="BFBFBF" w:sz="4"/>
              <w:right w:val="single" w:color="BFBFBF" w:sz="4"/>
            </w:tcBorders>
            <w:shd w:fill="F7F7F7" w:color="auto" w:val="clear"/>
            <w:tcMar>
              <w:top w:type="dxa" w:w="80"/>
              <w:left w:type="dxa" w:w="120"/>
              <w:bottom w:type="dxa" w:w="80"/>
              <w:right w:type="dxa" w:w="120"/>
            </w:tcMar>
          </w:tcPr>
          <w:p>
            <w:r>
              <w:rPr>
                <w:b/>
                <w:bCs/>
                <w:sz w:val="21"/>
                <w:szCs w:val="21"/>
              </w:rPr>
              <w:t xml:space="preserve">Monthly Purchasing Trend</w:t>
            </w:r>
          </w:p>
        </w:tc>
        <w:tc>
          <w:tcPr>
            <w:tcW w:type="dxa" w:w="2300"/>
            <w:tcBorders>
              <w:top w:val="single" w:color="BFBFBF" w:sz="4"/>
              <w:left w:val="single" w:color="BFBFBF" w:sz="4"/>
              <w:bottom w:val="single" w:color="BFBFBF" w:sz="4"/>
              <w:right w:val="single" w:color="BFBFBF" w:sz="4"/>
            </w:tcBorders>
            <w:shd w:fill="F7F7F7" w:color="auto" w:val="clear"/>
            <w:tcMar>
              <w:top w:type="dxa" w:w="80"/>
              <w:left w:type="dxa" w:w="120"/>
              <w:bottom w:type="dxa" w:w="80"/>
              <w:right w:type="dxa" w:w="120"/>
            </w:tcMar>
          </w:tcPr>
          <w:p>
            <w:r>
              <w:rPr>
                <w:b w:val="false"/>
                <w:bCs w:val="false"/>
                <w:sz w:val="21"/>
                <w:szCs w:val="21"/>
              </w:rPr>
              <w:t xml:space="preserve">Line / area chart</w:t>
            </w:r>
          </w:p>
        </w:tc>
        <w:tc>
          <w:tcPr>
            <w:tcW w:type="dxa" w:w="4760"/>
            <w:tcBorders>
              <w:top w:val="single" w:color="BFBFBF" w:sz="4"/>
              <w:left w:val="single" w:color="BFBFBF" w:sz="4"/>
              <w:bottom w:val="single" w:color="BFBFBF" w:sz="4"/>
              <w:right w:val="single" w:color="BFBFBF" w:sz="4"/>
            </w:tcBorders>
            <w:shd w:fill="F7F7F7" w:color="auto" w:val="clear"/>
            <w:tcMar>
              <w:top w:type="dxa" w:w="80"/>
              <w:left w:type="dxa" w:w="120"/>
              <w:bottom w:type="dxa" w:w="80"/>
              <w:right w:type="dxa" w:w="120"/>
            </w:tcMar>
          </w:tcPr>
          <w:p>
            <w:r>
              <w:rPr>
                <w:b w:val="false"/>
                <w:bCs w:val="false"/>
                <w:sz w:val="21"/>
                <w:szCs w:val="21"/>
              </w:rPr>
              <w:t xml:space="preserve">X: order_date (Month, Year); Y: Count of order_id</w:t>
            </w:r>
          </w:p>
        </w:tc>
      </w:tr>
    </w:tbl>
    <w:p>
      <w:pPr>
        <w:spacing w:after="120"/>
      </w:pPr>
    </w:p>
    <w:p>
      <w:pPr>
        <w:pStyle w:val="Heading2"/>
      </w:pPr>
      <w:r>
        <w:t xml:space="preserve">Supporting DAX Measures</w:t>
      </w:r>
    </w:p>
    <w:p>
      <w:pPr>
        <w:keepNext/>
        <w:spacing w:after="120" w:line="288"/>
      </w:pPr>
      <w:r>
        <w:rPr>
          <w:b/>
          <w:bCs/>
        </w:rPr>
        <w:t xml:space="preserve">Total Customer Revenue (INR) – </w:t>
      </w:r>
      <w:r>
        <w:t xml:space="preserve">sums order subtotal for registered customers only. This assumes the order table holds one row per order, and that Purchase Type correctly classifies registered customers as One-Time Customer or Repeat Customer.</w:t>
      </w:r>
    </w:p>
    <w:p>
      <w:pPr>
        <w:keepNext/>
        <w:keepLines/>
        <w:shd w:fill="F3F3F3" w:val="clear"/>
        <w:spacing w:line="252"/>
        <w:ind w:left="200" w:right="200"/>
      </w:pPr>
      <w:r>
        <w:rPr>
          <w:rFonts w:ascii="Consolas" w:cs="Consolas" w:eastAsia="Consolas" w:hAnsi="Consolas"/>
          <w:sz w:val="18"/>
          <w:szCs w:val="18"/>
        </w:rPr>
        <w:t xml:space="preserve">Total Customer Revenue (INR) =</w:t>
      </w:r>
    </w:p>
    <w:p>
      <w:pPr>
        <w:keepNext/>
        <w:keepLines/>
        <w:shd w:fill="F3F3F3" w:val="clear"/>
        <w:spacing w:line="252"/>
        <w:ind w:left="200" w:right="200"/>
      </w:pPr>
      <w:r>
        <w:rPr>
          <w:rFonts w:ascii="Consolas" w:cs="Consolas" w:eastAsia="Consolas" w:hAnsi="Consolas"/>
          <w:sz w:val="18"/>
          <w:szCs w:val="18"/>
        </w:rPr>
        <w:t xml:space="preserve">CALCULATE(</w:t>
      </w:r>
    </w:p>
    <w:p>
      <w:pPr>
        <w:keepNext/>
        <w:keepLines/>
        <w:shd w:fill="F3F3F3" w:val="clear"/>
        <w:spacing w:line="252"/>
        <w:ind w:left="200" w:right="200"/>
      </w:pPr>
      <w:r>
        <w:rPr>
          <w:rFonts w:ascii="Consolas" w:cs="Consolas" w:eastAsia="Consolas" w:hAnsi="Consolas"/>
          <w:sz w:val="18"/>
          <w:szCs w:val="18"/>
        </w:rPr>
        <w:t xml:space="preserve">    SUM(</w:t>
      </w:r>
    </w:p>
    <w:p>
      <w:pPr>
        <w:keepNext/>
        <w:keepLines/>
        <w:shd w:fill="F3F3F3" w:val="clear"/>
        <w:spacing w:line="252"/>
        <w:ind w:left="200" w:right="200"/>
      </w:pPr>
      <w:r>
        <w:rPr>
          <w:rFonts w:ascii="Consolas" w:cs="Consolas" w:eastAsia="Consolas" w:hAnsi="Consolas"/>
          <w:sz w:val="18"/>
          <w:szCs w:val="18"/>
        </w:rPr>
        <w:t xml:space="preserve">        'padanjaly-order export cleaned'[order_subtotal_INR]</w:t>
      </w:r>
    </w:p>
    <w:p>
      <w:pPr>
        <w:keepNext/>
        <w:keepLines/>
        <w:shd w:fill="F3F3F3" w:val="clear"/>
        <w:spacing w:line="252"/>
        <w:ind w:left="200" w:right="200"/>
      </w:pPr>
      <w:r>
        <w:rPr>
          <w:rFonts w:ascii="Consolas" w:cs="Consolas" w:eastAsia="Consolas" w:hAnsi="Consolas"/>
          <w:sz w:val="18"/>
          <w:szCs w:val="18"/>
        </w:rPr>
        <w:t xml:space="preserve">    ),</w:t>
      </w:r>
    </w:p>
    <w:p>
      <w:pPr>
        <w:keepNext/>
        <w:keepLines/>
        <w:shd w:fill="F3F3F3" w:val="clear"/>
        <w:spacing w:line="252"/>
        <w:ind w:left="200" w:right="200"/>
      </w:pPr>
      <w:r>
        <w:rPr>
          <w:rFonts w:ascii="Consolas" w:cs="Consolas" w:eastAsia="Consolas" w:hAnsi="Consolas"/>
          <w:sz w:val="18"/>
          <w:szCs w:val="18"/>
        </w:rPr>
        <w:t xml:space="preserve">    'padanjaly-order export cleaned'[customer_id] &lt;&gt; 0,</w:t>
      </w:r>
    </w:p>
    <w:p>
      <w:pPr>
        <w:keepNext/>
        <w:keepLines/>
        <w:shd w:fill="F3F3F3" w:val="clear"/>
        <w:spacing w:line="252"/>
        <w:ind w:left="200" w:right="200"/>
      </w:pPr>
      <w:r>
        <w:rPr>
          <w:rFonts w:ascii="Consolas" w:cs="Consolas" w:eastAsia="Consolas" w:hAnsi="Consolas"/>
          <w:sz w:val="18"/>
          <w:szCs w:val="18"/>
        </w:rPr>
        <w:t xml:space="preserve">    NOT ISBLANK(</w:t>
      </w:r>
    </w:p>
    <w:p>
      <w:pPr>
        <w:keepNext/>
        <w:keepLines/>
        <w:shd w:fill="F3F3F3" w:val="clear"/>
        <w:spacing w:line="252"/>
        <w:ind w:left="200" w:right="200"/>
      </w:pPr>
      <w:r>
        <w:rPr>
          <w:rFonts w:ascii="Consolas" w:cs="Consolas" w:eastAsia="Consolas" w:hAnsi="Consolas"/>
          <w:sz w:val="18"/>
          <w:szCs w:val="18"/>
        </w:rPr>
        <w:t xml:space="preserve">        'padanjaly-order export cleaned'[customer_id]</w:t>
      </w:r>
    </w:p>
    <w:p>
      <w:pPr>
        <w:keepNext/>
        <w:keepLines/>
        <w:shd w:fill="F3F3F3" w:val="clear"/>
        <w:spacing w:line="252"/>
        <w:ind w:left="200" w:right="200"/>
      </w:pPr>
      <w:r>
        <w:rPr>
          <w:rFonts w:ascii="Consolas" w:cs="Consolas" w:eastAsia="Consolas" w:hAnsi="Consolas"/>
          <w:sz w:val="18"/>
          <w:szCs w:val="18"/>
        </w:rPr>
        <w:t xml:space="preserve">    )</w:t>
      </w:r>
    </w:p>
    <w:p>
      <w:pPr>
        <w:keepNext/>
        <w:keepLines/>
        <w:shd w:fill="F3F3F3" w:val="clear"/>
        <w:spacing w:line="252"/>
        <w:ind w:left="200" w:right="200"/>
      </w:pPr>
      <w:r>
        <w:rPr>
          <w:rFonts w:ascii="Consolas" w:cs="Consolas" w:eastAsia="Consolas" w:hAnsi="Consolas"/>
          <w:sz w:val="18"/>
          <w:szCs w:val="18"/>
        </w:rPr>
        <w:t xml:space="preserve">)</w:t>
      </w:r>
    </w:p>
    <w:p>
      <w:pPr>
        <w:spacing w:after="120"/>
      </w:pPr>
    </w:p>
    <w:p>
      <w:pPr>
        <w:keepNext/>
        <w:spacing w:after="120" w:line="288"/>
      </w:pPr>
      <w:r>
        <w:rPr>
          <w:b/>
          <w:bCs/>
        </w:rPr>
        <w:t xml:space="preserve">Customer Count – </w:t>
      </w:r>
      <w:r>
        <w:t xml:space="preserve">counts distinct registered customers and is used in the revenue chart tooltip.</w:t>
      </w:r>
    </w:p>
    <w:p>
      <w:pPr>
        <w:keepNext/>
        <w:keepLines/>
        <w:shd w:fill="F3F3F3" w:val="clear"/>
        <w:spacing w:line="252"/>
        <w:ind w:left="200" w:right="200"/>
      </w:pPr>
      <w:r>
        <w:rPr>
          <w:rFonts w:ascii="Consolas" w:cs="Consolas" w:eastAsia="Consolas" w:hAnsi="Consolas"/>
          <w:sz w:val="18"/>
          <w:szCs w:val="18"/>
        </w:rPr>
        <w:t xml:space="preserve">Customer Count =</w:t>
      </w:r>
    </w:p>
    <w:p>
      <w:pPr>
        <w:keepNext/>
        <w:keepLines/>
        <w:shd w:fill="F3F3F3" w:val="clear"/>
        <w:spacing w:line="252"/>
        <w:ind w:left="200" w:right="200"/>
      </w:pPr>
      <w:r>
        <w:rPr>
          <w:rFonts w:ascii="Consolas" w:cs="Consolas" w:eastAsia="Consolas" w:hAnsi="Consolas"/>
          <w:sz w:val="18"/>
          <w:szCs w:val="18"/>
        </w:rPr>
        <w:t xml:space="preserve">CALCULATE(</w:t>
      </w:r>
    </w:p>
    <w:p>
      <w:pPr>
        <w:keepNext/>
        <w:keepLines/>
        <w:shd w:fill="F3F3F3" w:val="clear"/>
        <w:spacing w:line="252"/>
        <w:ind w:left="200" w:right="200"/>
      </w:pPr>
      <w:r>
        <w:rPr>
          <w:rFonts w:ascii="Consolas" w:cs="Consolas" w:eastAsia="Consolas" w:hAnsi="Consolas"/>
          <w:sz w:val="18"/>
          <w:szCs w:val="18"/>
        </w:rPr>
        <w:t xml:space="preserve">    DISTINCTCOUNT(</w:t>
      </w:r>
    </w:p>
    <w:p>
      <w:pPr>
        <w:keepNext/>
        <w:keepLines/>
        <w:shd w:fill="F3F3F3" w:val="clear"/>
        <w:spacing w:line="252"/>
        <w:ind w:left="200" w:right="200"/>
      </w:pPr>
      <w:r>
        <w:rPr>
          <w:rFonts w:ascii="Consolas" w:cs="Consolas" w:eastAsia="Consolas" w:hAnsi="Consolas"/>
          <w:sz w:val="18"/>
          <w:szCs w:val="18"/>
        </w:rPr>
        <w:t xml:space="preserve">        'padanjaly-order export cleaned'[customer_id]</w:t>
      </w:r>
    </w:p>
    <w:p>
      <w:pPr>
        <w:keepNext/>
        <w:keepLines/>
        <w:shd w:fill="F3F3F3" w:val="clear"/>
        <w:spacing w:line="252"/>
        <w:ind w:left="200" w:right="200"/>
      </w:pPr>
      <w:r>
        <w:rPr>
          <w:rFonts w:ascii="Consolas" w:cs="Consolas" w:eastAsia="Consolas" w:hAnsi="Consolas"/>
          <w:sz w:val="18"/>
          <w:szCs w:val="18"/>
        </w:rPr>
        <w:t xml:space="preserve">    ),</w:t>
      </w:r>
    </w:p>
    <w:p>
      <w:pPr>
        <w:keepNext/>
        <w:keepLines/>
        <w:shd w:fill="F3F3F3" w:val="clear"/>
        <w:spacing w:line="252"/>
        <w:ind w:left="200" w:right="200"/>
      </w:pPr>
      <w:r>
        <w:rPr>
          <w:rFonts w:ascii="Consolas" w:cs="Consolas" w:eastAsia="Consolas" w:hAnsi="Consolas"/>
          <w:sz w:val="18"/>
          <w:szCs w:val="18"/>
        </w:rPr>
        <w:t xml:space="preserve">    'padanjaly-order export cleaned'[customer_id] &lt;&gt; 0,</w:t>
      </w:r>
    </w:p>
    <w:p>
      <w:pPr>
        <w:keepNext/>
        <w:keepLines/>
        <w:shd w:fill="F3F3F3" w:val="clear"/>
        <w:spacing w:line="252"/>
        <w:ind w:left="200" w:right="200"/>
      </w:pPr>
      <w:r>
        <w:rPr>
          <w:rFonts w:ascii="Consolas" w:cs="Consolas" w:eastAsia="Consolas" w:hAnsi="Consolas"/>
          <w:sz w:val="18"/>
          <w:szCs w:val="18"/>
        </w:rPr>
        <w:t xml:space="preserve">    NOT ISBLANK(</w:t>
      </w:r>
    </w:p>
    <w:p>
      <w:pPr>
        <w:keepNext/>
        <w:keepLines/>
        <w:shd w:fill="F3F3F3" w:val="clear"/>
        <w:spacing w:line="252"/>
        <w:ind w:left="200" w:right="200"/>
      </w:pPr>
      <w:r>
        <w:rPr>
          <w:rFonts w:ascii="Consolas" w:cs="Consolas" w:eastAsia="Consolas" w:hAnsi="Consolas"/>
          <w:sz w:val="18"/>
          <w:szCs w:val="18"/>
        </w:rPr>
        <w:t xml:space="preserve">        'padanjaly-order export cleaned'[customer_id]</w:t>
      </w:r>
    </w:p>
    <w:p>
      <w:pPr>
        <w:keepNext/>
        <w:keepLines/>
        <w:shd w:fill="F3F3F3" w:val="clear"/>
        <w:spacing w:line="252"/>
        <w:ind w:left="200" w:right="200"/>
      </w:pPr>
      <w:r>
        <w:rPr>
          <w:rFonts w:ascii="Consolas" w:cs="Consolas" w:eastAsia="Consolas" w:hAnsi="Consolas"/>
          <w:sz w:val="18"/>
          <w:szCs w:val="18"/>
        </w:rPr>
        <w:t xml:space="preserve">    )</w:t>
      </w:r>
    </w:p>
    <w:p>
      <w:pPr>
        <w:keepNext/>
        <w:keepLines/>
        <w:shd w:fill="F3F3F3" w:val="clear"/>
        <w:spacing w:line="252"/>
        <w:ind w:left="200" w:right="200"/>
      </w:pPr>
      <w:r>
        <w:rPr>
          <w:rFonts w:ascii="Consolas" w:cs="Consolas" w:eastAsia="Consolas" w:hAnsi="Consolas"/>
          <w:sz w:val="18"/>
          <w:szCs w:val="18"/>
        </w:rPr>
        <w:t xml:space="preserve">)</w:t>
      </w:r>
    </w:p>
    <w:p>
      <w:pPr>
        <w:spacing w:after="120"/>
      </w:pPr>
    </w:p>
    <w:p>
      <w:pPr>
        <w:pStyle w:val="Heading1"/>
      </w:pPr>
      <w:r>
        <w:t xml:space="preserve">7. Recommendations</w:t>
      </w:r>
    </w:p>
    <w:p>
      <w:pPr>
        <w:pStyle w:val="ListParagraph"/>
        <w:numPr>
          <w:ilvl w:val="0"/>
          <w:numId w:val="2"/>
        </w:numPr>
        <w:spacing w:after="100" w:line="288"/>
      </w:pPr>
      <w:r>
        <w:rPr>
          <w:b/>
          <w:bCs/>
        </w:rPr>
        <w:t xml:space="preserve">Drive second purchases: </w:t>
      </w:r>
      <w:r>
        <w:t xml:space="preserve">run a targeted follow-up campaign with relevant product recommendations for one-time customers, and compare second-purchase conversion before and after the campaign.</w:t>
      </w:r>
    </w:p>
    <w:p>
      <w:pPr>
        <w:pStyle w:val="ListParagraph"/>
        <w:numPr>
          <w:ilvl w:val="0"/>
          <w:numId w:val="2"/>
        </w:numPr>
        <w:spacing w:after="100" w:line="288"/>
      </w:pPr>
      <w:r>
        <w:rPr>
          <w:b/>
          <w:bCs/>
        </w:rPr>
        <w:t xml:space="preserve">Reward repeat buyers: </w:t>
      </w:r>
      <w:r>
        <w:t xml:space="preserve">because repeat customers are worth about 2.4 times more per head, offer them loyalty rewards and personalised promotions.</w:t>
      </w:r>
    </w:p>
    <w:p>
      <w:pPr>
        <w:pStyle w:val="ListParagraph"/>
        <w:numPr>
          <w:ilvl w:val="0"/>
          <w:numId w:val="2"/>
        </w:numPr>
        <w:spacing w:after="100" w:line="288"/>
      </w:pPr>
      <w:r>
        <w:rPr>
          <w:b/>
          <w:bCs/>
        </w:rPr>
        <w:t xml:space="preserve">Reduce guest checkout: </w:t>
      </w:r>
      <w:r>
        <w:t xml:space="preserve">encourage guests to register, for example through account-based offers, so that half of the order base becomes trackable.</w:t>
      </w:r>
    </w:p>
    <w:p>
      <w:pPr>
        <w:pStyle w:val="ListParagraph"/>
        <w:numPr>
          <w:ilvl w:val="0"/>
          <w:numId w:val="2"/>
        </w:numPr>
        <w:spacing w:after="100" w:line="288"/>
      </w:pPr>
      <w:r>
        <w:rPr>
          <w:b/>
          <w:bCs/>
        </w:rPr>
        <w:t xml:space="preserve">Look beyond India: </w:t>
      </w:r>
      <w:r>
        <w:t xml:space="preserve">test targeted marketing in the US and UK, which already show early customer activity.</w:t>
      </w:r>
    </w:p>
    <w:p>
      <w:pPr>
        <w:pStyle w:val="ListParagraph"/>
        <w:numPr>
          <w:ilvl w:val="0"/>
          <w:numId w:val="2"/>
        </w:numPr>
        <w:spacing w:after="100" w:line="288"/>
      </w:pPr>
      <w:r>
        <w:rPr>
          <w:b/>
          <w:bCs/>
        </w:rPr>
        <w:t xml:space="preserve">Explain the May 2026 spike: </w:t>
      </w:r>
      <w:r>
        <w:t xml:space="preserve">check campaigns, promotions or one-off events around that month so that the cause can be repeated or avoided.</w:t>
      </w:r>
    </w:p>
    <w:p>
      <w:pPr>
        <w:pStyle w:val="Heading1"/>
      </w:pPr>
      <w:r>
        <w:t xml:space="preserve">8. Conclusion</w:t>
      </w:r>
    </w:p>
    <w:p>
      <w:pPr>
        <w:keepNext w:val="false"/>
        <w:spacing w:after="120" w:line="288"/>
      </w:pPr>
      <w:r>
        <w:t xml:space="preserve">The business has a growing but narrow customer base: it is concentrated in India, depends on one-time buyers, and loses visibility on about half of its orders through guest checkout. Repeat customers are few but clearly more valuable. Improving registration, encouraging second purchases and understanding the May 2026 spike will help build a more loyal and measurable customer base.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b/>
      <w:bCs/>
      <w:color w:val="0B7A2B"/>
      <w:sz w:val="32"/>
      <w:szCs w:val="32"/>
    </w:rPr>
  </w:style>
  <w:style w:type="paragraph" w:styleId="Heading2">
    <w:name w:val="heading 2"/>
    <w:basedOn w:val="Normal"/>
    <w:next w:val="Normal"/>
    <w:qFormat/>
    <w:pPr>
      <w:keepNext/>
      <w:spacing w:after="100" w:before="200"/>
      <w:outlineLvl w:val="1"/>
    </w:pPr>
    <w:rPr>
      <w:b/>
      <w:bCs/>
      <w:color w:val="333333"/>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83343dbbc8ba269c779d77e40589f441535c35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2026-10-28T16:19:19.333Z</dcterms:created>
  <dcterms:modified xsi:type="dcterms:W3CDTF">2026-10-28T16:19:19.333Z</dcterms:modified>
</cp:coreProperties>
</file>

<file path=docProps/custom.xml><?xml version="1.0" encoding="utf-8"?>
<Properties xmlns="http://schemas.openxmlformats.org/officeDocument/2006/custom-properties" xmlns:vt="http://schemas.openxmlformats.org/officeDocument/2006/docPropsVTypes"/>
</file>