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B1B4F" w14:textId="7AB77C7C" w:rsidR="00744F5F" w:rsidRPr="008A674E" w:rsidRDefault="004865BA" w:rsidP="008E77CA">
      <w:pPr>
        <w:pStyle w:val="Heading1"/>
        <w:spacing w:line="360" w:lineRule="auto"/>
        <w:jc w:val="center"/>
        <w:rPr>
          <w:sz w:val="24"/>
          <w:szCs w:val="24"/>
        </w:rPr>
      </w:pPr>
      <w:r>
        <w:rPr>
          <w:sz w:val="24"/>
          <w:szCs w:val="24"/>
        </w:rPr>
        <w:t xml:space="preserve">CAN </w:t>
      </w:r>
      <w:r w:rsidR="00905FE8">
        <w:rPr>
          <w:sz w:val="24"/>
          <w:szCs w:val="24"/>
        </w:rPr>
        <w:t xml:space="preserve">MICROFINANCE INSTITUTIONS </w:t>
      </w:r>
      <w:r>
        <w:rPr>
          <w:sz w:val="24"/>
          <w:szCs w:val="24"/>
        </w:rPr>
        <w:t xml:space="preserve">ACHIEVE BOTH </w:t>
      </w:r>
      <w:r w:rsidR="00DD0317" w:rsidRPr="008A674E">
        <w:rPr>
          <w:sz w:val="24"/>
          <w:szCs w:val="24"/>
        </w:rPr>
        <w:t>FINANCIAL S</w:t>
      </w:r>
      <w:r w:rsidR="00BD1B82" w:rsidRPr="008A674E">
        <w:rPr>
          <w:sz w:val="24"/>
          <w:szCs w:val="24"/>
        </w:rPr>
        <w:t>USTAINABILITY</w:t>
      </w:r>
      <w:r w:rsidR="00DD0317" w:rsidRPr="008A674E">
        <w:rPr>
          <w:sz w:val="24"/>
          <w:szCs w:val="24"/>
        </w:rPr>
        <w:t xml:space="preserve"> AND SOCIAL MISSION</w:t>
      </w:r>
      <w:r>
        <w:rPr>
          <w:sz w:val="24"/>
          <w:szCs w:val="24"/>
        </w:rPr>
        <w:t>? AN EVALUATION USING AFRICA’S MICROFINANCE DATA</w:t>
      </w:r>
    </w:p>
    <w:p w14:paraId="76B38A7A" w14:textId="77777777" w:rsidR="00DD0317" w:rsidRDefault="00DD0317" w:rsidP="008E77CA">
      <w:pPr>
        <w:pStyle w:val="Heading2"/>
        <w:spacing w:line="360" w:lineRule="auto"/>
      </w:pPr>
      <w:r>
        <w:t>Introduction</w:t>
      </w:r>
    </w:p>
    <w:p w14:paraId="60D44FEC" w14:textId="1D94BCC4" w:rsidR="00DD0317" w:rsidRDefault="00DD0317" w:rsidP="008E77CA">
      <w:pPr>
        <w:spacing w:line="360" w:lineRule="auto"/>
        <w:jc w:val="both"/>
        <w:rPr>
          <w:rFonts w:ascii="Garamond" w:hAnsi="Garamond"/>
          <w:sz w:val="24"/>
          <w:szCs w:val="24"/>
        </w:rPr>
      </w:pPr>
      <w:r>
        <w:rPr>
          <w:rFonts w:ascii="Garamond" w:hAnsi="Garamond"/>
          <w:sz w:val="24"/>
          <w:szCs w:val="24"/>
        </w:rPr>
        <w:t>In this</w:t>
      </w:r>
      <w:r w:rsidR="00842C2C">
        <w:rPr>
          <w:rFonts w:ascii="Garamond" w:hAnsi="Garamond"/>
          <w:sz w:val="24"/>
          <w:szCs w:val="24"/>
        </w:rPr>
        <w:t xml:space="preserve"> section</w:t>
      </w:r>
      <w:r w:rsidR="00071D79">
        <w:rPr>
          <w:rFonts w:ascii="Garamond" w:hAnsi="Garamond"/>
          <w:sz w:val="24"/>
          <w:szCs w:val="24"/>
        </w:rPr>
        <w:t>,</w:t>
      </w:r>
      <w:r w:rsidR="00842C2C">
        <w:rPr>
          <w:rFonts w:ascii="Garamond" w:hAnsi="Garamond"/>
          <w:sz w:val="24"/>
          <w:szCs w:val="24"/>
        </w:rPr>
        <w:t xml:space="preserve"> we </w:t>
      </w:r>
      <w:r>
        <w:rPr>
          <w:rFonts w:ascii="Garamond" w:hAnsi="Garamond"/>
          <w:sz w:val="24"/>
          <w:szCs w:val="24"/>
        </w:rPr>
        <w:t>examine the factors behind the simultaneous achievement (or failure to achieve) both financial and social objectives by microfinance institutions (MFIs) in Africa. MFIs are hybrid organisations that derive their legitimacy from their quest to avail financial services to the population underserved by mainstream financial intermediaries</w:t>
      </w:r>
      <w:r w:rsidR="004B71CF">
        <w:rPr>
          <w:rFonts w:ascii="Garamond" w:hAnsi="Garamond"/>
          <w:sz w:val="24"/>
          <w:szCs w:val="24"/>
        </w:rPr>
        <w:t xml:space="preserve"> </w:t>
      </w:r>
      <w:r w:rsidR="004B71CF">
        <w:rPr>
          <w:rFonts w:ascii="Garamond" w:hAnsi="Garamond"/>
          <w:sz w:val="24"/>
          <w:szCs w:val="24"/>
        </w:rPr>
        <w:fldChar w:fldCharType="begin">
          <w:fldData xml:space="preserve">PEVuZE5vdGU+PENpdGU+PEF1dGhvcj5BZGFtczwvQXV0aG9yPjxZZWFyPjIwMTY8L1llYXI+PFJl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</w:fldData>
        </w:fldChar>
      </w:r>
      <w:r w:rsidR="00DC5153">
        <w:rPr>
          <w:rFonts w:ascii="Garamond" w:hAnsi="Garamond"/>
          <w:sz w:val="24"/>
          <w:szCs w:val="24"/>
        </w:rPr>
        <w:instrText xml:space="preserve"> ADDIN EN.CITE </w:instrText>
      </w:r>
      <w:r w:rsidR="00DC5153">
        <w:rPr>
          <w:rFonts w:ascii="Garamond" w:hAnsi="Garamond"/>
          <w:sz w:val="24"/>
          <w:szCs w:val="24"/>
        </w:rPr>
        <w:fldChar w:fldCharType="begin">
          <w:fldData xml:space="preserve">PEVuZE5vdGU+PENpdGU+PEF1dGhvcj5BZGFtczwvQXV0aG9yPjxZZWFyPjIwMTY8L1llYXI+PFJl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</w:fldData>
        </w:fldChar>
      </w:r>
      <w:r w:rsidR="00DC5153">
        <w:rPr>
          <w:rFonts w:ascii="Garamond" w:hAnsi="Garamond"/>
          <w:sz w:val="24"/>
          <w:szCs w:val="24"/>
        </w:rPr>
        <w:instrText xml:space="preserve"> ADDIN EN.CITE.DATA </w:instrText>
      </w:r>
      <w:r w:rsidR="00DC5153">
        <w:rPr>
          <w:rFonts w:ascii="Garamond" w:hAnsi="Garamond"/>
          <w:sz w:val="24"/>
          <w:szCs w:val="24"/>
        </w:rPr>
      </w:r>
      <w:r w:rsidR="00DC5153">
        <w:rPr>
          <w:rFonts w:ascii="Garamond" w:hAnsi="Garamond"/>
          <w:sz w:val="24"/>
          <w:szCs w:val="24"/>
        </w:rPr>
        <w:fldChar w:fldCharType="end"/>
      </w:r>
      <w:r w:rsidR="004B71CF">
        <w:rPr>
          <w:rFonts w:ascii="Garamond" w:hAnsi="Garamond"/>
          <w:sz w:val="24"/>
          <w:szCs w:val="24"/>
        </w:rPr>
      </w:r>
      <w:r w:rsidR="004B71CF">
        <w:rPr>
          <w:rFonts w:ascii="Garamond" w:hAnsi="Garamond"/>
          <w:sz w:val="24"/>
          <w:szCs w:val="24"/>
        </w:rPr>
        <w:fldChar w:fldCharType="separate"/>
      </w:r>
      <w:r w:rsidR="00DC5153">
        <w:rPr>
          <w:rFonts w:ascii="Garamond" w:hAnsi="Garamond"/>
          <w:noProof/>
          <w:sz w:val="24"/>
          <w:szCs w:val="24"/>
        </w:rPr>
        <w:t>(Adams and Vogel, 2016, Morduch, 1999, Morduch, 2000)</w:t>
      </w:r>
      <w:r w:rsidR="004B71CF">
        <w:rPr>
          <w:rFonts w:ascii="Garamond" w:hAnsi="Garamond"/>
          <w:sz w:val="24"/>
          <w:szCs w:val="24"/>
        </w:rPr>
        <w:fldChar w:fldCharType="end"/>
      </w:r>
      <w:r>
        <w:rPr>
          <w:rFonts w:ascii="Garamond" w:hAnsi="Garamond"/>
          <w:sz w:val="24"/>
          <w:szCs w:val="24"/>
        </w:rPr>
        <w:t>. The paradigm shift towards financial sustainability means that, increasingly, the strategies adopted by MFIs must also factor in profit</w:t>
      </w:r>
      <w:r w:rsidR="00732F93">
        <w:rPr>
          <w:rFonts w:ascii="Garamond" w:hAnsi="Garamond"/>
          <w:sz w:val="24"/>
          <w:szCs w:val="24"/>
        </w:rPr>
        <w:t>-</w:t>
      </w:r>
      <w:r>
        <w:rPr>
          <w:rFonts w:ascii="Garamond" w:hAnsi="Garamond"/>
          <w:sz w:val="24"/>
          <w:szCs w:val="24"/>
        </w:rPr>
        <w:t>making</w:t>
      </w:r>
      <w:r w:rsidR="002B6F55">
        <w:rPr>
          <w:rFonts w:ascii="Garamond" w:hAnsi="Garamond"/>
          <w:sz w:val="24"/>
          <w:szCs w:val="24"/>
        </w:rPr>
        <w:t xml:space="preserve"> over and above availing </w:t>
      </w:r>
      <w:r w:rsidR="004B71CF">
        <w:rPr>
          <w:rFonts w:ascii="Garamond" w:hAnsi="Garamond"/>
          <w:sz w:val="24"/>
          <w:szCs w:val="24"/>
        </w:rPr>
        <w:t xml:space="preserve">reaching out to the financially excluded </w:t>
      </w:r>
      <w:r w:rsidR="004B71CF">
        <w:rPr>
          <w:rFonts w:ascii="Garamond" w:hAnsi="Garamond"/>
          <w:sz w:val="24"/>
          <w:szCs w:val="24"/>
        </w:rPr>
        <w:fldChar w:fldCharType="begin"/>
      </w:r>
      <w:r w:rsidR="00DC5153">
        <w:rPr>
          <w:rFonts w:ascii="Garamond" w:hAnsi="Garamond"/>
          <w:sz w:val="24"/>
          <w:szCs w:val="24"/>
        </w:rPr>
        <w:instrText xml:space="preserve"> ADDIN EN.CITE &lt;EndNote&gt;&lt;Cite&gt;&lt;Author&gt;Abeysekera&lt;/Author&gt;&lt;Year&gt;2014&lt;/Year&gt;&lt;RecNum&gt;198&lt;/RecNum&gt;&lt;DisplayText&gt;(Abeysekera et al., 2014, Awaworyi Churchill, 2018)&lt;/DisplayText&gt;&lt;record&gt;&lt;rec-number&gt;198&lt;/rec-number&gt;&lt;foreign-keys&gt;&lt;key app="EN" db-id="wds9909saar09se5x9txwfw7ax9wfe2ftrt2" timestamp="1511445079"&gt;198&lt;/key&gt;&lt;/foreign-keys&gt;&lt;ref-type name="Book Section"&gt;5&lt;/ref-type&gt;&lt;contributors&gt;&lt;authors&gt;&lt;author&gt;Abeysekera, Sarath&lt;/author&gt;&lt;author&gt;Oguzoglu, Umut&lt;/author&gt;&lt;author&gt;Le, Thanh&lt;/author&gt;&lt;/authors&gt;&lt;secondary-authors&gt;&lt;author&gt;Mersland, Roy&lt;/author&gt;&lt;author&gt;Strøm, R. Øystein&lt;/author&gt;&lt;/secondary-authors&gt;&lt;/contributors&gt;&lt;titles&gt;&lt;title&gt;Sustainability and mission drift: Do microfinance institutions in Vietnam reach the poor?&lt;/title&gt;&lt;secondary-title&gt;Microfinance institutions: Financial and social performance&lt;/secondary-title&gt;&lt;/titles&gt;&lt;pages&gt;99-118&lt;/pages&gt;&lt;dates&gt;&lt;year&gt;2014&lt;/year&gt;&lt;pub-dates&gt;&lt;date&gt;2014//&lt;/date&gt;&lt;/pub-dates&gt;&lt;/dates&gt;&lt;pub-location&gt;London&lt;/pub-location&gt;&lt;publisher&gt;Palgrave Macmillan UK&lt;/publisher&gt;&lt;isbn&gt;978-1-137-39966-3&lt;/isbn&gt;&lt;urls&gt;&lt;related-urls&gt;&lt;url&gt;https://doi.org/10.1057/9781137399663_6&lt;/url&gt;&lt;/related-urls&gt;&lt;/urls&gt;&lt;electronic-resource-num&gt;10.1057/9781137399663_6&lt;/electronic-resource-num&gt;&lt;/record&gt;&lt;/Cite&gt;&lt;Cite&gt;&lt;Author&gt;Awaworyi Churchill&lt;/Author&gt;&lt;Year&gt;2018&lt;/Year&gt;&lt;RecNum&gt;436&lt;/RecNum&gt;&lt;record&gt;&lt;rec-number&gt;436&lt;/rec-number&gt;&lt;foreign-keys&gt;&lt;key app="EN" db-id="wds9909saar09se5x9txwfw7ax9wfe2ftrt2" timestamp="1541786066"&gt;436&lt;/key&gt;&lt;/foreign-keys&gt;&lt;ref-type name="Journal Article"&gt;17&lt;/ref-type&gt;&lt;contributors&gt;&lt;authors&gt;&lt;author&gt;Awaworyi Churchill, Sefa&lt;/author&gt;&lt;/authors&gt;&lt;/contributors&gt;&lt;titles&gt;&lt;title&gt;Sustainability and depth of outreach: Evidence from microfinance institutions in sub</w:instrText>
      </w:r>
      <w:r w:rsidR="00DC5153">
        <w:rPr>
          <w:rFonts w:ascii="Times New Roman" w:hAnsi="Times New Roman" w:cs="Times New Roman"/>
          <w:sz w:val="24"/>
          <w:szCs w:val="24"/>
        </w:rPr>
        <w:instrText>‐</w:instrText>
      </w:r>
      <w:r w:rsidR="00DC5153">
        <w:rPr>
          <w:rFonts w:ascii="Garamond" w:hAnsi="Garamond"/>
          <w:sz w:val="24"/>
          <w:szCs w:val="24"/>
        </w:rPr>
        <w:instrText>Saharan Africa&lt;/title&gt;&lt;secondary-title&gt;Development Policy Review&lt;/secondary-title&gt;&lt;/titles&gt;&lt;pages&gt;O676-O695&lt;/pages&gt;&lt;volume&gt;36&lt;/volume&gt;&lt;dates&gt;&lt;year&gt;2018&lt;/year&gt;&lt;/dates&gt;&lt;isbn&gt;0950-6764&lt;/isbn&gt;&lt;urls&gt;&lt;/urls&gt;&lt;/record&gt;&lt;/Cite&gt;&lt;/EndNote&gt;</w:instrText>
      </w:r>
      <w:r w:rsidR="004B71CF">
        <w:rPr>
          <w:rFonts w:ascii="Garamond" w:hAnsi="Garamond"/>
          <w:sz w:val="24"/>
          <w:szCs w:val="24"/>
        </w:rPr>
        <w:fldChar w:fldCharType="separate"/>
      </w:r>
      <w:r w:rsidR="00DC5153">
        <w:rPr>
          <w:rFonts w:ascii="Garamond" w:hAnsi="Garamond"/>
          <w:noProof/>
          <w:sz w:val="24"/>
          <w:szCs w:val="24"/>
        </w:rPr>
        <w:t>(Abeysekera et al., 2014, Awaworyi Churchill, 2018)</w:t>
      </w:r>
      <w:r w:rsidR="004B71CF">
        <w:rPr>
          <w:rFonts w:ascii="Garamond" w:hAnsi="Garamond"/>
          <w:sz w:val="24"/>
          <w:szCs w:val="24"/>
        </w:rPr>
        <w:fldChar w:fldCharType="end"/>
      </w:r>
      <w:r w:rsidR="002B6F55">
        <w:rPr>
          <w:rFonts w:ascii="Garamond" w:hAnsi="Garamond"/>
          <w:sz w:val="24"/>
          <w:szCs w:val="24"/>
        </w:rPr>
        <w:t>.</w:t>
      </w:r>
    </w:p>
    <w:p w14:paraId="4C0AF643" w14:textId="15C60440" w:rsidR="00842C2C" w:rsidRDefault="00732F93" w:rsidP="008E77CA">
      <w:pPr>
        <w:spacing w:line="360" w:lineRule="auto"/>
        <w:jc w:val="both"/>
        <w:rPr>
          <w:rFonts w:ascii="Garamond" w:hAnsi="Garamond"/>
          <w:sz w:val="24"/>
          <w:szCs w:val="24"/>
        </w:rPr>
      </w:pPr>
      <w:r>
        <w:rPr>
          <w:rFonts w:ascii="Garamond" w:hAnsi="Garamond"/>
          <w:sz w:val="24"/>
          <w:szCs w:val="24"/>
        </w:rPr>
        <w:t xml:space="preserve">Available literature regarding the ability of MFIs to balance between financial viability and social mission is not conclusive. While some </w:t>
      </w:r>
      <w:r w:rsidR="004B71CF">
        <w:rPr>
          <w:rFonts w:ascii="Garamond" w:hAnsi="Garamond"/>
          <w:sz w:val="24"/>
          <w:szCs w:val="24"/>
        </w:rPr>
        <w:t xml:space="preserve">researchers from </w:t>
      </w:r>
      <w:r>
        <w:rPr>
          <w:rFonts w:ascii="Garamond" w:hAnsi="Garamond"/>
          <w:sz w:val="24"/>
          <w:szCs w:val="24"/>
        </w:rPr>
        <w:t>the welfare school ho</w:t>
      </w:r>
      <w:r w:rsidR="0030399B">
        <w:rPr>
          <w:rFonts w:ascii="Garamond" w:hAnsi="Garamond"/>
          <w:sz w:val="24"/>
          <w:szCs w:val="24"/>
        </w:rPr>
        <w:t>l</w:t>
      </w:r>
      <w:r>
        <w:rPr>
          <w:rFonts w:ascii="Garamond" w:hAnsi="Garamond"/>
          <w:sz w:val="24"/>
          <w:szCs w:val="24"/>
        </w:rPr>
        <w:t>d that financial sustainability is incompatible wi</w:t>
      </w:r>
      <w:r w:rsidR="0003264B">
        <w:rPr>
          <w:rFonts w:ascii="Garamond" w:hAnsi="Garamond"/>
          <w:sz w:val="24"/>
          <w:szCs w:val="24"/>
        </w:rPr>
        <w:t xml:space="preserve">th the social mission of MFIs </w:t>
      </w:r>
      <w:r w:rsidR="0003264B">
        <w:rPr>
          <w:rFonts w:ascii="Garamond" w:hAnsi="Garamond"/>
          <w:sz w:val="24"/>
          <w:szCs w:val="24"/>
        </w:rPr>
        <w:fldChar w:fldCharType="begin">
          <w:fldData xml:space="preserve">PEVuZE5vdGU+PENpdGU+PEF1dGhvcj5MZWRnZXJ3b29kPC9BdXRob3I+PFllYXI+MjAwNjwvWWVh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</w:fldData>
        </w:fldChar>
      </w:r>
      <w:r w:rsidR="00DC5153">
        <w:rPr>
          <w:rFonts w:ascii="Garamond" w:hAnsi="Garamond"/>
          <w:sz w:val="24"/>
          <w:szCs w:val="24"/>
        </w:rPr>
        <w:instrText xml:space="preserve"> ADDIN EN.CITE </w:instrText>
      </w:r>
      <w:r w:rsidR="00DC5153">
        <w:rPr>
          <w:rFonts w:ascii="Garamond" w:hAnsi="Garamond"/>
          <w:sz w:val="24"/>
          <w:szCs w:val="24"/>
        </w:rPr>
        <w:fldChar w:fldCharType="begin">
          <w:fldData xml:space="preserve">PEVuZE5vdGU+PENpdGU+PEF1dGhvcj5MZWRnZXJ3b29kPC9BdXRob3I+PFllYXI+MjAwNjwvWWVh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</w:fldData>
        </w:fldChar>
      </w:r>
      <w:r w:rsidR="00DC5153">
        <w:rPr>
          <w:rFonts w:ascii="Garamond" w:hAnsi="Garamond"/>
          <w:sz w:val="24"/>
          <w:szCs w:val="24"/>
        </w:rPr>
        <w:instrText xml:space="preserve"> ADDIN EN.CITE.DATA </w:instrText>
      </w:r>
      <w:r w:rsidR="00DC5153">
        <w:rPr>
          <w:rFonts w:ascii="Garamond" w:hAnsi="Garamond"/>
          <w:sz w:val="24"/>
          <w:szCs w:val="24"/>
        </w:rPr>
      </w:r>
      <w:r w:rsidR="00DC5153">
        <w:rPr>
          <w:rFonts w:ascii="Garamond" w:hAnsi="Garamond"/>
          <w:sz w:val="24"/>
          <w:szCs w:val="24"/>
        </w:rPr>
        <w:fldChar w:fldCharType="end"/>
      </w:r>
      <w:r w:rsidR="0003264B">
        <w:rPr>
          <w:rFonts w:ascii="Garamond" w:hAnsi="Garamond"/>
          <w:sz w:val="24"/>
          <w:szCs w:val="24"/>
        </w:rPr>
      </w:r>
      <w:r w:rsidR="0003264B">
        <w:rPr>
          <w:rFonts w:ascii="Garamond" w:hAnsi="Garamond"/>
          <w:sz w:val="24"/>
          <w:szCs w:val="24"/>
        </w:rPr>
        <w:fldChar w:fldCharType="separate"/>
      </w:r>
      <w:r w:rsidR="00DC5153">
        <w:rPr>
          <w:rFonts w:ascii="Garamond" w:hAnsi="Garamond"/>
          <w:noProof/>
          <w:sz w:val="24"/>
          <w:szCs w:val="24"/>
        </w:rPr>
        <w:t>(Ledgerwood and White, 2006, Rhyne and Christen, 1999, Louis and Baesens, 2013)</w:t>
      </w:r>
      <w:r w:rsidR="0003264B">
        <w:rPr>
          <w:rFonts w:ascii="Garamond" w:hAnsi="Garamond"/>
          <w:sz w:val="24"/>
          <w:szCs w:val="24"/>
        </w:rPr>
        <w:fldChar w:fldCharType="end"/>
      </w:r>
      <w:r>
        <w:rPr>
          <w:rFonts w:ascii="Garamond" w:hAnsi="Garamond"/>
          <w:sz w:val="24"/>
          <w:szCs w:val="24"/>
        </w:rPr>
        <w:t>, scholars from the financial systems school think otherwise</w:t>
      </w:r>
      <w:r w:rsidR="004A3457">
        <w:rPr>
          <w:rFonts w:ascii="Garamond" w:hAnsi="Garamond"/>
          <w:sz w:val="24"/>
          <w:szCs w:val="24"/>
        </w:rPr>
        <w:t xml:space="preserve"> </w:t>
      </w:r>
      <w:r w:rsidR="004A3457">
        <w:rPr>
          <w:rFonts w:ascii="Garamond" w:hAnsi="Garamond"/>
          <w:sz w:val="24"/>
          <w:szCs w:val="24"/>
        </w:rPr>
        <w:fldChar w:fldCharType="begin"/>
      </w:r>
      <w:r w:rsidR="00DC5153">
        <w:rPr>
          <w:rFonts w:ascii="Garamond" w:hAnsi="Garamond"/>
          <w:sz w:val="24"/>
          <w:szCs w:val="24"/>
        </w:rPr>
        <w:instrText xml:space="preserve"> ADDIN EN.CITE &lt;EndNote&gt;&lt;Cite&gt;&lt;Author&gt;Hartarska&lt;/Author&gt;&lt;Year&gt;2012&lt;/Year&gt;&lt;RecNum&gt;503&lt;/RecNum&gt;&lt;DisplayText&gt;(Hartarska and Mersland, 2012, Bos and Millone, 2015)&lt;/DisplayText&gt;&lt;record&gt;&lt;rec-number&gt;503&lt;/rec-number&gt;&lt;foreign-keys&gt;&lt;key app="EN" db-id="wds9909saar09se5x9txwfw7ax9wfe2ftrt2" timestamp="1571653858"&gt;503&lt;/key&gt;&lt;/foreign-keys&gt;&lt;ref-type name="Journal Article"&gt;17&lt;/ref-type&gt;&lt;contributors&gt;&lt;authors&gt;&lt;author&gt;Hartarska, Valentina&lt;/author&gt;&lt;author&gt;Mersland, Roy&lt;/author&gt;&lt;/authors&gt;&lt;/contributors&gt;&lt;titles&gt;&lt;title&gt;Which governance mechanisms promote efficiency in reaching poor clients? Evidence from rated microfinance institutions&lt;/title&gt;&lt;secondary-title&gt;European Financial Management&lt;/secondary-title&gt;&lt;/titles&gt;&lt;periodical&gt;&lt;full-title&gt;European Financial Management&lt;/full-title&gt;&lt;abbr-1&gt;Europ. Finan. Manage.&lt;/abbr-1&gt;&lt;abbr-2&gt;Europ Finan Manage&lt;/abbr-2&gt;&lt;/periodical&gt;&lt;pages&gt;218-239&lt;/pages&gt;&lt;volume&gt;18&lt;/volume&gt;&lt;number&gt;2&lt;/number&gt;&lt;dates&gt;&lt;year&gt;2012&lt;/year&gt;&lt;/dates&gt;&lt;isbn&gt;1354-7798&lt;/isbn&gt;&lt;urls&gt;&lt;/urls&gt;&lt;/record&gt;&lt;/Cite&gt;&lt;Cite&gt;&lt;Author&gt;Bos&lt;/Author&gt;&lt;Year&gt;2015&lt;/Year&gt;&lt;RecNum&gt;504&lt;/RecNum&gt;&lt;record&gt;&lt;rec-number&gt;504&lt;/rec-number&gt;&lt;foreign-keys&gt;&lt;key app="EN" db-id="wds9909saar09se5x9txwfw7ax9wfe2ftrt2" timestamp="1571653962"&gt;504&lt;/key&gt;&lt;/foreign-keys&gt;&lt;ref-type name="Journal Article"&gt;17&lt;/ref-type&gt;&lt;contributors&gt;&lt;authors&gt;&lt;author&gt;Bos, Jaap WB&lt;/author&gt;&lt;author&gt;Millone, Matteo&lt;/author&gt;&lt;/authors&gt;&lt;/contributors&gt;&lt;titles&gt;&lt;title&gt;Practice what you preach: Microfinance business models and operational efficiency&lt;/title&gt;&lt;secondary-title&gt;World Development&lt;/secondary-title&gt;&lt;/titles&gt;&lt;periodical&gt;&lt;full-title&gt;World Development&lt;/full-title&gt;&lt;abbr-1&gt;World Devel.&lt;/abbr-1&gt;&lt;abbr-2&gt;World Devel&lt;/abbr-2&gt;&lt;/periodical&gt;&lt;pages&gt;28-42&lt;/pages&gt;&lt;volume&gt;70&lt;/volume&gt;&lt;dates&gt;&lt;year&gt;2015&lt;/year&gt;&lt;/dates&gt;&lt;isbn&gt;0305-750X&lt;/isbn&gt;&lt;urls&gt;&lt;/urls&gt;&lt;/record&gt;&lt;/Cite&gt;&lt;/EndNote&gt;</w:instrText>
      </w:r>
      <w:r w:rsidR="004A3457">
        <w:rPr>
          <w:rFonts w:ascii="Garamond" w:hAnsi="Garamond"/>
          <w:sz w:val="24"/>
          <w:szCs w:val="24"/>
        </w:rPr>
        <w:fldChar w:fldCharType="separate"/>
      </w:r>
      <w:r w:rsidR="00DC5153">
        <w:rPr>
          <w:rFonts w:ascii="Garamond" w:hAnsi="Garamond"/>
          <w:noProof/>
          <w:sz w:val="24"/>
          <w:szCs w:val="24"/>
        </w:rPr>
        <w:t>(Hartarska and Mersland, 2012, Bos and Millone, 2015)</w:t>
      </w:r>
      <w:r w:rsidR="004A3457">
        <w:rPr>
          <w:rFonts w:ascii="Garamond" w:hAnsi="Garamond"/>
          <w:sz w:val="24"/>
          <w:szCs w:val="24"/>
        </w:rPr>
        <w:fldChar w:fldCharType="end"/>
      </w:r>
      <w:r w:rsidR="004A3457">
        <w:rPr>
          <w:rFonts w:ascii="Garamond" w:hAnsi="Garamond"/>
          <w:sz w:val="24"/>
          <w:szCs w:val="24"/>
        </w:rPr>
        <w:t xml:space="preserve"> </w:t>
      </w:r>
      <w:r>
        <w:rPr>
          <w:rFonts w:ascii="Garamond" w:hAnsi="Garamond"/>
          <w:sz w:val="24"/>
          <w:szCs w:val="24"/>
        </w:rPr>
        <w:t xml:space="preserve">- with </w:t>
      </w:r>
      <w:r w:rsidR="00164E7D">
        <w:rPr>
          <w:rFonts w:ascii="Garamond" w:hAnsi="Garamond"/>
          <w:sz w:val="24"/>
          <w:szCs w:val="24"/>
        </w:rPr>
        <w:t xml:space="preserve">scholars and practitioners from </w:t>
      </w:r>
      <w:r>
        <w:rPr>
          <w:rFonts w:ascii="Garamond" w:hAnsi="Garamond"/>
          <w:sz w:val="24"/>
          <w:szCs w:val="24"/>
        </w:rPr>
        <w:t xml:space="preserve">each </w:t>
      </w:r>
      <w:r w:rsidR="00164E7D">
        <w:rPr>
          <w:rFonts w:ascii="Garamond" w:hAnsi="Garamond"/>
          <w:sz w:val="24"/>
          <w:szCs w:val="24"/>
        </w:rPr>
        <w:t xml:space="preserve">school </w:t>
      </w:r>
      <w:r w:rsidR="004B71CF">
        <w:rPr>
          <w:rFonts w:ascii="Garamond" w:hAnsi="Garamond"/>
          <w:sz w:val="24"/>
          <w:szCs w:val="24"/>
        </w:rPr>
        <w:t xml:space="preserve">of thought </w:t>
      </w:r>
      <w:r>
        <w:rPr>
          <w:rFonts w:ascii="Garamond" w:hAnsi="Garamond"/>
          <w:sz w:val="24"/>
          <w:szCs w:val="24"/>
        </w:rPr>
        <w:t>laying o</w:t>
      </w:r>
      <w:r w:rsidR="0003264B">
        <w:rPr>
          <w:rFonts w:ascii="Garamond" w:hAnsi="Garamond"/>
          <w:sz w:val="24"/>
          <w:szCs w:val="24"/>
        </w:rPr>
        <w:t xml:space="preserve">ut empirical evidence in support </w:t>
      </w:r>
      <w:r w:rsidR="004B71CF">
        <w:rPr>
          <w:rFonts w:ascii="Garamond" w:hAnsi="Garamond"/>
          <w:sz w:val="24"/>
          <w:szCs w:val="24"/>
        </w:rPr>
        <w:fldChar w:fldCharType="begin"/>
      </w:r>
      <w:r w:rsidR="00DC5153">
        <w:rPr>
          <w:rFonts w:ascii="Garamond" w:hAnsi="Garamond"/>
          <w:sz w:val="24"/>
          <w:szCs w:val="24"/>
        </w:rPr>
        <w:instrText xml:space="preserve"> ADDIN EN.CITE &lt;EndNote&gt;&lt;Cite&gt;&lt;Author&gt;D’Espallier&lt;/Author&gt;&lt;Year&gt;2017&lt;/Year&gt;&lt;RecNum&gt;104&lt;/RecNum&gt;&lt;DisplayText&gt;(D’Espallier et al., 2017, Ledgerwood and White, 2006)&lt;/DisplayText&gt;&lt;record&gt;&lt;rec-number&gt;104&lt;/rec-number&gt;&lt;foreign-keys&gt;&lt;key app="EN" db-id="wds9909saar09se5x9txwfw7ax9wfe2ftrt2" timestamp="1505984710"&gt;104&lt;/key&gt;&lt;/foreign-keys&gt;&lt;ref-type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Cite&gt;&lt;Author&gt;Ledgerwood&lt;/Author&gt;&lt;Year&gt;2006&lt;/Year&gt;&lt;RecNum&gt;119&lt;/RecNum&gt;&lt;record&gt;&lt;rec-number&gt;119&lt;/rec-number&gt;&lt;foreign-keys&gt;&lt;key app="EN" db-id="wds9909saar09se5x9txwfw7ax9wfe2ftrt2" timestamp="1506515826"&gt;119&lt;/key&gt;&lt;/foreign-keys&gt;&lt;ref-type name="Book"&gt;6&lt;/ref-type&gt;&lt;contributors&gt;&lt;authors&gt;&lt;author&gt;Ledgerwood, Joanna&lt;/author&gt;&lt;author&gt;White, Victoria&lt;/author&gt;&lt;/authors&gt;&lt;/contributors&gt;&lt;titles&gt;&lt;title&gt;Transforming microfinance institutions: providing full financial services to the poor&lt;/title&gt;&lt;/titles&gt;&lt;dates&gt;&lt;year&gt;2006&lt;/year&gt;&lt;/dates&gt;&lt;pub-location&gt;New York&lt;/pub-location&gt;&lt;publisher&gt;World Bank Publications&lt;/publisher&gt;&lt;isbn&gt;0821366165&lt;/isbn&gt;&lt;urls&gt;&lt;/urls&gt;&lt;/record&gt;&lt;/Cite&gt;&lt;/EndNote&gt;</w:instrText>
      </w:r>
      <w:r w:rsidR="004B71CF">
        <w:rPr>
          <w:rFonts w:ascii="Garamond" w:hAnsi="Garamond"/>
          <w:sz w:val="24"/>
          <w:szCs w:val="24"/>
        </w:rPr>
        <w:fldChar w:fldCharType="separate"/>
      </w:r>
      <w:r w:rsidR="00DC5153">
        <w:rPr>
          <w:rFonts w:ascii="Garamond" w:hAnsi="Garamond"/>
          <w:noProof/>
          <w:sz w:val="24"/>
          <w:szCs w:val="24"/>
        </w:rPr>
        <w:t>(D’Espallier et al., 2017, Ledgerwood and White, 2006)</w:t>
      </w:r>
      <w:r w:rsidR="004B71CF">
        <w:rPr>
          <w:rFonts w:ascii="Garamond" w:hAnsi="Garamond"/>
          <w:sz w:val="24"/>
          <w:szCs w:val="24"/>
        </w:rPr>
        <w:fldChar w:fldCharType="end"/>
      </w:r>
      <w:r>
        <w:rPr>
          <w:rFonts w:ascii="Garamond" w:hAnsi="Garamond"/>
          <w:sz w:val="24"/>
          <w:szCs w:val="24"/>
        </w:rPr>
        <w:t>.</w:t>
      </w:r>
      <w:r w:rsidR="007A74AE">
        <w:rPr>
          <w:rFonts w:ascii="Garamond" w:hAnsi="Garamond"/>
          <w:sz w:val="24"/>
          <w:szCs w:val="24"/>
        </w:rPr>
        <w:t xml:space="preserve"> The third, win-win school deems it possible the pursuit of profits and social mission</w:t>
      </w:r>
      <w:r w:rsidR="004B71CF">
        <w:rPr>
          <w:rFonts w:ascii="Garamond" w:hAnsi="Garamond"/>
          <w:sz w:val="24"/>
          <w:szCs w:val="24"/>
        </w:rPr>
        <w:t xml:space="preserve"> </w:t>
      </w:r>
      <w:r w:rsidR="004B71CF">
        <w:rPr>
          <w:rFonts w:ascii="Garamond" w:hAnsi="Garamond"/>
          <w:sz w:val="24"/>
          <w:szCs w:val="24"/>
        </w:rPr>
        <w:fldChar w:fldCharType="begin"/>
      </w:r>
      <w:r w:rsidR="00DC5153">
        <w:rPr>
          <w:rFonts w:ascii="Garamond" w:hAnsi="Garamond"/>
          <w:sz w:val="24"/>
          <w:szCs w:val="24"/>
        </w:rPr>
        <w:instrText xml:space="preserve"> ADDIN EN.CITE &lt;EndNote&gt;&lt;Cite&gt;&lt;Author&gt;Kodongo&lt;/Author&gt;&lt;Year&gt;2013&lt;/Year&gt;&lt;RecNum&gt;155&lt;/RecNum&gt;&lt;DisplayText&gt;(Kodongo and Kendi, 2013)&lt;/DisplayText&gt;&lt;record&gt;&lt;rec-number&gt;155&lt;/rec-number&gt;&lt;foreign-keys&gt;&lt;key app="EN" db-id="wds9909saar09se5x9txwfw7ax9wfe2ftrt2" timestamp="1507733365"&gt;155&lt;/key&gt;&lt;/foreign-keys&gt;&lt;ref-type name="Journal Article"&gt;17&lt;/ref-type&gt;&lt;contributors&gt;&lt;authors&gt;&lt;author&gt;Kodongo, Odongo&lt;/author&gt;&lt;author&gt;Kendi, Lilian G&lt;/author&gt;&lt;/authors&gt;&lt;/contributors&gt;&lt;titles&gt;&lt;title&gt;Individual lending versus group lending: An evaluation with Kenya&amp;apos;s microfinance data&lt;/title&gt;&lt;secondary-title&gt;Review of Development Finance&lt;/secondary-title&gt;&lt;/titles&gt;&lt;pages&gt;99-108&lt;/pages&gt;&lt;volume&gt;3&lt;/volume&gt;&lt;number&gt;2&lt;/number&gt;&lt;dates&gt;&lt;year&gt;2013&lt;/year&gt;&lt;/dates&gt;&lt;isbn&gt;1879-9337&lt;/isbn&gt;&lt;urls&gt;&lt;/urls&gt;&lt;/record&gt;&lt;/Cite&gt;&lt;/EndNote&gt;</w:instrText>
      </w:r>
      <w:r w:rsidR="004B71CF">
        <w:rPr>
          <w:rFonts w:ascii="Garamond" w:hAnsi="Garamond"/>
          <w:sz w:val="24"/>
          <w:szCs w:val="24"/>
        </w:rPr>
        <w:fldChar w:fldCharType="separate"/>
      </w:r>
      <w:r w:rsidR="00DC5153">
        <w:rPr>
          <w:rFonts w:ascii="Garamond" w:hAnsi="Garamond"/>
          <w:noProof/>
          <w:sz w:val="24"/>
          <w:szCs w:val="24"/>
        </w:rPr>
        <w:t>(Kodongo and Kendi, 2013)</w:t>
      </w:r>
      <w:r w:rsidR="004B71CF">
        <w:rPr>
          <w:rFonts w:ascii="Garamond" w:hAnsi="Garamond"/>
          <w:sz w:val="24"/>
          <w:szCs w:val="24"/>
        </w:rPr>
        <w:fldChar w:fldCharType="end"/>
      </w:r>
      <w:r w:rsidR="007A74AE">
        <w:rPr>
          <w:rFonts w:ascii="Garamond" w:hAnsi="Garamond"/>
          <w:sz w:val="24"/>
          <w:szCs w:val="24"/>
        </w:rPr>
        <w:t xml:space="preserve">. However, </w:t>
      </w:r>
      <w:r>
        <w:rPr>
          <w:rFonts w:ascii="Garamond" w:hAnsi="Garamond"/>
          <w:sz w:val="24"/>
          <w:szCs w:val="24"/>
        </w:rPr>
        <w:t xml:space="preserve"> </w:t>
      </w:r>
      <w:r w:rsidR="004B71CF">
        <w:rPr>
          <w:rFonts w:ascii="Garamond" w:hAnsi="Garamond"/>
          <w:sz w:val="24"/>
          <w:szCs w:val="24"/>
        </w:rPr>
        <w:fldChar w:fldCharType="begin"/>
      </w:r>
      <w:r w:rsidR="004B71CF">
        <w:rPr>
          <w:rFonts w:ascii="Garamond" w:hAnsi="Garamond"/>
          <w:sz w:val="24"/>
          <w:szCs w:val="24"/>
        </w:rPr>
        <w:instrText xml:space="preserve"> ADDIN EN.CITE &lt;EndNote&gt;&lt;Cite AuthorYear="1"&gt;&lt;Author&gt;Morduch&lt;/Author&gt;&lt;Year&gt;2018&lt;/Year&gt;&lt;RecNum&gt;443&lt;/RecNum&gt;&lt;DisplayText&gt;Morduch and Ogden (2018)&lt;/DisplayText&gt;&lt;record&gt;&lt;rec-number&gt;443&lt;/rec-number&gt;&lt;foreign-keys&gt;&lt;key app="EN" db-id="wds9909saar09se5x9txwfw7ax9wfe2ftrt2" timestamp="1542130462"&gt;443&lt;/key&gt;&lt;/foreign-keys&gt;&lt;ref-type name="Book Section"&gt;5&lt;/ref-type&gt;&lt;contributors&gt;&lt;authors&gt;&lt;author&gt;Morduch, Jonathan&lt;/author&gt;&lt;author&gt;Ogden, Timothy&lt;/author&gt;&lt;/authors&gt;&lt;secondary-authors&gt;&lt;author&gt;M. Hudon&lt;/author&gt;&lt;author&gt;M. Labie &lt;/author&gt;&lt;author&gt;A. Szafarz&lt;/author&gt;&lt;/secondary-authors&gt;&lt;/contributors&gt;&lt;titles&gt;&lt;title&gt;Social Investment Through the Lens of Microfinance&lt;/title&gt;&lt;secondary-title&gt;Research Agenda in Financial Inclusion and Microfinance&lt;/secondary-title&gt;&lt;/titles&gt;&lt;dates&gt;&lt;year&gt;2018&lt;/year&gt;&lt;/dates&gt;&lt;pub-location&gt;New York&lt;/pub-location&gt;&lt;publisher&gt;Routledge&lt;/publisher&gt;&lt;urls&gt;&lt;/urls&gt;&lt;/record&gt;&lt;/Cite&gt;&lt;/EndNote&gt;</w:instrText>
      </w:r>
      <w:r w:rsidR="004B71CF">
        <w:rPr>
          <w:rFonts w:ascii="Garamond" w:hAnsi="Garamond"/>
          <w:sz w:val="24"/>
          <w:szCs w:val="24"/>
        </w:rPr>
        <w:fldChar w:fldCharType="separate"/>
      </w:r>
      <w:r w:rsidR="004B71CF">
        <w:rPr>
          <w:rFonts w:ascii="Garamond" w:hAnsi="Garamond"/>
          <w:noProof/>
          <w:sz w:val="24"/>
          <w:szCs w:val="24"/>
        </w:rPr>
        <w:t>Morduch and Ogden (2018)</w:t>
      </w:r>
      <w:r w:rsidR="004B71CF">
        <w:rPr>
          <w:rFonts w:ascii="Garamond" w:hAnsi="Garamond"/>
          <w:sz w:val="24"/>
          <w:szCs w:val="24"/>
        </w:rPr>
        <w:fldChar w:fldCharType="end"/>
      </w:r>
      <w:r w:rsidR="004B71CF">
        <w:rPr>
          <w:rFonts w:ascii="Garamond" w:hAnsi="Garamond"/>
          <w:sz w:val="24"/>
          <w:szCs w:val="24"/>
        </w:rPr>
        <w:t xml:space="preserve"> </w:t>
      </w:r>
      <w:r w:rsidR="007F4B7B">
        <w:rPr>
          <w:rFonts w:ascii="Garamond" w:hAnsi="Garamond"/>
          <w:sz w:val="24"/>
          <w:szCs w:val="24"/>
        </w:rPr>
        <w:t>argue that if there w</w:t>
      </w:r>
      <w:r w:rsidR="00E36985">
        <w:rPr>
          <w:rFonts w:ascii="Garamond" w:hAnsi="Garamond"/>
          <w:sz w:val="24"/>
          <w:szCs w:val="24"/>
        </w:rPr>
        <w:t>ere</w:t>
      </w:r>
      <w:r w:rsidR="007F4B7B">
        <w:rPr>
          <w:rFonts w:ascii="Garamond" w:hAnsi="Garamond"/>
          <w:sz w:val="24"/>
          <w:szCs w:val="24"/>
        </w:rPr>
        <w:t xml:space="preserve"> no mission drift between financial sustainability and social mission</w:t>
      </w:r>
      <w:r w:rsidR="0030399B">
        <w:rPr>
          <w:rFonts w:ascii="Garamond" w:hAnsi="Garamond"/>
          <w:sz w:val="24"/>
          <w:szCs w:val="24"/>
        </w:rPr>
        <w:t xml:space="preserve"> in MFIs</w:t>
      </w:r>
      <w:r w:rsidR="007F4B7B">
        <w:rPr>
          <w:rFonts w:ascii="Garamond" w:hAnsi="Garamond"/>
          <w:sz w:val="24"/>
          <w:szCs w:val="24"/>
        </w:rPr>
        <w:t xml:space="preserve">, then NGOs would not exist, a view that </w:t>
      </w:r>
      <w:r w:rsidR="007A74AE">
        <w:rPr>
          <w:rFonts w:ascii="Garamond" w:hAnsi="Garamond"/>
          <w:sz w:val="24"/>
          <w:szCs w:val="24"/>
        </w:rPr>
        <w:t>supports</w:t>
      </w:r>
      <w:r w:rsidR="007F4B7B">
        <w:rPr>
          <w:rFonts w:ascii="Garamond" w:hAnsi="Garamond"/>
          <w:sz w:val="24"/>
          <w:szCs w:val="24"/>
        </w:rPr>
        <w:t xml:space="preserve"> the welfare school.</w:t>
      </w:r>
      <w:r w:rsidR="00F432B1">
        <w:rPr>
          <w:rFonts w:ascii="Garamond" w:hAnsi="Garamond"/>
          <w:sz w:val="24"/>
          <w:szCs w:val="24"/>
        </w:rPr>
        <w:t xml:space="preserve"> </w:t>
      </w:r>
    </w:p>
    <w:p w14:paraId="5B9646E6" w14:textId="78E235C3" w:rsidR="00316203" w:rsidRDefault="00316203" w:rsidP="008E77CA">
      <w:pPr>
        <w:spacing w:line="360" w:lineRule="auto"/>
        <w:jc w:val="both"/>
        <w:rPr>
          <w:rFonts w:ascii="Garamond" w:hAnsi="Garamond"/>
          <w:sz w:val="24"/>
          <w:szCs w:val="24"/>
        </w:rPr>
      </w:pPr>
      <w:r>
        <w:rPr>
          <w:rFonts w:ascii="Garamond" w:hAnsi="Garamond"/>
          <w:sz w:val="24"/>
          <w:szCs w:val="24"/>
        </w:rPr>
        <w:t xml:space="preserve">The downside of the financial systems approach is the possibility of mission drift, where the MFI emphasises financial sustainability at the expense of </w:t>
      </w:r>
      <w:r w:rsidR="00477082">
        <w:rPr>
          <w:rFonts w:ascii="Garamond" w:hAnsi="Garamond"/>
          <w:sz w:val="24"/>
          <w:szCs w:val="24"/>
        </w:rPr>
        <w:t xml:space="preserve">the </w:t>
      </w:r>
      <w:r>
        <w:rPr>
          <w:rFonts w:ascii="Garamond" w:hAnsi="Garamond"/>
          <w:sz w:val="24"/>
          <w:szCs w:val="24"/>
        </w:rPr>
        <w:t>social mission of outreach to the poor and the financially excluded</w:t>
      </w:r>
      <w:r w:rsidR="006D5A87">
        <w:rPr>
          <w:rFonts w:ascii="Garamond" w:hAnsi="Garamond"/>
          <w:sz w:val="24"/>
          <w:szCs w:val="24"/>
        </w:rPr>
        <w:t xml:space="preserve"> </w:t>
      </w:r>
      <w:r w:rsidR="006D5A87">
        <w:rPr>
          <w:rFonts w:ascii="Garamond" w:hAnsi="Garamond"/>
          <w:sz w:val="24"/>
          <w:szCs w:val="24"/>
        </w:rPr>
        <w:fldChar w:fldCharType="begin">
          <w:fldData xml:space="preserve">PEVuZE5vdGU+PENpdGU+PEF1dGhvcj5CZWlzbGFuZDwvQXV0aG9yPjxZZWFyPjIwMTc8L1llYXI+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</w:fldData>
        </w:fldChar>
      </w:r>
      <w:r w:rsidR="00DC5153">
        <w:rPr>
          <w:rFonts w:ascii="Garamond" w:hAnsi="Garamond"/>
          <w:sz w:val="24"/>
          <w:szCs w:val="24"/>
        </w:rPr>
        <w:instrText xml:space="preserve"> ADDIN EN.CITE </w:instrText>
      </w:r>
      <w:r w:rsidR="00DC5153">
        <w:rPr>
          <w:rFonts w:ascii="Garamond" w:hAnsi="Garamond"/>
          <w:sz w:val="24"/>
          <w:szCs w:val="24"/>
        </w:rPr>
        <w:fldChar w:fldCharType="begin">
          <w:fldData xml:space="preserve">PEVuZE5vdGU+PENpdGU+PEF1dGhvcj5CZWlzbGFuZDwvQXV0aG9yPjxZZWFyPjIwMTc8L1llYXI+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</w:fldData>
        </w:fldChar>
      </w:r>
      <w:r w:rsidR="00DC5153">
        <w:rPr>
          <w:rFonts w:ascii="Garamond" w:hAnsi="Garamond"/>
          <w:sz w:val="24"/>
          <w:szCs w:val="24"/>
        </w:rPr>
        <w:instrText xml:space="preserve"> ADDIN EN.CITE.DATA </w:instrText>
      </w:r>
      <w:r w:rsidR="00DC5153">
        <w:rPr>
          <w:rFonts w:ascii="Garamond" w:hAnsi="Garamond"/>
          <w:sz w:val="24"/>
          <w:szCs w:val="24"/>
        </w:rPr>
      </w:r>
      <w:r w:rsidR="00DC5153">
        <w:rPr>
          <w:rFonts w:ascii="Garamond" w:hAnsi="Garamond"/>
          <w:sz w:val="24"/>
          <w:szCs w:val="24"/>
        </w:rPr>
        <w:fldChar w:fldCharType="end"/>
      </w:r>
      <w:r w:rsidR="006D5A87">
        <w:rPr>
          <w:rFonts w:ascii="Garamond" w:hAnsi="Garamond"/>
          <w:sz w:val="24"/>
          <w:szCs w:val="24"/>
        </w:rPr>
      </w:r>
      <w:r w:rsidR="006D5A87">
        <w:rPr>
          <w:rFonts w:ascii="Garamond" w:hAnsi="Garamond"/>
          <w:sz w:val="24"/>
          <w:szCs w:val="24"/>
        </w:rPr>
        <w:fldChar w:fldCharType="separate"/>
      </w:r>
      <w:r w:rsidR="00DC5153">
        <w:rPr>
          <w:rFonts w:ascii="Garamond" w:hAnsi="Garamond"/>
          <w:noProof/>
          <w:sz w:val="24"/>
          <w:szCs w:val="24"/>
        </w:rPr>
        <w:t>(Beisland et al., 2017, Forkusam, 2014)</w:t>
      </w:r>
      <w:r w:rsidR="006D5A87">
        <w:rPr>
          <w:rFonts w:ascii="Garamond" w:hAnsi="Garamond"/>
          <w:sz w:val="24"/>
          <w:szCs w:val="24"/>
        </w:rPr>
        <w:fldChar w:fldCharType="end"/>
      </w:r>
      <w:r>
        <w:rPr>
          <w:rFonts w:ascii="Garamond" w:hAnsi="Garamond"/>
          <w:sz w:val="24"/>
          <w:szCs w:val="24"/>
        </w:rPr>
        <w:t xml:space="preserve">. On the other hand, some researchers </w:t>
      </w:r>
      <w:r w:rsidR="00164E7D">
        <w:rPr>
          <w:rFonts w:ascii="Garamond" w:hAnsi="Garamond"/>
          <w:sz w:val="24"/>
          <w:szCs w:val="24"/>
        </w:rPr>
        <w:t xml:space="preserve">from the school argue </w:t>
      </w:r>
      <w:r>
        <w:rPr>
          <w:rFonts w:ascii="Garamond" w:hAnsi="Garamond"/>
          <w:sz w:val="24"/>
          <w:szCs w:val="24"/>
        </w:rPr>
        <w:t xml:space="preserve">that MFIs could serve relatively </w:t>
      </w:r>
      <w:r w:rsidR="00027760">
        <w:rPr>
          <w:rFonts w:ascii="Garamond" w:hAnsi="Garamond"/>
          <w:sz w:val="24"/>
          <w:szCs w:val="24"/>
        </w:rPr>
        <w:t>well-off</w:t>
      </w:r>
      <w:r>
        <w:rPr>
          <w:rFonts w:ascii="Garamond" w:hAnsi="Garamond"/>
          <w:sz w:val="24"/>
          <w:szCs w:val="24"/>
        </w:rPr>
        <w:t xml:space="preserve"> clients at market rates and then use the proceeds to subsidise the provision of financial services to the poor and expand outreach, leading to mission expansion</w:t>
      </w:r>
      <w:r w:rsidR="006D5A87">
        <w:rPr>
          <w:rFonts w:ascii="Garamond" w:hAnsi="Garamond"/>
          <w:sz w:val="24"/>
          <w:szCs w:val="24"/>
        </w:rPr>
        <w:t xml:space="preserve"> </w:t>
      </w:r>
      <w:r w:rsidR="006D5A87">
        <w:rPr>
          <w:rFonts w:ascii="Garamond" w:hAnsi="Garamond"/>
          <w:sz w:val="24"/>
          <w:szCs w:val="24"/>
        </w:rPr>
        <w:fldChar w:fldCharType="begin"/>
      </w:r>
      <w:r w:rsidR="00DC5153">
        <w:rPr>
          <w:rFonts w:ascii="Garamond" w:hAnsi="Garamond"/>
          <w:sz w:val="24"/>
          <w:szCs w:val="24"/>
        </w:rPr>
        <w:instrText xml:space="preserve"> ADDIN EN.CITE &lt;EndNote&gt;&lt;Cite&gt;&lt;Author&gt;Mersland&lt;/Author&gt;&lt;Year&gt;2010&lt;/Year&gt;&lt;RecNum&gt;117&lt;/RecNum&gt;&lt;DisplayText&gt;(Mersland and Strøm, 2010, Bos and Millone, 2015)&lt;/DisplayText&gt;&lt;record&gt;&lt;rec-number&gt;117&lt;/rec-number&gt;&lt;foreign-keys&gt;&lt;key app="EN" db-id="wds9909saar09se5x9txwfw7ax9wfe2ftrt2" timestamp="1506511677"&gt;117&lt;/key&gt;&lt;/foreign-keys&gt;&lt;ref-type name="Journal Article"&gt;17&lt;/ref-type&gt;&lt;contributors&gt;&lt;authors&gt;&lt;author&gt;Mersland, Roy&lt;/author&gt;&lt;author&gt;Strøm, R Øystein&lt;/author&gt;&lt;/authors&gt;&lt;/contributors&gt;&lt;titles&gt;&lt;title&gt;Microfinance mission drift?&lt;/title&gt;&lt;secondary-title&gt;World Development&lt;/secondary-title&gt;&lt;/titles&gt;&lt;periodical&gt;&lt;full-title&gt;World Development&lt;/full-title&gt;&lt;abbr-1&gt;World Devel.&lt;/abbr-1&gt;&lt;abbr-2&gt;World Devel&lt;/abbr-2&gt;&lt;/periodical&gt;&lt;pages&gt;28-36&lt;/pages&gt;&lt;volume&gt;38&lt;/volume&gt;&lt;dates&gt;&lt;year&gt;2010&lt;/year&gt;&lt;/dates&gt;&lt;isbn&gt;0305-750X&lt;/isbn&gt;&lt;urls&gt;&lt;/urls&gt;&lt;/record&gt;&lt;/Cite&gt;&lt;Cite&gt;&lt;Author&gt;Bos&lt;/Author&gt;&lt;Year&gt;2015&lt;/Year&gt;&lt;RecNum&gt;504&lt;/RecNum&gt;&lt;record&gt;&lt;rec-number&gt;504&lt;/rec-number&gt;&lt;foreign-keys&gt;&lt;key app="EN" db-id="wds9909saar09se5x9txwfw7ax9wfe2ftrt2" timestamp="1571653962"&gt;504&lt;/key&gt;&lt;/foreign-keys&gt;&lt;ref-type name="Journal Article"&gt;17&lt;/ref-type&gt;&lt;contributors&gt;&lt;authors&gt;&lt;author&gt;Bos, Jaap WB&lt;/author&gt;&lt;author&gt;Millone, Matteo&lt;/author&gt;&lt;/authors&gt;&lt;/contributors&gt;&lt;titles&gt;&lt;title&gt;Practice what you preach: Microfinance business models and operational efficiency&lt;/title&gt;&lt;secondary-title&gt;World Development&lt;/secondary-title&gt;&lt;/titles&gt;&lt;periodical&gt;&lt;full-title&gt;World Development&lt;/full-title&gt;&lt;abbr-1&gt;World Devel.&lt;/abbr-1&gt;&lt;abbr-2&gt;World Devel&lt;/abbr-2&gt;&lt;/periodical&gt;&lt;pages&gt;28-42&lt;/pages&gt;&lt;volume&gt;70&lt;/volume&gt;&lt;dates&gt;&lt;year&gt;2015&lt;/year&gt;&lt;/dates&gt;&lt;isbn&gt;0305-750X&lt;/isbn&gt;&lt;urls&gt;&lt;/urls&gt;&lt;/record&gt;&lt;/Cite&gt;&lt;/EndNote&gt;</w:instrText>
      </w:r>
      <w:r w:rsidR="006D5A87">
        <w:rPr>
          <w:rFonts w:ascii="Garamond" w:hAnsi="Garamond"/>
          <w:sz w:val="24"/>
          <w:szCs w:val="24"/>
        </w:rPr>
        <w:fldChar w:fldCharType="separate"/>
      </w:r>
      <w:r w:rsidR="00DC5153">
        <w:rPr>
          <w:rFonts w:ascii="Garamond" w:hAnsi="Garamond"/>
          <w:noProof/>
          <w:sz w:val="24"/>
          <w:szCs w:val="24"/>
        </w:rPr>
        <w:t>(Mersland and Strøm, 2010, Bos and Millone, 2015)</w:t>
      </w:r>
      <w:r w:rsidR="006D5A87">
        <w:rPr>
          <w:rFonts w:ascii="Garamond" w:hAnsi="Garamond"/>
          <w:sz w:val="24"/>
          <w:szCs w:val="24"/>
        </w:rPr>
        <w:fldChar w:fldCharType="end"/>
      </w:r>
      <w:r>
        <w:rPr>
          <w:rFonts w:ascii="Garamond" w:hAnsi="Garamond"/>
          <w:sz w:val="24"/>
          <w:szCs w:val="24"/>
        </w:rPr>
        <w:t>. Crucially, MFIs that fail socially risk their legitimacy in the eyes of donors and society. It means, then that it becomes difficult to attract donations and subsidies</w:t>
      </w:r>
      <w:r w:rsidR="006D5A87">
        <w:rPr>
          <w:rFonts w:ascii="Garamond" w:hAnsi="Garamond"/>
          <w:sz w:val="24"/>
          <w:szCs w:val="24"/>
        </w:rPr>
        <w:t xml:space="preserve"> </w:t>
      </w:r>
      <w:r w:rsidR="006D5A87">
        <w:rPr>
          <w:rFonts w:ascii="Garamond" w:hAnsi="Garamond"/>
          <w:sz w:val="24"/>
          <w:szCs w:val="24"/>
        </w:rPr>
        <w:fldChar w:fldCharType="begin"/>
      </w:r>
      <w:r w:rsidR="00DC5153">
        <w:rPr>
          <w:rFonts w:ascii="Garamond" w:hAnsi="Garamond"/>
          <w:sz w:val="24"/>
          <w:szCs w:val="24"/>
        </w:rPr>
        <w:instrText xml:space="preserve"> ADDIN EN.CITE &lt;EndNote&gt;&lt;Cite&gt;&lt;Author&gt;Ramus&lt;/Author&gt;&lt;Year&gt;2017&lt;/Year&gt;&lt;RecNum&gt;307&lt;/RecNum&gt;&lt;DisplayText&gt;(Ramus and Vaccaro, 2017)&lt;/DisplayText&gt;&lt;record&gt;&lt;rec-number&gt;307&lt;/rec-number&gt;&lt;foreign-keys&gt;&lt;key app="EN" db-id="wds9909saar09se5x9txwfw7ax9wfe2ftrt2" timestamp="1515554567"&gt;307&lt;/key&gt;&lt;/foreign-keys&gt;&lt;ref-type name="Journal Article"&gt;17&lt;/ref-type&gt;&lt;contributors&gt;&lt;authors&gt;&lt;author&gt;Ramus, Tommaso&lt;/author&gt;&lt;author&gt;Vaccaro, Antonino&lt;/author&gt;&lt;/authors&gt;&lt;/contributors&gt;&lt;titles&gt;&lt;title&gt;Stakeholders matter: How social enterprises address mission drift&lt;/title&gt;&lt;secondary-title&gt;Journal of Business Ethics&lt;/secondary-title&gt;&lt;/titles&gt;&lt;pages&gt;307-322&lt;/pages&gt;&lt;volume&gt;143&lt;/volume&gt;&lt;number&gt;2&lt;/number&gt;&lt;dates&gt;&lt;year&gt;2017&lt;/year&gt;&lt;pub-dates&gt;&lt;date&gt;June 01&lt;/date&gt;&lt;/pub-dates&gt;&lt;/dates&gt;&lt;isbn&gt;1573-0697&lt;/isbn&gt;&lt;label&gt;Ramus2017&lt;/label&gt;&lt;work-type&gt;journal article&lt;/work-type&gt;&lt;urls&gt;&lt;related-urls&gt;&lt;url&gt;https://doi.org/10.1007/s10551-014-2353-y&lt;/url&gt;&lt;/related-urls&gt;&lt;/urls&gt;&lt;electronic-resource-num&gt;10.1007/s10551-014-2353-y&lt;/electronic-resource-num&gt;&lt;/record&gt;&lt;/Cite&gt;&lt;/EndNote&gt;</w:instrText>
      </w:r>
      <w:r w:rsidR="006D5A87">
        <w:rPr>
          <w:rFonts w:ascii="Garamond" w:hAnsi="Garamond"/>
          <w:sz w:val="24"/>
          <w:szCs w:val="24"/>
        </w:rPr>
        <w:fldChar w:fldCharType="separate"/>
      </w:r>
      <w:r w:rsidR="00DC5153">
        <w:rPr>
          <w:rFonts w:ascii="Garamond" w:hAnsi="Garamond"/>
          <w:noProof/>
          <w:sz w:val="24"/>
          <w:szCs w:val="24"/>
        </w:rPr>
        <w:t>(Ramus and Vaccaro, 2017)</w:t>
      </w:r>
      <w:r w:rsidR="006D5A87">
        <w:rPr>
          <w:rFonts w:ascii="Garamond" w:hAnsi="Garamond"/>
          <w:sz w:val="24"/>
          <w:szCs w:val="24"/>
        </w:rPr>
        <w:fldChar w:fldCharType="end"/>
      </w:r>
      <w:r>
        <w:rPr>
          <w:rFonts w:ascii="Garamond" w:hAnsi="Garamond"/>
          <w:sz w:val="24"/>
          <w:szCs w:val="24"/>
        </w:rPr>
        <w:t xml:space="preserve">. If socially failed MFIs also fail financially, then their capacity as a going concern is questionable. </w:t>
      </w:r>
    </w:p>
    <w:p w14:paraId="2F2AC83D" w14:textId="77777777" w:rsidR="00F432B1" w:rsidRDefault="00F432B1" w:rsidP="008E77CA">
      <w:pPr>
        <w:spacing w:line="360" w:lineRule="auto"/>
        <w:jc w:val="both"/>
        <w:rPr>
          <w:rFonts w:ascii="Garamond" w:hAnsi="Garamond"/>
          <w:sz w:val="24"/>
          <w:szCs w:val="24"/>
        </w:rPr>
      </w:pPr>
      <w:r>
        <w:rPr>
          <w:rFonts w:ascii="Garamond" w:hAnsi="Garamond"/>
          <w:sz w:val="24"/>
          <w:szCs w:val="24"/>
        </w:rPr>
        <w:lastRenderedPageBreak/>
        <w:t xml:space="preserve">Although the </w:t>
      </w:r>
      <w:r w:rsidR="000D7616">
        <w:rPr>
          <w:rFonts w:ascii="Garamond" w:hAnsi="Garamond"/>
          <w:sz w:val="24"/>
          <w:szCs w:val="24"/>
        </w:rPr>
        <w:t xml:space="preserve">ongoing </w:t>
      </w:r>
      <w:r>
        <w:rPr>
          <w:rFonts w:ascii="Garamond" w:hAnsi="Garamond"/>
          <w:sz w:val="24"/>
          <w:szCs w:val="24"/>
        </w:rPr>
        <w:t xml:space="preserve">debate is informative, we postulate that there are factors beyond the control of MFIs that determine </w:t>
      </w:r>
      <w:r w:rsidR="00164E7D">
        <w:rPr>
          <w:rFonts w:ascii="Garamond" w:hAnsi="Garamond"/>
          <w:sz w:val="24"/>
          <w:szCs w:val="24"/>
        </w:rPr>
        <w:t xml:space="preserve">the extent of financial sustainability and outreach; </w:t>
      </w:r>
      <w:r w:rsidR="00B26DBE">
        <w:rPr>
          <w:rFonts w:ascii="Garamond" w:hAnsi="Garamond"/>
          <w:sz w:val="24"/>
          <w:szCs w:val="24"/>
        </w:rPr>
        <w:t xml:space="preserve">be a </w:t>
      </w:r>
      <w:r>
        <w:rPr>
          <w:rFonts w:ascii="Garamond" w:hAnsi="Garamond"/>
          <w:sz w:val="24"/>
          <w:szCs w:val="24"/>
        </w:rPr>
        <w:t>soc</w:t>
      </w:r>
      <w:r w:rsidR="0007785A">
        <w:rPr>
          <w:rFonts w:ascii="Garamond" w:hAnsi="Garamond"/>
          <w:sz w:val="24"/>
          <w:szCs w:val="24"/>
        </w:rPr>
        <w:t>ial success</w:t>
      </w:r>
      <w:r>
        <w:rPr>
          <w:rFonts w:ascii="Garamond" w:hAnsi="Garamond"/>
          <w:sz w:val="24"/>
          <w:szCs w:val="24"/>
        </w:rPr>
        <w:t xml:space="preserve"> while failing financially</w:t>
      </w:r>
      <w:r w:rsidR="00164E7D">
        <w:rPr>
          <w:rFonts w:ascii="Garamond" w:hAnsi="Garamond"/>
          <w:sz w:val="24"/>
          <w:szCs w:val="24"/>
        </w:rPr>
        <w:t xml:space="preserve"> and vice versa</w:t>
      </w:r>
      <w:r>
        <w:rPr>
          <w:rFonts w:ascii="Garamond" w:hAnsi="Garamond"/>
          <w:sz w:val="24"/>
          <w:szCs w:val="24"/>
        </w:rPr>
        <w:t xml:space="preserve">, </w:t>
      </w:r>
      <w:r w:rsidR="00164E7D">
        <w:rPr>
          <w:rFonts w:ascii="Garamond" w:hAnsi="Garamond"/>
          <w:sz w:val="24"/>
          <w:szCs w:val="24"/>
        </w:rPr>
        <w:t>achieve both goals simultaneously</w:t>
      </w:r>
      <w:r w:rsidR="00316203">
        <w:rPr>
          <w:rFonts w:ascii="Garamond" w:hAnsi="Garamond"/>
          <w:sz w:val="24"/>
          <w:szCs w:val="24"/>
        </w:rPr>
        <w:t xml:space="preserve"> or fail in both. </w:t>
      </w:r>
      <w:r>
        <w:rPr>
          <w:rFonts w:ascii="Garamond" w:hAnsi="Garamond"/>
          <w:sz w:val="24"/>
          <w:szCs w:val="24"/>
        </w:rPr>
        <w:t xml:space="preserve">The objective of this article is to examine the factors that determine the </w:t>
      </w:r>
      <w:r w:rsidR="00C34D47">
        <w:rPr>
          <w:rFonts w:ascii="Garamond" w:hAnsi="Garamond"/>
          <w:sz w:val="24"/>
          <w:szCs w:val="24"/>
        </w:rPr>
        <w:t xml:space="preserve">simultaneous </w:t>
      </w:r>
      <w:r>
        <w:rPr>
          <w:rFonts w:ascii="Garamond" w:hAnsi="Garamond"/>
          <w:sz w:val="24"/>
          <w:szCs w:val="24"/>
        </w:rPr>
        <w:t>achievement (or failure to achieve) financial and social objectives by MFIs using a sample of 705 MFIs in Africa</w:t>
      </w:r>
      <w:r w:rsidR="002F1DFC">
        <w:rPr>
          <w:rFonts w:ascii="Garamond" w:hAnsi="Garamond"/>
          <w:sz w:val="24"/>
          <w:szCs w:val="24"/>
        </w:rPr>
        <w:t xml:space="preserve">. The article contributes to the literature on mission drift versus mission expansion for transformed MFIs. </w:t>
      </w:r>
    </w:p>
    <w:p w14:paraId="1750881B" w14:textId="77777777" w:rsidR="00074A7F" w:rsidRDefault="00074A7F" w:rsidP="008E77CA">
      <w:pPr>
        <w:pStyle w:val="Heading2"/>
        <w:spacing w:line="360" w:lineRule="auto"/>
      </w:pPr>
      <w:r>
        <w:t>Method</w:t>
      </w:r>
    </w:p>
    <w:p w14:paraId="07823347" w14:textId="77777777" w:rsidR="00FC50D1" w:rsidRDefault="00F440E8" w:rsidP="008E77CA">
      <w:pPr>
        <w:spacing w:line="360" w:lineRule="auto"/>
        <w:jc w:val="both"/>
        <w:rPr>
          <w:rFonts w:ascii="Garamond" w:hAnsi="Garamond"/>
          <w:sz w:val="24"/>
          <w:szCs w:val="24"/>
        </w:rPr>
      </w:pPr>
      <w:r>
        <w:rPr>
          <w:rFonts w:ascii="Garamond" w:hAnsi="Garamond"/>
          <w:sz w:val="24"/>
          <w:szCs w:val="24"/>
        </w:rPr>
        <w:t xml:space="preserve">We use the multinomial logit model to examine the drivers of the achievement of financial and social objectives by MFIs. </w:t>
      </w:r>
      <w:r w:rsidR="00752A04">
        <w:rPr>
          <w:rFonts w:ascii="Garamond" w:hAnsi="Garamond"/>
          <w:sz w:val="24"/>
          <w:szCs w:val="24"/>
        </w:rPr>
        <w:t xml:space="preserve">The multinomial logit </w:t>
      </w:r>
      <w:r w:rsidR="00FC50D1">
        <w:rPr>
          <w:rFonts w:ascii="Garamond" w:hAnsi="Garamond"/>
          <w:sz w:val="24"/>
          <w:szCs w:val="24"/>
        </w:rPr>
        <w:t>(</w:t>
      </w:r>
      <w:proofErr w:type="spellStart"/>
      <w:r w:rsidR="00FC50D1">
        <w:rPr>
          <w:rFonts w:ascii="Garamond" w:hAnsi="Garamond"/>
          <w:sz w:val="24"/>
          <w:szCs w:val="24"/>
        </w:rPr>
        <w:t>Mlogit</w:t>
      </w:r>
      <w:proofErr w:type="spellEnd"/>
      <w:r w:rsidR="00FC50D1">
        <w:rPr>
          <w:rFonts w:ascii="Garamond" w:hAnsi="Garamond"/>
          <w:sz w:val="24"/>
          <w:szCs w:val="24"/>
        </w:rPr>
        <w:t xml:space="preserve">) </w:t>
      </w:r>
      <w:r w:rsidR="00752A04">
        <w:rPr>
          <w:rFonts w:ascii="Garamond" w:hAnsi="Garamond"/>
          <w:sz w:val="24"/>
          <w:szCs w:val="24"/>
        </w:rPr>
        <w:t xml:space="preserve">model is an extension of </w:t>
      </w:r>
      <w:r w:rsidR="00477082">
        <w:rPr>
          <w:rFonts w:ascii="Garamond" w:hAnsi="Garamond"/>
          <w:sz w:val="24"/>
          <w:szCs w:val="24"/>
        </w:rPr>
        <w:t xml:space="preserve">the </w:t>
      </w:r>
      <w:r w:rsidR="00752A04">
        <w:rPr>
          <w:rFonts w:ascii="Garamond" w:hAnsi="Garamond"/>
          <w:sz w:val="24"/>
          <w:szCs w:val="24"/>
        </w:rPr>
        <w:t>binary</w:t>
      </w:r>
      <w:r w:rsidR="00FC50D1">
        <w:rPr>
          <w:rFonts w:ascii="Garamond" w:hAnsi="Garamond"/>
          <w:sz w:val="24"/>
          <w:szCs w:val="24"/>
        </w:rPr>
        <w:t xml:space="preserve"> logit model to more than two unordered levels (discrete choices)</w:t>
      </w:r>
      <w:r w:rsidR="00752A04">
        <w:rPr>
          <w:rFonts w:ascii="Garamond" w:hAnsi="Garamond"/>
          <w:sz w:val="24"/>
          <w:szCs w:val="24"/>
        </w:rPr>
        <w:t xml:space="preserve">. </w:t>
      </w:r>
      <w:r w:rsidR="00FC50D1">
        <w:rPr>
          <w:rFonts w:ascii="Garamond" w:hAnsi="Garamond"/>
          <w:sz w:val="24"/>
          <w:szCs w:val="24"/>
        </w:rPr>
        <w:t xml:space="preserve">The data at hand meets the requirements for running a </w:t>
      </w:r>
      <w:proofErr w:type="spellStart"/>
      <w:r w:rsidR="00FC50D1">
        <w:rPr>
          <w:rFonts w:ascii="Garamond" w:hAnsi="Garamond"/>
          <w:sz w:val="24"/>
          <w:szCs w:val="24"/>
        </w:rPr>
        <w:t>Mlogit</w:t>
      </w:r>
      <w:proofErr w:type="spellEnd"/>
      <w:r w:rsidR="00FC50D1">
        <w:rPr>
          <w:rFonts w:ascii="Garamond" w:hAnsi="Garamond"/>
          <w:sz w:val="24"/>
          <w:szCs w:val="24"/>
        </w:rPr>
        <w:t xml:space="preserve"> model as the dependent variable (the achievement of financial and social objectives by an MFI- see table 1) has one outcome for each case. Also</w:t>
      </w:r>
      <w:r w:rsidR="00E903A3">
        <w:rPr>
          <w:rFonts w:ascii="Garamond" w:hAnsi="Garamond"/>
          <w:sz w:val="24"/>
          <w:szCs w:val="24"/>
        </w:rPr>
        <w:t>,</w:t>
      </w:r>
      <w:r w:rsidR="00FC50D1">
        <w:rPr>
          <w:rFonts w:ascii="Garamond" w:hAnsi="Garamond"/>
          <w:sz w:val="24"/>
          <w:szCs w:val="24"/>
        </w:rPr>
        <w:t xml:space="preserve"> the independent variables (see Table 2 for a description) do not faultlessly predict the dependent variable. </w:t>
      </w:r>
    </w:p>
    <w:p w14:paraId="28F5D880" w14:textId="77777777" w:rsidR="00E903A3" w:rsidRDefault="00E903A3" w:rsidP="008E77CA">
      <w:pPr>
        <w:spacing w:line="360" w:lineRule="auto"/>
        <w:jc w:val="both"/>
        <w:rPr>
          <w:rFonts w:ascii="Garamond" w:hAnsi="Garamond"/>
          <w:sz w:val="24"/>
          <w:szCs w:val="24"/>
        </w:rPr>
      </w:pPr>
      <w:r>
        <w:rPr>
          <w:rFonts w:ascii="Garamond" w:hAnsi="Garamond"/>
          <w:sz w:val="24"/>
          <w:szCs w:val="24"/>
        </w:rPr>
        <w:t>Suppose we have a dependent variable Y consisting of K choices for K&gt;=2. Further</w:t>
      </w:r>
      <w:r w:rsidR="00001948">
        <w:rPr>
          <w:rFonts w:ascii="Garamond" w:hAnsi="Garamond"/>
          <w:sz w:val="24"/>
          <w:szCs w:val="24"/>
        </w:rPr>
        <w:t>,</w:t>
      </w:r>
      <w:r>
        <w:rPr>
          <w:rFonts w:ascii="Garamond" w:hAnsi="Garamond"/>
          <w:sz w:val="24"/>
          <w:szCs w:val="24"/>
        </w:rPr>
        <w:t xml:space="preserve"> let the independent variables be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ascii="Garamond"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rFonts w:ascii="Garamond" w:hAnsi="Garamond"/>
          <w:sz w:val="24"/>
          <w:szCs w:val="24"/>
        </w:rPr>
        <w:t>, t</w:t>
      </w:r>
      <w:r w:rsidR="00A764FA">
        <w:rPr>
          <w:rFonts w:ascii="Garamond" w:hAnsi="Garamond"/>
          <w:sz w:val="24"/>
          <w:szCs w:val="24"/>
        </w:rPr>
        <w:t>he</w:t>
      </w:r>
      <w:r>
        <w:rPr>
          <w:rFonts w:ascii="Garamond" w:hAnsi="Garamond"/>
          <w:sz w:val="24"/>
          <w:szCs w:val="24"/>
        </w:rPr>
        <w:t xml:space="preserve">n we can specify the </w:t>
      </w:r>
      <w:r w:rsidR="00F42A78">
        <w:rPr>
          <w:rFonts w:ascii="Garamond" w:hAnsi="Garamond"/>
          <w:sz w:val="24"/>
          <w:szCs w:val="24"/>
        </w:rPr>
        <w:t xml:space="preserve">multinomial </w:t>
      </w:r>
      <w:r>
        <w:rPr>
          <w:rFonts w:ascii="Garamond" w:hAnsi="Garamond"/>
          <w:sz w:val="24"/>
          <w:szCs w:val="24"/>
        </w:rPr>
        <w:t>logit model as follows.</w:t>
      </w:r>
      <w:r w:rsidR="00A764FA">
        <w:rPr>
          <w:rFonts w:ascii="Garamond" w:hAnsi="Garamond"/>
          <w:sz w:val="24"/>
          <w:szCs w:val="24"/>
        </w:rPr>
        <w:t xml:space="preserve"> </w:t>
      </w:r>
    </w:p>
    <w:p w14:paraId="7A7F78B1" w14:textId="77777777" w:rsidR="00E903A3" w:rsidRPr="00E903A3" w:rsidRDefault="00E903A3" w:rsidP="008E77CA">
      <w:pPr>
        <w:spacing w:line="360" w:lineRule="auto"/>
        <w:jc w:val="both"/>
        <w:rPr>
          <w:rFonts w:ascii="Garamond" w:eastAsiaTheme="minorEastAsia" w:hAnsi="Garamond"/>
          <w:sz w:val="24"/>
          <w:szCs w:val="24"/>
        </w:rPr>
      </w:pPr>
      <m:oMathPara>
        <m:oMath>
          <m:r>
            <w:rPr>
              <w:rFonts w:ascii="Cambria Math" w:hAnsi="Cambria Math"/>
              <w:sz w:val="24"/>
              <w:szCs w:val="24"/>
            </w:rPr>
            <m:t>Log</m:t>
          </m:r>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(Y=k|X</m:t>
                  </m:r>
                </m:num>
                <m:den>
                  <m:r>
                    <m:rPr>
                      <m:sty m:val="p"/>
                    </m:rPr>
                    <w:rPr>
                      <w:rFonts w:ascii="Cambria Math" w:hAnsi="Cambria Math"/>
                      <w:sz w:val="24"/>
                      <w:szCs w:val="24"/>
                    </w:rPr>
                    <m:t>Pr⁡</m:t>
                  </m:r>
                  <m:r>
                    <w:rPr>
                      <w:rFonts w:ascii="Cambria Math" w:hAnsi="Cambria Math"/>
                      <w:sz w:val="24"/>
                      <w:szCs w:val="24"/>
                    </w:rPr>
                    <m:t>(Y=K|X</m:t>
                  </m:r>
                </m:den>
              </m:f>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0</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p</m:t>
              </m:r>
            </m:sub>
            <m:sup>
              <m:r>
                <w:rPr>
                  <w:rFonts w:ascii="Cambria Math" w:hAnsi="Cambria Math"/>
                  <w:sz w:val="24"/>
                  <w:szCs w:val="24"/>
                </w:rPr>
                <m:t>k</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oMath>
      </m:oMathPara>
    </w:p>
    <w:p w14:paraId="07462879" w14:textId="77777777" w:rsidR="00E903A3" w:rsidRDefault="00E903A3" w:rsidP="008E77CA">
      <w:pPr>
        <w:spacing w:line="360" w:lineRule="auto"/>
        <w:jc w:val="both"/>
        <w:rPr>
          <w:rFonts w:ascii="Garamond" w:eastAsiaTheme="minorEastAsia" w:hAnsi="Garamond"/>
          <w:sz w:val="24"/>
          <w:szCs w:val="24"/>
        </w:rPr>
      </w:pPr>
      <w:r>
        <w:rPr>
          <w:rFonts w:ascii="Garamond" w:eastAsiaTheme="minorEastAsia" w:hAnsi="Garamond"/>
          <w:sz w:val="24"/>
          <w:szCs w:val="24"/>
        </w:rPr>
        <w:t>For k=0, 1, 2, ……… K-1</w:t>
      </w:r>
    </w:p>
    <w:p w14:paraId="298B5B56" w14:textId="77777777" w:rsidR="008E77CA" w:rsidRDefault="008E77CA" w:rsidP="008E77CA">
      <w:pPr>
        <w:spacing w:line="360" w:lineRule="auto"/>
        <w:jc w:val="both"/>
        <w:rPr>
          <w:rFonts w:ascii="Garamond" w:eastAsiaTheme="minorEastAsia" w:hAnsi="Garamond"/>
          <w:sz w:val="24"/>
          <w:szCs w:val="24"/>
        </w:rPr>
      </w:pPr>
      <w:r>
        <w:rPr>
          <w:rFonts w:ascii="Garamond" w:eastAsiaTheme="minorEastAsia" w:hAnsi="Garamond"/>
          <w:sz w:val="24"/>
          <w:szCs w:val="24"/>
        </w:rPr>
        <w:t>Y is the dependent variable, in this case</w:t>
      </w:r>
      <w:r w:rsidR="00001948">
        <w:rPr>
          <w:rFonts w:ascii="Garamond" w:eastAsiaTheme="minorEastAsia" w:hAnsi="Garamond"/>
          <w:sz w:val="24"/>
          <w:szCs w:val="24"/>
        </w:rPr>
        <w:t>,</w:t>
      </w:r>
      <w:r>
        <w:rPr>
          <w:rFonts w:ascii="Garamond" w:eastAsiaTheme="minorEastAsia" w:hAnsi="Garamond"/>
          <w:sz w:val="24"/>
          <w:szCs w:val="24"/>
        </w:rPr>
        <w:t xml:space="preserve"> the extent to which an MFI meets its financial and social objectives.</w:t>
      </w:r>
    </w:p>
    <w:p w14:paraId="623BC09E" w14:textId="77777777" w:rsidR="00F42A78" w:rsidRDefault="004865BA" w:rsidP="008E77CA">
      <w:pPr>
        <w:spacing w:line="360" w:lineRule="auto"/>
        <w:jc w:val="both"/>
        <w:rPr>
          <w:rFonts w:ascii="Garamond" w:eastAsiaTheme="minorEastAsia" w:hAnsi="Garamond"/>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00F42A78">
        <w:rPr>
          <w:rFonts w:ascii="Garamond" w:eastAsiaTheme="minorEastAsia" w:hAnsi="Garamond"/>
          <w:sz w:val="24"/>
          <w:szCs w:val="24"/>
        </w:rPr>
        <w:t xml:space="preserve"> represents the vector of independent variables.</w:t>
      </w:r>
    </w:p>
    <w:p w14:paraId="29594717" w14:textId="77777777" w:rsidR="00E903A3" w:rsidRDefault="00E903A3" w:rsidP="008E77CA">
      <w:pPr>
        <w:spacing w:line="360" w:lineRule="auto"/>
        <w:jc w:val="both"/>
        <w:rPr>
          <w:rFonts w:ascii="Garamond" w:eastAsiaTheme="minorEastAsia" w:hAnsi="Garamond"/>
          <w:sz w:val="24"/>
          <w:szCs w:val="24"/>
        </w:rPr>
      </w:pPr>
      <w:r>
        <w:rPr>
          <w:rFonts w:ascii="Garamond" w:eastAsiaTheme="minorEastAsia" w:hAnsi="Garamond"/>
          <w:sz w:val="24"/>
          <w:szCs w:val="24"/>
        </w:rPr>
        <w:t xml:space="preserve">If K&gt;2, then we have a multinomial logit with K-1 set of equations. </w:t>
      </w:r>
      <w:r w:rsidR="00234586">
        <w:rPr>
          <w:rFonts w:ascii="Garamond" w:eastAsiaTheme="minorEastAsia" w:hAnsi="Garamond"/>
          <w:sz w:val="24"/>
          <w:szCs w:val="24"/>
        </w:rPr>
        <w:t xml:space="preserve">Where K=2, the model is the binary logit model with one equation. </w:t>
      </w:r>
      <w:r>
        <w:rPr>
          <w:rFonts w:ascii="Garamond" w:eastAsiaTheme="minorEastAsia" w:hAnsi="Garamond"/>
          <w:sz w:val="24"/>
          <w:szCs w:val="24"/>
        </w:rPr>
        <w:t>Note that in this case</w:t>
      </w:r>
      <w:r w:rsidR="00DA5EDB">
        <w:rPr>
          <w:rFonts w:ascii="Garamond" w:eastAsiaTheme="minorEastAsia" w:hAnsi="Garamond"/>
          <w:sz w:val="24"/>
          <w:szCs w:val="24"/>
        </w:rPr>
        <w:t>,</w:t>
      </w:r>
      <w:r>
        <w:rPr>
          <w:rFonts w:ascii="Garamond" w:eastAsiaTheme="minorEastAsia" w:hAnsi="Garamond"/>
          <w:sz w:val="24"/>
          <w:szCs w:val="24"/>
        </w:rPr>
        <w:t xml:space="preserve"> we have arbitrarily assigned the last category (K) as the reference. Any other category can serve as </w:t>
      </w:r>
      <w:r w:rsidR="00001948">
        <w:rPr>
          <w:rFonts w:ascii="Garamond" w:eastAsiaTheme="minorEastAsia" w:hAnsi="Garamond"/>
          <w:sz w:val="24"/>
          <w:szCs w:val="24"/>
        </w:rPr>
        <w:t xml:space="preserve">a </w:t>
      </w:r>
      <w:r>
        <w:rPr>
          <w:rFonts w:ascii="Garamond" w:eastAsiaTheme="minorEastAsia" w:hAnsi="Garamond"/>
          <w:sz w:val="24"/>
          <w:szCs w:val="24"/>
        </w:rPr>
        <w:t xml:space="preserve">reference and will hence not be part of the set of equations. </w:t>
      </w:r>
    </w:p>
    <w:p w14:paraId="61090117" w14:textId="77777777" w:rsidR="00B2579A" w:rsidRDefault="00B2579A" w:rsidP="00B2579A">
      <w:pPr>
        <w:spacing w:line="360" w:lineRule="auto"/>
        <w:jc w:val="both"/>
        <w:rPr>
          <w:rFonts w:ascii="Garamond" w:hAnsi="Garamond"/>
          <w:sz w:val="24"/>
          <w:szCs w:val="24"/>
        </w:rPr>
      </w:pPr>
      <w:r>
        <w:rPr>
          <w:rFonts w:ascii="Garamond" w:hAnsi="Garamond"/>
          <w:sz w:val="24"/>
          <w:szCs w:val="24"/>
        </w:rPr>
        <w:t xml:space="preserve">One of the significant drawbacks of the multinomial logit is the violation of the assumption of the independence of irrelevant alternatives (IIA). </w:t>
      </w:r>
      <w:r>
        <w:rPr>
          <w:rFonts w:ascii="Garamond" w:hAnsi="Garamond"/>
          <w:sz w:val="24"/>
          <w:szCs w:val="24"/>
        </w:rPr>
        <w:fldChar w:fldCharType="begin"/>
      </w:r>
      <w:r>
        <w:rPr>
          <w:rFonts w:ascii="Garamond" w:hAnsi="Garamond"/>
          <w:sz w:val="24"/>
          <w:szCs w:val="24"/>
        </w:rPr>
        <w:instrText xml:space="preserve"> ADDIN EN.CITE &lt;EndNote&gt;&lt;Cite AuthorYear="1"&gt;&lt;Author&gt;Cheng&lt;/Author&gt;&lt;Year&gt;2007&lt;/Year&gt;&lt;RecNum&gt;505&lt;/RecNum&gt;&lt;DisplayText&gt;Cheng and Long (2007)&lt;/DisplayText&gt;&lt;record&gt;&lt;rec-number&gt;505&lt;/rec-number&gt;&lt;foreign-keys&gt;&lt;key app="EN" db-id="wds9909saar09se5x9txwfw7ax9wfe2ftrt2" timestamp="1571663383"&gt;505&lt;/key&gt;&lt;/foreign-keys&gt;&lt;ref-type name="Journal Article"&gt;17&lt;/ref-type&gt;&lt;contributors&gt;&lt;authors&gt;&lt;author&gt;Cheng, Simon&lt;/author&gt;&lt;author&gt;Long, J Scott&lt;/author&gt;&lt;/authors&gt;&lt;/contributors&gt;&lt;titles&gt;&lt;title&gt;Testing for IIA in the multinomial logit model&lt;/title&gt;&lt;secondary-title&gt;Sociological methods &amp;amp; research&lt;/secondary-title&gt;&lt;/titles&gt;&lt;periodical&gt;&lt;full-title&gt;Sociological methods &amp;amp; research&lt;/full-title&gt;&lt;/periodical&gt;&lt;pages&gt;583-600&lt;/pages&gt;&lt;volume&gt;35&lt;/volume&gt;&lt;number&gt;4&lt;/number&gt;&lt;dates&gt;&lt;year&gt;2007&lt;/year&gt;&lt;/dates&gt;&lt;isbn&gt;0049-1241&lt;/isbn&gt;&lt;urls&gt;&lt;/urls&gt;&lt;/record&gt;&lt;/Cite&gt;&lt;/EndNote&gt;</w:instrText>
      </w:r>
      <w:r>
        <w:rPr>
          <w:rFonts w:ascii="Garamond" w:hAnsi="Garamond"/>
          <w:sz w:val="24"/>
          <w:szCs w:val="24"/>
        </w:rPr>
        <w:fldChar w:fldCharType="separate"/>
      </w:r>
      <w:r>
        <w:rPr>
          <w:rFonts w:ascii="Garamond" w:hAnsi="Garamond"/>
          <w:noProof/>
          <w:sz w:val="24"/>
          <w:szCs w:val="24"/>
        </w:rPr>
        <w:t>Cheng and Long (2007)</w:t>
      </w:r>
      <w:r>
        <w:rPr>
          <w:rFonts w:ascii="Garamond" w:hAnsi="Garamond"/>
          <w:sz w:val="24"/>
          <w:szCs w:val="24"/>
        </w:rPr>
        <w:fldChar w:fldCharType="end"/>
      </w:r>
      <w:r>
        <w:rPr>
          <w:rFonts w:ascii="Garamond" w:hAnsi="Garamond"/>
          <w:sz w:val="24"/>
          <w:szCs w:val="24"/>
        </w:rPr>
        <w:t xml:space="preserve"> illustrate this assumption using the blue bus- red bus example. If the choice between car transport and a red </w:t>
      </w:r>
      <w:proofErr w:type="gramStart"/>
      <w:r>
        <w:rPr>
          <w:rFonts w:ascii="Garamond" w:hAnsi="Garamond"/>
          <w:sz w:val="24"/>
          <w:szCs w:val="24"/>
        </w:rPr>
        <w:t>bus, and</w:t>
      </w:r>
      <w:proofErr w:type="gramEnd"/>
      <w:r>
        <w:rPr>
          <w:rFonts w:ascii="Garamond" w:hAnsi="Garamond"/>
          <w:sz w:val="24"/>
          <w:szCs w:val="24"/>
        </w:rPr>
        <w:t xml:space="preserve"> given that the probability of choosing a bus is 0.8, and 0.2 for a car, then the odds of the bus over car transport is 4. </w:t>
      </w:r>
    </w:p>
    <w:p w14:paraId="317BB0FD" w14:textId="77777777" w:rsidR="00B2579A" w:rsidRPr="00E903A3" w:rsidRDefault="00B2579A" w:rsidP="008E77CA">
      <w:pPr>
        <w:spacing w:line="360" w:lineRule="auto"/>
        <w:jc w:val="both"/>
        <w:rPr>
          <w:rFonts w:ascii="Garamond" w:hAnsi="Garamond"/>
          <w:sz w:val="24"/>
          <w:szCs w:val="24"/>
        </w:rPr>
      </w:pPr>
      <w:r>
        <w:rPr>
          <w:rFonts w:ascii="Garamond" w:hAnsi="Garamond"/>
          <w:sz w:val="24"/>
          <w:szCs w:val="24"/>
        </w:rPr>
        <w:lastRenderedPageBreak/>
        <w:t xml:space="preserve">Suppose we introduce a third alternative, the blue bus. If the probability of choosing a red bus, blue bus, and car transport are 0.6, 0.25, 0.15 respectively, then the assumption holds since the odds of choosing red bus over a car are still 4. If the odds are different from 4, then the model violates the IIA, and the multinomial model is not fit for the data.  In our case, we plausibly see the assumption holding as the achievement of either financial or social objective may reasonably be independent. We also include variables that act to control for the achievement of financial and social objectives, like the GDP growth rate at the macro-level and current legal status at the micro-level. </w:t>
      </w:r>
    </w:p>
    <w:p w14:paraId="7141A762" w14:textId="77777777" w:rsidR="00A764FA" w:rsidRDefault="00A764FA" w:rsidP="008E77CA">
      <w:pPr>
        <w:pStyle w:val="Heading2"/>
        <w:spacing w:line="360" w:lineRule="auto"/>
      </w:pPr>
      <w:r>
        <w:t>The Variables and Data Sources</w:t>
      </w:r>
    </w:p>
    <w:p w14:paraId="7EBF53C2" w14:textId="77777777" w:rsidR="008E77CA" w:rsidRDefault="000653BD" w:rsidP="000F2879">
      <w:pPr>
        <w:spacing w:line="360" w:lineRule="auto"/>
        <w:jc w:val="both"/>
        <w:rPr>
          <w:rFonts w:ascii="Garamond" w:hAnsi="Garamond"/>
          <w:sz w:val="24"/>
          <w:szCs w:val="24"/>
        </w:rPr>
      </w:pPr>
      <w:r>
        <w:rPr>
          <w:rFonts w:ascii="Garamond" w:hAnsi="Garamond"/>
          <w:sz w:val="24"/>
          <w:szCs w:val="24"/>
        </w:rPr>
        <w:t xml:space="preserve">In our case, we construct the dependent variable by adapting the model developed by </w:t>
      </w:r>
      <w:r>
        <w:rPr>
          <w:rFonts w:ascii="Garamond" w:hAnsi="Garamond"/>
          <w:sz w:val="24"/>
          <w:szCs w:val="24"/>
        </w:rPr>
        <w:fldChar w:fldCharType="begin"/>
      </w:r>
      <w:r>
        <w:rPr>
          <w:rFonts w:ascii="Garamond" w:hAnsi="Garamond"/>
          <w:sz w:val="24"/>
          <w:szCs w:val="24"/>
        </w:rPr>
        <w:instrText xml:space="preserve"> ADDIN EN.CITE &lt;EndNote&gt;&lt;Cite AuthorYear="1"&gt;&lt;Author&gt;Chattopadhyay&lt;/Author&gt;&lt;Year&gt;2017&lt;/Year&gt;&lt;RecNum&gt;328&lt;/RecNum&gt;&lt;DisplayText&gt;Chattopadhyay and Mitra (2017)&lt;/DisplayText&gt;&lt;record&gt;&lt;rec-number&gt;328&lt;/rec-number&gt;&lt;foreign-keys&gt;&lt;key app="EN" db-id="wds9909saar09se5x9txwfw7ax9wfe2ftrt2" timestamp="1516615625"&gt;328&lt;/key&gt;&lt;/foreign-keys&gt;&lt;ref-type name="Journal Article"&gt;17&lt;/ref-type&gt;&lt;contributors&gt;&lt;authors&gt;&lt;author&gt;Chattopadhyay, M.&lt;/author&gt;&lt;author&gt;Mitra, S.&lt;/author&gt;&lt;/authors&gt;&lt;/contributors&gt;&lt;titles&gt;&lt;title&gt;Applicability and effectiveness of classifications models for achieving the twin objectives of growth and outreach of microfinance institutions&lt;/title&gt;&lt;secondary-title&gt;Computational Math and Organization Theory&lt;/secondary-title&gt;&lt;/titles&gt;&lt;pages&gt;451–474&lt;/pages&gt;&lt;volume&gt;23&lt;/volume&gt;&lt;number&gt;2017&lt;/number&gt;&lt;dates&gt;&lt;year&gt;2017&lt;/year&gt;&lt;/dates&gt;&lt;urls&gt;&lt;/urls&gt;&lt;/record&gt;&lt;/Cite&gt;&lt;/EndNote&gt;</w:instrText>
      </w:r>
      <w:r>
        <w:rPr>
          <w:rFonts w:ascii="Garamond" w:hAnsi="Garamond"/>
          <w:sz w:val="24"/>
          <w:szCs w:val="24"/>
        </w:rPr>
        <w:fldChar w:fldCharType="separate"/>
      </w:r>
      <w:r>
        <w:rPr>
          <w:rFonts w:ascii="Garamond" w:hAnsi="Garamond"/>
          <w:noProof/>
          <w:sz w:val="24"/>
          <w:szCs w:val="24"/>
        </w:rPr>
        <w:t>Chattopadhyay and Mitra (2017)</w:t>
      </w:r>
      <w:r>
        <w:rPr>
          <w:rFonts w:ascii="Garamond" w:hAnsi="Garamond"/>
          <w:sz w:val="24"/>
          <w:szCs w:val="24"/>
        </w:rPr>
        <w:fldChar w:fldCharType="end"/>
      </w:r>
      <w:r>
        <w:rPr>
          <w:rFonts w:ascii="Garamond" w:hAnsi="Garamond"/>
          <w:sz w:val="24"/>
          <w:szCs w:val="24"/>
        </w:rPr>
        <w:t xml:space="preserve"> by classifying MFIs into four categories. Category 1 consists of those MFIs that fail both financially and socially (ff), while category 2 consists of those that succeed financially but fail socially (sf), pointing at a possibility of mission drift. The third category consists of MFIs that fail financially but succeed socially (fs). MFIs that succeed both socially and financially (ss) - a sign of possible mission expansion- form the last category. Table 1 below shows the classification.</w:t>
      </w:r>
    </w:p>
    <w:p w14:paraId="0CFD2EBE" w14:textId="77777777" w:rsidR="00F440E8" w:rsidRPr="00FD6B17" w:rsidRDefault="0022605C" w:rsidP="0022605C">
      <w:pPr>
        <w:pStyle w:val="Caption"/>
        <w:rPr>
          <w:b/>
          <w:color w:val="auto"/>
          <w:sz w:val="24"/>
          <w:szCs w:val="24"/>
        </w:rPr>
      </w:pPr>
      <w:r w:rsidRPr="00FD6B17">
        <w:rPr>
          <w:b/>
          <w:color w:val="auto"/>
          <w:sz w:val="24"/>
          <w:szCs w:val="24"/>
        </w:rPr>
        <w:t xml:space="preserve">Table </w:t>
      </w:r>
      <w:r w:rsidRPr="00FD6B17">
        <w:rPr>
          <w:b/>
          <w:color w:val="auto"/>
          <w:sz w:val="24"/>
          <w:szCs w:val="24"/>
        </w:rPr>
        <w:fldChar w:fldCharType="begin"/>
      </w:r>
      <w:r w:rsidRPr="00FD6B17">
        <w:rPr>
          <w:b/>
          <w:color w:val="auto"/>
          <w:sz w:val="24"/>
          <w:szCs w:val="24"/>
        </w:rPr>
        <w:instrText xml:space="preserve"> SEQ Table \* ARABIC </w:instrText>
      </w:r>
      <w:r w:rsidRPr="00FD6B17">
        <w:rPr>
          <w:b/>
          <w:color w:val="auto"/>
          <w:sz w:val="24"/>
          <w:szCs w:val="24"/>
        </w:rPr>
        <w:fldChar w:fldCharType="separate"/>
      </w:r>
      <w:r w:rsidRPr="00FD6B17">
        <w:rPr>
          <w:b/>
          <w:color w:val="auto"/>
          <w:sz w:val="24"/>
          <w:szCs w:val="24"/>
        </w:rPr>
        <w:t>1</w:t>
      </w:r>
      <w:r w:rsidRPr="00FD6B17">
        <w:rPr>
          <w:b/>
          <w:color w:val="auto"/>
          <w:sz w:val="24"/>
          <w:szCs w:val="24"/>
        </w:rPr>
        <w:fldChar w:fldCharType="end"/>
      </w:r>
      <w:r w:rsidR="00316203" w:rsidRPr="00FD6B17">
        <w:rPr>
          <w:b/>
          <w:color w:val="auto"/>
          <w:sz w:val="24"/>
          <w:szCs w:val="24"/>
        </w:rPr>
        <w:t xml:space="preserve">: </w:t>
      </w:r>
      <w:r w:rsidR="0031215E" w:rsidRPr="00FD6B17">
        <w:rPr>
          <w:b/>
          <w:color w:val="auto"/>
          <w:sz w:val="24"/>
          <w:szCs w:val="24"/>
        </w:rPr>
        <w:t>Dependent Variable: Financial versus social performance metrics</w:t>
      </w:r>
    </w:p>
    <w:tbl>
      <w:tblPr>
        <w:tblStyle w:val="PlainTable5"/>
        <w:tblW w:w="9135" w:type="dxa"/>
        <w:tblLook w:val="04A0" w:firstRow="1" w:lastRow="0" w:firstColumn="1" w:lastColumn="0" w:noHBand="0" w:noVBand="1"/>
      </w:tblPr>
      <w:tblGrid>
        <w:gridCol w:w="639"/>
        <w:gridCol w:w="586"/>
        <w:gridCol w:w="4117"/>
        <w:gridCol w:w="3793"/>
      </w:tblGrid>
      <w:tr w:rsidR="00F440E8" w:rsidRPr="00062B21" w14:paraId="2B59F849" w14:textId="77777777" w:rsidTr="00DA5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dxa"/>
            <w:tcBorders>
              <w:top w:val="single" w:sz="4" w:space="0" w:color="auto"/>
              <w:left w:val="single" w:sz="4" w:space="0" w:color="auto"/>
              <w:bottom w:val="single" w:sz="4" w:space="0" w:color="auto"/>
            </w:tcBorders>
            <w:shd w:val="clear" w:color="auto" w:fill="auto"/>
          </w:tcPr>
          <w:p w14:paraId="67F6ECD6" w14:textId="77777777" w:rsidR="00F440E8" w:rsidRPr="00062B21" w:rsidRDefault="00F440E8" w:rsidP="008E77CA">
            <w:pPr>
              <w:spacing w:line="360" w:lineRule="auto"/>
              <w:rPr>
                <w:rFonts w:ascii="Garamond" w:hAnsi="Garamond"/>
                <w:sz w:val="24"/>
                <w:szCs w:val="24"/>
              </w:rPr>
            </w:pPr>
          </w:p>
        </w:tc>
        <w:tc>
          <w:tcPr>
            <w:tcW w:w="8508" w:type="dxa"/>
            <w:gridSpan w:val="3"/>
            <w:tcBorders>
              <w:top w:val="single" w:sz="4" w:space="0" w:color="auto"/>
              <w:bottom w:val="single" w:sz="4" w:space="0" w:color="auto"/>
              <w:right w:val="single" w:sz="4" w:space="0" w:color="auto"/>
            </w:tcBorders>
            <w:shd w:val="clear" w:color="auto" w:fill="auto"/>
          </w:tcPr>
          <w:p w14:paraId="06E8C854" w14:textId="77777777" w:rsidR="00F440E8" w:rsidRPr="00062B21" w:rsidRDefault="00F440E8" w:rsidP="008E77CA">
            <w:pPr>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062B21">
              <w:rPr>
                <w:rFonts w:ascii="Garamond" w:hAnsi="Garamond"/>
                <w:sz w:val="24"/>
                <w:szCs w:val="24"/>
              </w:rPr>
              <w:t>Does the MFI Achieve Social Objectives</w:t>
            </w:r>
            <w:r w:rsidR="002509FB" w:rsidRPr="00062B21">
              <w:rPr>
                <w:rFonts w:ascii="Garamond" w:hAnsi="Garamond"/>
                <w:sz w:val="24"/>
                <w:szCs w:val="24"/>
              </w:rPr>
              <w:t>?</w:t>
            </w:r>
          </w:p>
        </w:tc>
      </w:tr>
      <w:tr w:rsidR="00F440E8" w:rsidRPr="00062B21" w14:paraId="4789794B" w14:textId="77777777" w:rsidTr="00E20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vMerge w:val="restart"/>
            <w:tcBorders>
              <w:top w:val="single" w:sz="4" w:space="0" w:color="auto"/>
              <w:left w:val="single" w:sz="4" w:space="0" w:color="auto"/>
              <w:bottom w:val="single" w:sz="4" w:space="0" w:color="auto"/>
            </w:tcBorders>
            <w:shd w:val="clear" w:color="auto" w:fill="auto"/>
            <w:textDirection w:val="btLr"/>
          </w:tcPr>
          <w:p w14:paraId="3596E415" w14:textId="77777777" w:rsidR="00F440E8" w:rsidRPr="00062B21" w:rsidRDefault="00F440E8" w:rsidP="008E77CA">
            <w:pPr>
              <w:spacing w:line="360" w:lineRule="auto"/>
              <w:ind w:left="113" w:right="113"/>
              <w:rPr>
                <w:rFonts w:ascii="Garamond" w:hAnsi="Garamond"/>
                <w:sz w:val="24"/>
                <w:szCs w:val="24"/>
              </w:rPr>
            </w:pPr>
            <w:r w:rsidRPr="00062B21">
              <w:rPr>
                <w:rFonts w:ascii="Garamond" w:hAnsi="Garamond"/>
                <w:sz w:val="24"/>
                <w:szCs w:val="24"/>
              </w:rPr>
              <w:t>Does the MFI achieve Financial Objectives</w:t>
            </w:r>
            <w:r w:rsidR="002509FB" w:rsidRPr="00062B21">
              <w:rPr>
                <w:rFonts w:ascii="Garamond" w:hAnsi="Garamond"/>
                <w:sz w:val="24"/>
                <w:szCs w:val="24"/>
              </w:rPr>
              <w:t>?</w:t>
            </w:r>
          </w:p>
        </w:tc>
        <w:tc>
          <w:tcPr>
            <w:tcW w:w="586" w:type="dxa"/>
            <w:tcBorders>
              <w:top w:val="single" w:sz="4" w:space="0" w:color="auto"/>
              <w:right w:val="single" w:sz="4" w:space="0" w:color="auto"/>
            </w:tcBorders>
            <w:shd w:val="clear" w:color="auto" w:fill="auto"/>
          </w:tcPr>
          <w:p w14:paraId="78B8D21E" w14:textId="77777777" w:rsidR="00F440E8" w:rsidRPr="00062B21" w:rsidRDefault="00F440E8" w:rsidP="008E77CA">
            <w:pPr>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4123" w:type="dxa"/>
            <w:tcBorders>
              <w:top w:val="single" w:sz="4" w:space="0" w:color="auto"/>
              <w:left w:val="single" w:sz="4" w:space="0" w:color="auto"/>
              <w:bottom w:val="single" w:sz="4" w:space="0" w:color="auto"/>
            </w:tcBorders>
            <w:shd w:val="clear" w:color="auto" w:fill="auto"/>
          </w:tcPr>
          <w:p w14:paraId="6561B697" w14:textId="77777777" w:rsidR="00F440E8" w:rsidRPr="00062B21" w:rsidRDefault="00F440E8" w:rsidP="008E77CA">
            <w:pPr>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b/>
                <w:sz w:val="24"/>
                <w:szCs w:val="24"/>
              </w:rPr>
            </w:pPr>
            <w:r w:rsidRPr="00062B21">
              <w:rPr>
                <w:rFonts w:ascii="Garamond" w:hAnsi="Garamond"/>
                <w:b/>
                <w:sz w:val="24"/>
                <w:szCs w:val="24"/>
              </w:rPr>
              <w:t>Yes</w:t>
            </w:r>
            <w:r w:rsidR="00EB22FC" w:rsidRPr="00062B21">
              <w:rPr>
                <w:rFonts w:ascii="Garamond" w:hAnsi="Garamond"/>
                <w:b/>
                <w:sz w:val="24"/>
                <w:szCs w:val="24"/>
              </w:rPr>
              <w:t xml:space="preserve"> (1)</w:t>
            </w:r>
          </w:p>
        </w:tc>
        <w:tc>
          <w:tcPr>
            <w:tcW w:w="3799" w:type="dxa"/>
            <w:tcBorders>
              <w:top w:val="single" w:sz="4" w:space="0" w:color="auto"/>
              <w:bottom w:val="single" w:sz="4" w:space="0" w:color="auto"/>
              <w:right w:val="single" w:sz="4" w:space="0" w:color="auto"/>
            </w:tcBorders>
            <w:shd w:val="clear" w:color="auto" w:fill="auto"/>
          </w:tcPr>
          <w:p w14:paraId="70A6BC0F" w14:textId="77777777" w:rsidR="00F440E8" w:rsidRPr="00062B21" w:rsidRDefault="00F440E8" w:rsidP="008E77CA">
            <w:pPr>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b/>
                <w:sz w:val="24"/>
                <w:szCs w:val="24"/>
              </w:rPr>
            </w:pPr>
            <w:r w:rsidRPr="00062B21">
              <w:rPr>
                <w:rFonts w:ascii="Garamond" w:hAnsi="Garamond"/>
                <w:b/>
                <w:sz w:val="24"/>
                <w:szCs w:val="24"/>
              </w:rPr>
              <w:t>No</w:t>
            </w:r>
            <w:r w:rsidR="00EB22FC" w:rsidRPr="00062B21">
              <w:rPr>
                <w:rFonts w:ascii="Garamond" w:hAnsi="Garamond"/>
                <w:b/>
                <w:sz w:val="24"/>
                <w:szCs w:val="24"/>
              </w:rPr>
              <w:t xml:space="preserve"> (0)</w:t>
            </w:r>
          </w:p>
        </w:tc>
      </w:tr>
      <w:tr w:rsidR="00F440E8" w:rsidRPr="00062B21" w14:paraId="6D8DEBEF" w14:textId="77777777" w:rsidTr="00E20ACD">
        <w:tc>
          <w:tcPr>
            <w:cnfStyle w:val="001000000000" w:firstRow="0" w:lastRow="0" w:firstColumn="1" w:lastColumn="0" w:oddVBand="0" w:evenVBand="0" w:oddHBand="0" w:evenHBand="0" w:firstRowFirstColumn="0" w:firstRowLastColumn="0" w:lastRowFirstColumn="0" w:lastRowLastColumn="0"/>
            <w:tcW w:w="627" w:type="dxa"/>
            <w:vMerge/>
            <w:tcBorders>
              <w:top w:val="single" w:sz="4" w:space="0" w:color="auto"/>
              <w:left w:val="single" w:sz="4" w:space="0" w:color="auto"/>
              <w:bottom w:val="single" w:sz="4" w:space="0" w:color="auto"/>
            </w:tcBorders>
            <w:shd w:val="clear" w:color="auto" w:fill="auto"/>
          </w:tcPr>
          <w:p w14:paraId="7FFF172C" w14:textId="77777777" w:rsidR="00F440E8" w:rsidRPr="00062B21" w:rsidRDefault="00F440E8" w:rsidP="008E77CA">
            <w:pPr>
              <w:spacing w:line="360" w:lineRule="auto"/>
              <w:rPr>
                <w:rFonts w:ascii="Garamond" w:hAnsi="Garamond"/>
                <w:sz w:val="24"/>
                <w:szCs w:val="24"/>
              </w:rPr>
            </w:pPr>
          </w:p>
        </w:tc>
        <w:tc>
          <w:tcPr>
            <w:tcW w:w="586" w:type="dxa"/>
            <w:tcBorders>
              <w:right w:val="single" w:sz="4" w:space="0" w:color="auto"/>
            </w:tcBorders>
            <w:shd w:val="clear" w:color="auto" w:fill="auto"/>
          </w:tcPr>
          <w:p w14:paraId="7828E685" w14:textId="77777777" w:rsidR="00F440E8" w:rsidRPr="00062B21" w:rsidRDefault="00F440E8"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062B21">
              <w:rPr>
                <w:rFonts w:ascii="Garamond" w:hAnsi="Garamond"/>
                <w:b/>
                <w:sz w:val="24"/>
                <w:szCs w:val="24"/>
              </w:rPr>
              <w:t>Yes</w:t>
            </w:r>
            <w:r w:rsidR="00EB22FC" w:rsidRPr="00062B21">
              <w:rPr>
                <w:rFonts w:ascii="Garamond" w:hAnsi="Garamond"/>
                <w:b/>
                <w:sz w:val="24"/>
                <w:szCs w:val="24"/>
              </w:rPr>
              <w:t xml:space="preserve"> (1)</w:t>
            </w:r>
          </w:p>
        </w:tc>
        <w:tc>
          <w:tcPr>
            <w:tcW w:w="4123" w:type="dxa"/>
            <w:tcBorders>
              <w:left w:val="single" w:sz="4" w:space="0" w:color="auto"/>
            </w:tcBorders>
            <w:shd w:val="clear" w:color="auto" w:fill="auto"/>
          </w:tcPr>
          <w:p w14:paraId="5420801D" w14:textId="77777777" w:rsidR="00F440E8" w:rsidRPr="00062B21" w:rsidRDefault="00F440E8"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i/>
                <w:sz w:val="24"/>
                <w:szCs w:val="24"/>
              </w:rPr>
            </w:pPr>
            <w:r w:rsidRPr="00062B21">
              <w:rPr>
                <w:rFonts w:ascii="Garamond" w:hAnsi="Garamond"/>
                <w:i/>
                <w:sz w:val="24"/>
                <w:szCs w:val="24"/>
              </w:rPr>
              <w:t>Category 4</w:t>
            </w:r>
            <w:r w:rsidR="00D01C96" w:rsidRPr="00062B21">
              <w:rPr>
                <w:rFonts w:ascii="Garamond" w:hAnsi="Garamond"/>
                <w:i/>
                <w:sz w:val="24"/>
                <w:szCs w:val="24"/>
              </w:rPr>
              <w:t xml:space="preserve"> (ss)</w:t>
            </w:r>
          </w:p>
          <w:p w14:paraId="7DDFC5DA" w14:textId="77777777" w:rsidR="00F440E8" w:rsidRPr="00062B21" w:rsidRDefault="00D87D4B"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062B21">
              <w:rPr>
                <w:rFonts w:ascii="Garamond" w:hAnsi="Garamond"/>
                <w:sz w:val="24"/>
                <w:szCs w:val="24"/>
              </w:rPr>
              <w:t>This category p</w:t>
            </w:r>
            <w:r w:rsidR="00F440E8" w:rsidRPr="00062B21">
              <w:rPr>
                <w:rFonts w:ascii="Garamond" w:hAnsi="Garamond"/>
                <w:sz w:val="24"/>
                <w:szCs w:val="24"/>
              </w:rPr>
              <w:t xml:space="preserve">oints to </w:t>
            </w:r>
            <w:r w:rsidRPr="00062B21">
              <w:rPr>
                <w:rFonts w:ascii="Garamond" w:hAnsi="Garamond"/>
                <w:sz w:val="24"/>
                <w:szCs w:val="24"/>
              </w:rPr>
              <w:t>MFIs from which mission expansion could arise.</w:t>
            </w:r>
            <w:r w:rsidR="0046596D" w:rsidRPr="00062B21">
              <w:rPr>
                <w:rFonts w:ascii="Garamond" w:hAnsi="Garamond"/>
                <w:sz w:val="24"/>
                <w:szCs w:val="24"/>
              </w:rPr>
              <w:t xml:space="preserve"> This class is the ideal scenario for the financial sustainability school</w:t>
            </w:r>
            <w:r w:rsidR="00AC1381" w:rsidRPr="00062B21">
              <w:rPr>
                <w:rFonts w:ascii="Garamond" w:hAnsi="Garamond"/>
                <w:sz w:val="24"/>
                <w:szCs w:val="24"/>
              </w:rPr>
              <w:t>,</w:t>
            </w:r>
            <w:r w:rsidR="0046596D" w:rsidRPr="00062B21">
              <w:rPr>
                <w:rFonts w:ascii="Garamond" w:hAnsi="Garamond"/>
                <w:sz w:val="24"/>
                <w:szCs w:val="24"/>
              </w:rPr>
              <w:t xml:space="preserve"> although its viability is controversial. </w:t>
            </w:r>
          </w:p>
        </w:tc>
        <w:tc>
          <w:tcPr>
            <w:tcW w:w="3799" w:type="dxa"/>
            <w:tcBorders>
              <w:right w:val="single" w:sz="4" w:space="0" w:color="auto"/>
            </w:tcBorders>
            <w:shd w:val="clear" w:color="auto" w:fill="auto"/>
          </w:tcPr>
          <w:p w14:paraId="0CB63CED" w14:textId="77777777" w:rsidR="00F440E8" w:rsidRPr="00062B21" w:rsidRDefault="00F440E8"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i/>
                <w:sz w:val="24"/>
                <w:szCs w:val="24"/>
              </w:rPr>
            </w:pPr>
            <w:r w:rsidRPr="00062B21">
              <w:rPr>
                <w:rFonts w:ascii="Garamond" w:hAnsi="Garamond"/>
                <w:i/>
                <w:sz w:val="24"/>
                <w:szCs w:val="24"/>
              </w:rPr>
              <w:t>Category 2</w:t>
            </w:r>
            <w:r w:rsidR="00D01C96" w:rsidRPr="00062B21">
              <w:rPr>
                <w:rFonts w:ascii="Garamond" w:hAnsi="Garamond"/>
                <w:i/>
                <w:sz w:val="24"/>
                <w:szCs w:val="24"/>
              </w:rPr>
              <w:t xml:space="preserve"> (</w:t>
            </w:r>
            <w:r w:rsidR="00203581" w:rsidRPr="00062B21">
              <w:rPr>
                <w:rFonts w:ascii="Garamond" w:hAnsi="Garamond"/>
                <w:i/>
                <w:sz w:val="24"/>
                <w:szCs w:val="24"/>
              </w:rPr>
              <w:t>sf</w:t>
            </w:r>
            <w:r w:rsidR="00D01C96" w:rsidRPr="00062B21">
              <w:rPr>
                <w:rFonts w:ascii="Garamond" w:hAnsi="Garamond"/>
                <w:i/>
                <w:sz w:val="24"/>
                <w:szCs w:val="24"/>
              </w:rPr>
              <w:t>)</w:t>
            </w:r>
          </w:p>
          <w:p w14:paraId="464C05F9" w14:textId="77777777" w:rsidR="00F440E8" w:rsidRPr="00062B21" w:rsidRDefault="00F440E8"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062B21">
              <w:rPr>
                <w:rFonts w:ascii="Garamond" w:hAnsi="Garamond"/>
                <w:sz w:val="24"/>
                <w:szCs w:val="24"/>
              </w:rPr>
              <w:t>This category contains MFIs that are subject to mission drift.</w:t>
            </w:r>
            <w:r w:rsidR="002928FB" w:rsidRPr="00062B21">
              <w:rPr>
                <w:rFonts w:ascii="Garamond" w:hAnsi="Garamond"/>
                <w:sz w:val="24"/>
                <w:szCs w:val="24"/>
              </w:rPr>
              <w:t xml:space="preserve"> These MFIs risk their legitimacy but could survive as they operate a commercial model like Banks.</w:t>
            </w:r>
          </w:p>
        </w:tc>
      </w:tr>
      <w:tr w:rsidR="00F440E8" w:rsidRPr="00062B21" w14:paraId="1FB090A4" w14:textId="77777777" w:rsidTr="00E20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vMerge/>
            <w:tcBorders>
              <w:top w:val="single" w:sz="4" w:space="0" w:color="auto"/>
              <w:left w:val="single" w:sz="4" w:space="0" w:color="auto"/>
              <w:bottom w:val="single" w:sz="4" w:space="0" w:color="auto"/>
            </w:tcBorders>
            <w:shd w:val="clear" w:color="auto" w:fill="auto"/>
          </w:tcPr>
          <w:p w14:paraId="78A11ECA" w14:textId="77777777" w:rsidR="00F440E8" w:rsidRPr="00062B21" w:rsidRDefault="00F440E8" w:rsidP="008E77CA">
            <w:pPr>
              <w:spacing w:line="360" w:lineRule="auto"/>
              <w:rPr>
                <w:rFonts w:ascii="Garamond" w:hAnsi="Garamond"/>
                <w:sz w:val="24"/>
                <w:szCs w:val="24"/>
              </w:rPr>
            </w:pPr>
          </w:p>
        </w:tc>
        <w:tc>
          <w:tcPr>
            <w:tcW w:w="586" w:type="dxa"/>
            <w:tcBorders>
              <w:right w:val="single" w:sz="4" w:space="0" w:color="auto"/>
            </w:tcBorders>
            <w:shd w:val="clear" w:color="auto" w:fill="auto"/>
          </w:tcPr>
          <w:p w14:paraId="58272C09" w14:textId="77777777" w:rsidR="00F440E8" w:rsidRPr="00062B21" w:rsidRDefault="00F440E8" w:rsidP="008E77CA">
            <w:pPr>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b/>
                <w:sz w:val="24"/>
                <w:szCs w:val="24"/>
              </w:rPr>
            </w:pPr>
          </w:p>
        </w:tc>
        <w:tc>
          <w:tcPr>
            <w:tcW w:w="4123" w:type="dxa"/>
            <w:tcBorders>
              <w:left w:val="single" w:sz="4" w:space="0" w:color="auto"/>
            </w:tcBorders>
            <w:shd w:val="clear" w:color="auto" w:fill="auto"/>
          </w:tcPr>
          <w:p w14:paraId="71D12A76" w14:textId="77777777" w:rsidR="00F440E8" w:rsidRPr="00062B21" w:rsidRDefault="00F440E8" w:rsidP="008E77CA">
            <w:pPr>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3799" w:type="dxa"/>
            <w:tcBorders>
              <w:right w:val="single" w:sz="4" w:space="0" w:color="auto"/>
            </w:tcBorders>
            <w:shd w:val="clear" w:color="auto" w:fill="auto"/>
          </w:tcPr>
          <w:p w14:paraId="0056DEDE" w14:textId="77777777" w:rsidR="00F440E8" w:rsidRPr="00062B21" w:rsidRDefault="00F440E8" w:rsidP="008E77CA">
            <w:pPr>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440E8" w:rsidRPr="00062B21" w14:paraId="5A7A7AB0" w14:textId="77777777" w:rsidTr="00E20ACD">
        <w:tc>
          <w:tcPr>
            <w:cnfStyle w:val="001000000000" w:firstRow="0" w:lastRow="0" w:firstColumn="1" w:lastColumn="0" w:oddVBand="0" w:evenVBand="0" w:oddHBand="0" w:evenHBand="0" w:firstRowFirstColumn="0" w:firstRowLastColumn="0" w:lastRowFirstColumn="0" w:lastRowLastColumn="0"/>
            <w:tcW w:w="627" w:type="dxa"/>
            <w:vMerge/>
            <w:tcBorders>
              <w:top w:val="single" w:sz="4" w:space="0" w:color="auto"/>
              <w:left w:val="single" w:sz="4" w:space="0" w:color="auto"/>
              <w:bottom w:val="single" w:sz="4" w:space="0" w:color="auto"/>
            </w:tcBorders>
            <w:shd w:val="clear" w:color="auto" w:fill="auto"/>
          </w:tcPr>
          <w:p w14:paraId="53A99A93" w14:textId="77777777" w:rsidR="00F440E8" w:rsidRPr="00062B21" w:rsidRDefault="00F440E8" w:rsidP="008E77CA">
            <w:pPr>
              <w:spacing w:line="360" w:lineRule="auto"/>
              <w:rPr>
                <w:rFonts w:ascii="Garamond" w:hAnsi="Garamond"/>
                <w:sz w:val="24"/>
                <w:szCs w:val="24"/>
              </w:rPr>
            </w:pPr>
          </w:p>
        </w:tc>
        <w:tc>
          <w:tcPr>
            <w:tcW w:w="586" w:type="dxa"/>
            <w:tcBorders>
              <w:bottom w:val="single" w:sz="4" w:space="0" w:color="auto"/>
              <w:right w:val="single" w:sz="4" w:space="0" w:color="auto"/>
            </w:tcBorders>
            <w:shd w:val="clear" w:color="auto" w:fill="auto"/>
          </w:tcPr>
          <w:p w14:paraId="2C9BEE11" w14:textId="77777777" w:rsidR="00F440E8" w:rsidRPr="00062B21" w:rsidRDefault="00F440E8"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062B21">
              <w:rPr>
                <w:rFonts w:ascii="Garamond" w:hAnsi="Garamond"/>
                <w:b/>
                <w:sz w:val="24"/>
                <w:szCs w:val="24"/>
              </w:rPr>
              <w:t>No</w:t>
            </w:r>
          </w:p>
          <w:p w14:paraId="7508D4E5" w14:textId="77777777" w:rsidR="00EB22FC" w:rsidRPr="00062B21" w:rsidRDefault="00EB22FC"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062B21">
              <w:rPr>
                <w:rFonts w:ascii="Garamond" w:hAnsi="Garamond"/>
                <w:b/>
                <w:sz w:val="24"/>
                <w:szCs w:val="24"/>
              </w:rPr>
              <w:t>(0)</w:t>
            </w:r>
          </w:p>
        </w:tc>
        <w:tc>
          <w:tcPr>
            <w:tcW w:w="4123" w:type="dxa"/>
            <w:tcBorders>
              <w:left w:val="single" w:sz="4" w:space="0" w:color="auto"/>
              <w:bottom w:val="single" w:sz="4" w:space="0" w:color="auto"/>
            </w:tcBorders>
            <w:shd w:val="clear" w:color="auto" w:fill="auto"/>
          </w:tcPr>
          <w:p w14:paraId="6EDC4369" w14:textId="77777777" w:rsidR="00F440E8" w:rsidRPr="00062B21" w:rsidRDefault="00F440E8"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i/>
                <w:sz w:val="24"/>
                <w:szCs w:val="24"/>
              </w:rPr>
            </w:pPr>
            <w:r w:rsidRPr="00062B21">
              <w:rPr>
                <w:rFonts w:ascii="Garamond" w:hAnsi="Garamond"/>
                <w:i/>
                <w:sz w:val="24"/>
                <w:szCs w:val="24"/>
              </w:rPr>
              <w:t>Category 3</w:t>
            </w:r>
            <w:r w:rsidR="00D01C96" w:rsidRPr="00062B21">
              <w:rPr>
                <w:rFonts w:ascii="Garamond" w:hAnsi="Garamond"/>
                <w:i/>
                <w:sz w:val="24"/>
                <w:szCs w:val="24"/>
              </w:rPr>
              <w:t xml:space="preserve"> (</w:t>
            </w:r>
            <w:r w:rsidR="00203581" w:rsidRPr="00062B21">
              <w:rPr>
                <w:rFonts w:ascii="Garamond" w:hAnsi="Garamond"/>
                <w:i/>
                <w:sz w:val="24"/>
                <w:szCs w:val="24"/>
              </w:rPr>
              <w:t>fs</w:t>
            </w:r>
            <w:r w:rsidR="00D01C96" w:rsidRPr="00062B21">
              <w:rPr>
                <w:rFonts w:ascii="Garamond" w:hAnsi="Garamond"/>
                <w:i/>
                <w:sz w:val="24"/>
                <w:szCs w:val="24"/>
              </w:rPr>
              <w:t>)</w:t>
            </w:r>
          </w:p>
          <w:p w14:paraId="1312F47B" w14:textId="77777777" w:rsidR="0046596D" w:rsidRPr="00062B21" w:rsidRDefault="002928FB"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062B21">
              <w:rPr>
                <w:rFonts w:ascii="Garamond" w:hAnsi="Garamond"/>
                <w:sz w:val="24"/>
                <w:szCs w:val="24"/>
              </w:rPr>
              <w:t xml:space="preserve">The welfare approach (NGO-Model) </w:t>
            </w:r>
            <w:r w:rsidR="0046596D" w:rsidRPr="00062B21">
              <w:rPr>
                <w:rFonts w:ascii="Garamond" w:hAnsi="Garamond"/>
                <w:sz w:val="24"/>
                <w:szCs w:val="24"/>
              </w:rPr>
              <w:t>subscribes to</w:t>
            </w:r>
            <w:r w:rsidRPr="00062B21">
              <w:rPr>
                <w:rFonts w:ascii="Garamond" w:hAnsi="Garamond"/>
                <w:sz w:val="24"/>
                <w:szCs w:val="24"/>
              </w:rPr>
              <w:t xml:space="preserve"> this approach</w:t>
            </w:r>
            <w:r w:rsidR="00EC6116" w:rsidRPr="00062B21">
              <w:rPr>
                <w:rFonts w:ascii="Garamond" w:hAnsi="Garamond"/>
                <w:sz w:val="24"/>
                <w:szCs w:val="24"/>
              </w:rPr>
              <w:t xml:space="preserve">. However, some NGOs </w:t>
            </w:r>
            <w:r w:rsidRPr="00062B21">
              <w:rPr>
                <w:rFonts w:ascii="Garamond" w:hAnsi="Garamond"/>
                <w:sz w:val="24"/>
                <w:szCs w:val="24"/>
              </w:rPr>
              <w:t xml:space="preserve">do turn profits. </w:t>
            </w:r>
          </w:p>
        </w:tc>
        <w:tc>
          <w:tcPr>
            <w:tcW w:w="3799" w:type="dxa"/>
            <w:tcBorders>
              <w:bottom w:val="single" w:sz="4" w:space="0" w:color="auto"/>
              <w:right w:val="single" w:sz="4" w:space="0" w:color="auto"/>
            </w:tcBorders>
            <w:shd w:val="clear" w:color="auto" w:fill="auto"/>
          </w:tcPr>
          <w:p w14:paraId="5939C45C" w14:textId="77777777" w:rsidR="00F440E8" w:rsidRPr="00062B21" w:rsidRDefault="00F440E8"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i/>
                <w:sz w:val="24"/>
                <w:szCs w:val="24"/>
              </w:rPr>
            </w:pPr>
            <w:r w:rsidRPr="00062B21">
              <w:rPr>
                <w:rFonts w:ascii="Garamond" w:hAnsi="Garamond"/>
                <w:i/>
                <w:sz w:val="24"/>
                <w:szCs w:val="24"/>
              </w:rPr>
              <w:t>Category 1</w:t>
            </w:r>
            <w:r w:rsidR="00D01C96" w:rsidRPr="00062B21">
              <w:rPr>
                <w:rFonts w:ascii="Garamond" w:hAnsi="Garamond"/>
                <w:i/>
                <w:sz w:val="24"/>
                <w:szCs w:val="24"/>
              </w:rPr>
              <w:t xml:space="preserve"> (ff)</w:t>
            </w:r>
          </w:p>
          <w:p w14:paraId="182EE7AC" w14:textId="77777777" w:rsidR="00F440E8" w:rsidRPr="00062B21" w:rsidRDefault="000E1ED8" w:rsidP="008E77CA">
            <w:pPr>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062B21">
              <w:rPr>
                <w:rFonts w:ascii="Garamond" w:hAnsi="Garamond"/>
                <w:sz w:val="24"/>
                <w:szCs w:val="24"/>
              </w:rPr>
              <w:t xml:space="preserve">While in this category, </w:t>
            </w:r>
            <w:r w:rsidR="00F440E8" w:rsidRPr="00062B21">
              <w:rPr>
                <w:rFonts w:ascii="Garamond" w:hAnsi="Garamond"/>
                <w:sz w:val="24"/>
                <w:szCs w:val="24"/>
              </w:rPr>
              <w:t>MFIs risk losing legitimacy, fail to attract donations, subsidies, and being loss-</w:t>
            </w:r>
            <w:r w:rsidR="00316203" w:rsidRPr="00062B21">
              <w:rPr>
                <w:rFonts w:ascii="Garamond" w:hAnsi="Garamond"/>
                <w:sz w:val="24"/>
                <w:szCs w:val="24"/>
              </w:rPr>
              <w:t xml:space="preserve">making </w:t>
            </w:r>
            <w:r w:rsidR="00D87D4B" w:rsidRPr="00062B21">
              <w:rPr>
                <w:rFonts w:ascii="Garamond" w:hAnsi="Garamond"/>
                <w:sz w:val="24"/>
                <w:szCs w:val="24"/>
              </w:rPr>
              <w:t>ultimately</w:t>
            </w:r>
            <w:r w:rsidR="0046596D" w:rsidRPr="00062B21">
              <w:rPr>
                <w:rFonts w:ascii="Garamond" w:hAnsi="Garamond"/>
                <w:sz w:val="24"/>
                <w:szCs w:val="24"/>
              </w:rPr>
              <w:t xml:space="preserve"> collapse.</w:t>
            </w:r>
          </w:p>
        </w:tc>
      </w:tr>
    </w:tbl>
    <w:p w14:paraId="27C19D89" w14:textId="1CDBA57A" w:rsidR="008E77CA" w:rsidRDefault="00E20ACD" w:rsidP="00DD0317">
      <w:pPr>
        <w:rPr>
          <w:rFonts w:ascii="Garamond" w:hAnsi="Garamond"/>
          <w:sz w:val="24"/>
          <w:szCs w:val="24"/>
        </w:rPr>
      </w:pPr>
      <w:r>
        <w:rPr>
          <w:rFonts w:ascii="Garamond" w:hAnsi="Garamond"/>
          <w:sz w:val="24"/>
          <w:szCs w:val="24"/>
        </w:rPr>
        <w:t xml:space="preserve">Source: Adapted from </w:t>
      </w:r>
      <w:r>
        <w:rPr>
          <w:rFonts w:ascii="Garamond" w:hAnsi="Garamond"/>
          <w:sz w:val="24"/>
          <w:szCs w:val="24"/>
        </w:rPr>
        <w:fldChar w:fldCharType="begin"/>
      </w:r>
      <w:r>
        <w:rPr>
          <w:rFonts w:ascii="Garamond" w:hAnsi="Garamond"/>
          <w:sz w:val="24"/>
          <w:szCs w:val="24"/>
        </w:rPr>
        <w:instrText xml:space="preserve"> ADDIN EN.CITE &lt;EndNote&gt;&lt;Cite AuthorYear="1"&gt;&lt;Author&gt;Chattopadhyay&lt;/Author&gt;&lt;Year&gt;2017&lt;/Year&gt;&lt;RecNum&gt;328&lt;/RecNum&gt;&lt;DisplayText&gt;Chattopadhyay and Mitra (2017)&lt;/DisplayText&gt;&lt;record&gt;&lt;rec-number&gt;328&lt;/rec-number&gt;&lt;foreign-keys&gt;&lt;key app="EN" db-id="wds9909saar09se5x9txwfw7ax9wfe2ftrt2" timestamp="1516615625"&gt;328&lt;/key&gt;&lt;/foreign-keys&gt;&lt;ref-type name="Journal Article"&gt;17&lt;/ref-type&gt;&lt;contributors&gt;&lt;authors&gt;&lt;author&gt;Chattopadhyay, M.&lt;/author&gt;&lt;author&gt;Mitra, S.&lt;/author&gt;&lt;/authors&gt;&lt;/contributors&gt;&lt;titles&gt;&lt;title&gt;Applicability and effectiveness of classifications models for achieving the twin objectives of growth and outreach of microfinance institutions&lt;/title&gt;&lt;secondary-title&gt;Computational Math and Organization Theory&lt;/secondary-title&gt;&lt;/titles&gt;&lt;pages&gt;451–474&lt;/pages&gt;&lt;volume&gt;23&lt;/volume&gt;&lt;number&gt;2017&lt;/number&gt;&lt;dates&gt;&lt;year&gt;2017&lt;/year&gt;&lt;/dates&gt;&lt;urls&gt;&lt;/urls&gt;&lt;/record&gt;&lt;/Cite&gt;&lt;/EndNote&gt;</w:instrText>
      </w:r>
      <w:r>
        <w:rPr>
          <w:rFonts w:ascii="Garamond" w:hAnsi="Garamond"/>
          <w:sz w:val="24"/>
          <w:szCs w:val="24"/>
        </w:rPr>
        <w:fldChar w:fldCharType="separate"/>
      </w:r>
      <w:r>
        <w:rPr>
          <w:rFonts w:ascii="Garamond" w:hAnsi="Garamond"/>
          <w:noProof/>
          <w:sz w:val="24"/>
          <w:szCs w:val="24"/>
        </w:rPr>
        <w:t>Chattopadhyay and Mitra (2017)</w:t>
      </w:r>
      <w:r>
        <w:rPr>
          <w:rFonts w:ascii="Garamond" w:hAnsi="Garamond"/>
          <w:sz w:val="24"/>
          <w:szCs w:val="24"/>
        </w:rPr>
        <w:fldChar w:fldCharType="end"/>
      </w:r>
    </w:p>
    <w:p w14:paraId="49C56450" w14:textId="77777777" w:rsidR="000653BD" w:rsidRDefault="000653BD" w:rsidP="000653BD">
      <w:pPr>
        <w:spacing w:line="360" w:lineRule="auto"/>
        <w:jc w:val="both"/>
        <w:rPr>
          <w:rFonts w:ascii="Garamond" w:hAnsi="Garamond"/>
          <w:sz w:val="24"/>
          <w:szCs w:val="24"/>
        </w:rPr>
      </w:pPr>
      <w:r>
        <w:rPr>
          <w:rFonts w:ascii="Garamond" w:hAnsi="Garamond"/>
          <w:sz w:val="24"/>
          <w:szCs w:val="24"/>
        </w:rPr>
        <w:lastRenderedPageBreak/>
        <w:t xml:space="preserve">We measure financial performance using the operational self-sufficiency (OSS) data from the Microfinance Information Exchange (MIX) pooled database. If OSS&gt;=1, then the MFI is financially sustainable, otherwise it is not. Financially unsustainable MFIs get a code of 0, and one (1) otherwise. </w:t>
      </w:r>
    </w:p>
    <w:p w14:paraId="34A63F35" w14:textId="77777777" w:rsidR="000653BD" w:rsidRPr="00340E96" w:rsidRDefault="000653BD" w:rsidP="000653BD">
      <w:pPr>
        <w:spacing w:line="360" w:lineRule="auto"/>
        <w:jc w:val="center"/>
        <w:rPr>
          <w:rFonts w:ascii="Garamond" w:eastAsia="Calibri" w:hAnsi="Garamond" w:cs="Times New Roman"/>
          <w:sz w:val="24"/>
        </w:rPr>
      </w:pPr>
      <m:oMathPara>
        <m:oMath>
          <m:r>
            <w:rPr>
              <w:rFonts w:ascii="Cambria Math" w:eastAsia="Times New Roman" w:hAnsi="Cambria Math" w:cs="Times New Roman"/>
              <w:sz w:val="24"/>
              <w:szCs w:val="24"/>
            </w:rPr>
            <m:t>OSS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Operating Revenue</m:t>
              </m:r>
            </m:num>
            <m:den>
              <m:r>
                <w:rPr>
                  <w:rFonts w:ascii="Cambria Math" w:eastAsia="Times New Roman" w:hAnsi="Cambria Math" w:cs="Times New Roman"/>
                  <w:sz w:val="24"/>
                  <w:szCs w:val="24"/>
                </w:rPr>
                <m:t>Expenses on (Funding, Loan loss provision and operations)</m:t>
              </m:r>
            </m:den>
          </m:f>
        </m:oMath>
      </m:oMathPara>
    </w:p>
    <w:p w14:paraId="68D3AE8A" w14:textId="77777777" w:rsidR="000653BD" w:rsidRDefault="000653BD" w:rsidP="000653BD">
      <w:pPr>
        <w:spacing w:line="360" w:lineRule="auto"/>
        <w:jc w:val="both"/>
        <w:rPr>
          <w:rFonts w:ascii="Garamond" w:hAnsi="Garamond"/>
          <w:sz w:val="24"/>
          <w:szCs w:val="24"/>
        </w:rPr>
      </w:pPr>
      <w:r>
        <w:rPr>
          <w:rFonts w:ascii="Garamond" w:hAnsi="Garamond"/>
          <w:sz w:val="24"/>
          <w:szCs w:val="24"/>
        </w:rPr>
        <w:t xml:space="preserve">On the other hand, we base social efficiency on the percentage of gross loans that go to women. If at least 50% of the gross loans accrue to women, then we consider the MFI a social success with a code of one (1) and zero otherwise. Researchers have also used the percentage of loans to rural dwellers, but data limitations do not allow for this choice. However, given the absolute number of women in poverty in Africa, the metric reasonably represents the degree of social achievement. </w:t>
      </w:r>
    </w:p>
    <w:p w14:paraId="1BDBDF9E" w14:textId="77777777" w:rsidR="00340E96" w:rsidRPr="008E77CA" w:rsidRDefault="00904951" w:rsidP="00340E96">
      <w:pPr>
        <w:rPr>
          <w:rFonts w:ascii="Garamond" w:hAnsi="Garamond"/>
          <w:sz w:val="24"/>
          <w:szCs w:val="24"/>
        </w:rPr>
      </w:pPr>
      <w:r>
        <w:rPr>
          <w:rFonts w:ascii="Garamond" w:hAnsi="Garamond"/>
          <w:sz w:val="24"/>
          <w:szCs w:val="24"/>
        </w:rPr>
        <w:t xml:space="preserve">Table 2 </w:t>
      </w:r>
      <w:r w:rsidR="00542E2B">
        <w:rPr>
          <w:rFonts w:ascii="Garamond" w:hAnsi="Garamond"/>
          <w:sz w:val="24"/>
          <w:szCs w:val="24"/>
        </w:rPr>
        <w:t>below describes the independent variables</w:t>
      </w:r>
      <w:r>
        <w:rPr>
          <w:rFonts w:ascii="Garamond" w:hAnsi="Garamond"/>
          <w:sz w:val="24"/>
          <w:szCs w:val="24"/>
        </w:rPr>
        <w:t xml:space="preserve">. </w:t>
      </w:r>
    </w:p>
    <w:p w14:paraId="5D1E710F" w14:textId="77777777" w:rsidR="0022605C" w:rsidRPr="00FD6B17" w:rsidRDefault="0022605C" w:rsidP="0022605C">
      <w:pPr>
        <w:pStyle w:val="Caption"/>
        <w:rPr>
          <w:b/>
          <w:color w:val="auto"/>
          <w:sz w:val="24"/>
          <w:szCs w:val="24"/>
        </w:rPr>
      </w:pPr>
      <w:r w:rsidRPr="00FD6B17">
        <w:rPr>
          <w:b/>
          <w:color w:val="auto"/>
          <w:sz w:val="24"/>
          <w:szCs w:val="24"/>
        </w:rPr>
        <w:t xml:space="preserve">Table </w:t>
      </w:r>
      <w:r w:rsidRPr="00FD6B17">
        <w:rPr>
          <w:b/>
          <w:color w:val="auto"/>
          <w:sz w:val="24"/>
          <w:szCs w:val="24"/>
        </w:rPr>
        <w:fldChar w:fldCharType="begin"/>
      </w:r>
      <w:r w:rsidRPr="00FD6B17">
        <w:rPr>
          <w:b/>
          <w:color w:val="auto"/>
          <w:sz w:val="24"/>
          <w:szCs w:val="24"/>
        </w:rPr>
        <w:instrText xml:space="preserve"> SEQ Table \* ARABIC </w:instrText>
      </w:r>
      <w:r w:rsidRPr="00FD6B17">
        <w:rPr>
          <w:b/>
          <w:color w:val="auto"/>
          <w:sz w:val="24"/>
          <w:szCs w:val="24"/>
        </w:rPr>
        <w:fldChar w:fldCharType="separate"/>
      </w:r>
      <w:r w:rsidRPr="00FD6B17">
        <w:rPr>
          <w:b/>
          <w:color w:val="auto"/>
          <w:sz w:val="24"/>
          <w:szCs w:val="24"/>
        </w:rPr>
        <w:t>2</w:t>
      </w:r>
      <w:r w:rsidRPr="00FD6B17">
        <w:rPr>
          <w:b/>
          <w:color w:val="auto"/>
          <w:sz w:val="24"/>
          <w:szCs w:val="24"/>
        </w:rPr>
        <w:fldChar w:fldCharType="end"/>
      </w:r>
      <w:r w:rsidRPr="00FD6B17">
        <w:rPr>
          <w:b/>
          <w:color w:val="auto"/>
          <w:sz w:val="24"/>
          <w:szCs w:val="24"/>
        </w:rPr>
        <w:t>: Description of Independent Variables</w:t>
      </w:r>
    </w:p>
    <w:tbl>
      <w:tblPr>
        <w:tblStyle w:val="PlainTable5"/>
        <w:tblW w:w="0" w:type="auto"/>
        <w:tblLook w:val="04A0" w:firstRow="1" w:lastRow="0" w:firstColumn="1" w:lastColumn="0" w:noHBand="0" w:noVBand="1"/>
      </w:tblPr>
      <w:tblGrid>
        <w:gridCol w:w="9016"/>
      </w:tblGrid>
      <w:tr w:rsidR="00550152" w:rsidRPr="0085355D" w14:paraId="16F62482" w14:textId="77777777" w:rsidTr="00C924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top w:val="single" w:sz="4" w:space="0" w:color="auto"/>
              <w:left w:val="single" w:sz="4" w:space="0" w:color="auto"/>
              <w:right w:val="single" w:sz="4" w:space="0" w:color="auto"/>
            </w:tcBorders>
          </w:tcPr>
          <w:p w14:paraId="73E44348" w14:textId="77777777" w:rsidR="00550152" w:rsidRPr="0085355D" w:rsidRDefault="00550152" w:rsidP="008E77CA">
            <w:pPr>
              <w:spacing w:line="360" w:lineRule="auto"/>
              <w:jc w:val="left"/>
              <w:rPr>
                <w:rFonts w:ascii="Garamond" w:hAnsi="Garamond"/>
                <w:b/>
                <w:i w:val="0"/>
                <w:sz w:val="24"/>
                <w:szCs w:val="24"/>
              </w:rPr>
            </w:pPr>
            <w:r w:rsidRPr="0085355D">
              <w:rPr>
                <w:rFonts w:ascii="Garamond" w:hAnsi="Garamond"/>
                <w:b/>
                <w:i w:val="0"/>
                <w:sz w:val="24"/>
                <w:szCs w:val="24"/>
              </w:rPr>
              <w:t>INDEPENDENT VARIABLES</w:t>
            </w:r>
          </w:p>
        </w:tc>
      </w:tr>
      <w:tr w:rsidR="00550152" w:rsidRPr="0085355D" w14:paraId="5AAB54CD" w14:textId="77777777" w:rsidTr="00C92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7BE352BC" w14:textId="77777777" w:rsidR="00550152" w:rsidRDefault="00550152" w:rsidP="008E77CA">
            <w:pPr>
              <w:spacing w:line="360" w:lineRule="auto"/>
              <w:jc w:val="left"/>
              <w:rPr>
                <w:rFonts w:ascii="Garamond" w:hAnsi="Garamond"/>
                <w:i w:val="0"/>
                <w:sz w:val="24"/>
                <w:szCs w:val="24"/>
              </w:rPr>
            </w:pPr>
            <w:r w:rsidRPr="0085355D">
              <w:rPr>
                <w:rFonts w:ascii="Garamond" w:hAnsi="Garamond"/>
                <w:b/>
                <w:i w:val="0"/>
                <w:sz w:val="24"/>
                <w:szCs w:val="24"/>
              </w:rPr>
              <w:t>Age:</w:t>
            </w:r>
            <w:r w:rsidRPr="0085355D">
              <w:rPr>
                <w:rFonts w:ascii="Garamond" w:hAnsi="Garamond"/>
                <w:i w:val="0"/>
                <w:sz w:val="24"/>
                <w:szCs w:val="24"/>
              </w:rPr>
              <w:t xml:space="preserve"> The period in which the MFI has been in operation. MIX classifies MFIs into three </w:t>
            </w:r>
            <w:proofErr w:type="gramStart"/>
            <w:r w:rsidRPr="0085355D">
              <w:rPr>
                <w:rFonts w:ascii="Garamond" w:hAnsi="Garamond"/>
                <w:i w:val="0"/>
                <w:sz w:val="24"/>
                <w:szCs w:val="24"/>
              </w:rPr>
              <w:t>groups;</w:t>
            </w:r>
            <w:proofErr w:type="gramEnd"/>
            <w:r w:rsidRPr="0085355D">
              <w:rPr>
                <w:rFonts w:ascii="Garamond" w:hAnsi="Garamond"/>
                <w:i w:val="0"/>
                <w:sz w:val="24"/>
                <w:szCs w:val="24"/>
              </w:rPr>
              <w:t xml:space="preserve"> new, young, and mature. The variable enters the model as a dummy.</w:t>
            </w:r>
          </w:p>
          <w:p w14:paraId="5AE9E963" w14:textId="77777777" w:rsidR="00A709E7" w:rsidRPr="0085355D" w:rsidRDefault="00A709E7" w:rsidP="008E77CA">
            <w:pPr>
              <w:spacing w:line="360" w:lineRule="auto"/>
              <w:jc w:val="left"/>
              <w:rPr>
                <w:rFonts w:ascii="Garamond" w:hAnsi="Garamond"/>
                <w:i w:val="0"/>
                <w:sz w:val="24"/>
                <w:szCs w:val="24"/>
              </w:rPr>
            </w:pPr>
          </w:p>
        </w:tc>
      </w:tr>
      <w:tr w:rsidR="00550152" w:rsidRPr="0085355D" w14:paraId="0390D3B4" w14:textId="77777777" w:rsidTr="00C924E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79E13481" w14:textId="77777777" w:rsidR="00550152" w:rsidRDefault="00550152" w:rsidP="008E77CA">
            <w:pPr>
              <w:spacing w:line="360" w:lineRule="auto"/>
              <w:jc w:val="left"/>
              <w:rPr>
                <w:rFonts w:ascii="Garamond" w:hAnsi="Garamond"/>
                <w:i w:val="0"/>
                <w:sz w:val="24"/>
                <w:szCs w:val="24"/>
              </w:rPr>
            </w:pPr>
            <w:r w:rsidRPr="0085355D">
              <w:rPr>
                <w:rFonts w:ascii="Garamond" w:hAnsi="Garamond"/>
                <w:b/>
                <w:i w:val="0"/>
                <w:sz w:val="24"/>
                <w:szCs w:val="24"/>
              </w:rPr>
              <w:t>Size:</w:t>
            </w:r>
            <w:r w:rsidRPr="0085355D">
              <w:rPr>
                <w:rFonts w:ascii="Garamond" w:hAnsi="Garamond"/>
                <w:i w:val="0"/>
                <w:sz w:val="24"/>
                <w:szCs w:val="24"/>
              </w:rPr>
              <w:t xml:space="preserve"> We proxy the size of MFI with the natural logarithm of total assets, again using data from MIX. </w:t>
            </w:r>
          </w:p>
          <w:p w14:paraId="4FA8389E" w14:textId="77777777" w:rsidR="00A709E7" w:rsidRPr="0085355D" w:rsidRDefault="00A709E7" w:rsidP="008E77CA">
            <w:pPr>
              <w:spacing w:line="360" w:lineRule="auto"/>
              <w:jc w:val="left"/>
              <w:rPr>
                <w:rFonts w:ascii="Garamond" w:hAnsi="Garamond"/>
                <w:i w:val="0"/>
                <w:sz w:val="24"/>
                <w:szCs w:val="24"/>
              </w:rPr>
            </w:pPr>
          </w:p>
        </w:tc>
      </w:tr>
      <w:tr w:rsidR="00550152" w:rsidRPr="0085355D" w14:paraId="008B299C" w14:textId="77777777" w:rsidTr="00C92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66164CBF" w14:textId="77777777" w:rsidR="00550152" w:rsidRPr="0085355D" w:rsidRDefault="00550152" w:rsidP="008E77CA">
            <w:pPr>
              <w:spacing w:line="360" w:lineRule="auto"/>
              <w:jc w:val="left"/>
              <w:rPr>
                <w:rFonts w:ascii="Garamond" w:hAnsi="Garamond"/>
                <w:sz w:val="24"/>
                <w:szCs w:val="24"/>
              </w:rPr>
            </w:pPr>
            <w:r w:rsidRPr="0085355D">
              <w:rPr>
                <w:rFonts w:ascii="Garamond" w:hAnsi="Garamond"/>
                <w:b/>
                <w:i w:val="0"/>
                <w:sz w:val="24"/>
                <w:szCs w:val="24"/>
              </w:rPr>
              <w:t>Capital Market Development / Financial Development (CAP):</w:t>
            </w:r>
            <w:r w:rsidRPr="0085355D">
              <w:rPr>
                <w:rFonts w:ascii="Garamond" w:hAnsi="Garamond"/>
                <w:i w:val="0"/>
                <w:sz w:val="24"/>
                <w:szCs w:val="24"/>
              </w:rPr>
              <w:t xml:space="preserve"> We construct an index that captures both the quality and quantity of the financial sector of individual countries. We follow the procedure similar to that of  </w:t>
            </w:r>
            <w:r w:rsidRPr="0085355D">
              <w:rPr>
                <w:rFonts w:ascii="Garamond" w:hAnsi="Garamond"/>
                <w:bCs/>
                <w:sz w:val="24"/>
                <w:szCs w:val="24"/>
              </w:rPr>
              <w:fldChar w:fldCharType="begin"/>
            </w:r>
            <w:r w:rsidRPr="0085355D">
              <w:rPr>
                <w:rFonts w:ascii="Garamond" w:hAnsi="Garamond"/>
                <w:bCs/>
                <w:sz w:val="24"/>
                <w:szCs w:val="24"/>
              </w:rPr>
              <w:instrText xml:space="preserve"> ADDIN EN.CITE &lt;EndNote&gt;&lt;Cite AuthorYear="1"&gt;&lt;Author&gt;Ito&lt;/Author&gt;&lt;Year&gt;2018&lt;/Year&gt;&lt;RecNum&gt;485&lt;/RecNum&gt;&lt;DisplayText&gt;Ito and Kawai (2018)&lt;/DisplayText&gt;&lt;record&gt;&lt;rec-number&gt;485&lt;/rec-number&gt;&lt;foreign-keys&gt;&lt;key app="EN" db-id="wds9909saar09se5x9txwfw7ax9wfe2ftrt2" timestamp="1566831801"&gt;485&lt;/key&gt;&lt;/foreign-keys&gt;&lt;ref-type name="Journal Article"&gt;17&lt;/ref-type&gt;&lt;contributors&gt;&lt;authors&gt;&lt;author&gt;Ito, Hiroyuki&lt;/author&gt;&lt;author&gt;Kawai, Masahiro&lt;/author&gt;&lt;/authors&gt;&lt;/contributors&gt;&lt;titles&gt;&lt;title&gt;Quantity and Quality Measures of Financial Development: Implications for Macroeconomic Performance&lt;/title&gt;&lt;secondary-title&gt;Public Policy Review&lt;/secondary-title&gt;&lt;/titles&gt;&lt;pages&gt;803-834&lt;/pages&gt;&lt;volume&gt;14&lt;/volume&gt;&lt;number&gt;5&lt;/number&gt;&lt;dates&gt;&lt;year&gt;2018&lt;/year&gt;&lt;/dates&gt;&lt;urls&gt;&lt;/urls&gt;&lt;/record&gt;&lt;/Cite&gt;&lt;/EndNote&gt;</w:instrText>
            </w:r>
            <w:r w:rsidRPr="0085355D">
              <w:rPr>
                <w:rFonts w:ascii="Garamond" w:hAnsi="Garamond"/>
                <w:bCs/>
                <w:sz w:val="24"/>
                <w:szCs w:val="24"/>
              </w:rPr>
              <w:fldChar w:fldCharType="separate"/>
            </w:r>
            <w:r w:rsidRPr="0085355D">
              <w:rPr>
                <w:rFonts w:ascii="Garamond" w:hAnsi="Garamond"/>
                <w:bCs/>
                <w:i w:val="0"/>
                <w:noProof/>
                <w:sz w:val="24"/>
                <w:szCs w:val="24"/>
              </w:rPr>
              <w:t>Ito and Kawai (2018)</w:t>
            </w:r>
            <w:r w:rsidRPr="0085355D">
              <w:rPr>
                <w:rFonts w:ascii="Garamond" w:hAnsi="Garamond"/>
                <w:bCs/>
                <w:sz w:val="24"/>
                <w:szCs w:val="24"/>
              </w:rPr>
              <w:fldChar w:fldCharType="end"/>
            </w:r>
            <w:r w:rsidRPr="0085355D">
              <w:rPr>
                <w:rFonts w:ascii="Garamond" w:hAnsi="Garamond"/>
                <w:bCs/>
                <w:i w:val="0"/>
                <w:sz w:val="24"/>
                <w:szCs w:val="24"/>
              </w:rPr>
              <w:t xml:space="preserve"> </w:t>
            </w:r>
            <w:r w:rsidRPr="0085355D">
              <w:rPr>
                <w:rFonts w:ascii="Garamond" w:hAnsi="Garamond"/>
                <w:i w:val="0"/>
                <w:sz w:val="24"/>
                <w:szCs w:val="24"/>
              </w:rPr>
              <w:t xml:space="preserve">by taking the first principal component index composed of bank credit, public and private debt market, and the stock market. The data source is the GFDD of the World Bank </w:t>
            </w:r>
            <w:r w:rsidRPr="0085355D">
              <w:rPr>
                <w:rFonts w:ascii="Garamond" w:hAnsi="Garamond"/>
                <w:sz w:val="24"/>
                <w:szCs w:val="24"/>
              </w:rPr>
              <w:t>(See note 4).</w:t>
            </w:r>
          </w:p>
        </w:tc>
      </w:tr>
      <w:tr w:rsidR="00550152" w:rsidRPr="0085355D" w14:paraId="395D3880" w14:textId="77777777" w:rsidTr="00C924E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75C80090" w14:textId="77777777" w:rsidR="00550152" w:rsidRDefault="00550152" w:rsidP="008E77CA">
            <w:pPr>
              <w:spacing w:line="360" w:lineRule="auto"/>
              <w:jc w:val="left"/>
              <w:rPr>
                <w:rFonts w:ascii="Garamond" w:hAnsi="Garamond"/>
                <w:bCs/>
                <w:i w:val="0"/>
                <w:sz w:val="24"/>
                <w:szCs w:val="24"/>
              </w:rPr>
            </w:pPr>
            <w:r w:rsidRPr="0085355D">
              <w:rPr>
                <w:rFonts w:ascii="Garamond" w:hAnsi="Garamond"/>
                <w:b/>
                <w:i w:val="0"/>
                <w:sz w:val="24"/>
                <w:szCs w:val="24"/>
              </w:rPr>
              <w:t>Legal Tradition (Legal):</w:t>
            </w:r>
            <w:r w:rsidRPr="0085355D">
              <w:rPr>
                <w:rFonts w:ascii="Garamond" w:hAnsi="Garamond"/>
                <w:i w:val="0"/>
                <w:sz w:val="24"/>
                <w:szCs w:val="24"/>
              </w:rPr>
              <w:t xml:space="preserve"> The indicator is a dummy variable with common law countries coded 0, civil law countries 1, and 2 otherwise as per the classification by </w:t>
            </w:r>
            <w:r w:rsidRPr="0085355D">
              <w:rPr>
                <w:rFonts w:ascii="Garamond" w:hAnsi="Garamond"/>
                <w:bCs/>
                <w:sz w:val="24"/>
                <w:szCs w:val="24"/>
              </w:rPr>
              <w:fldChar w:fldCharType="begin"/>
            </w:r>
            <w:r w:rsidRPr="0085355D">
              <w:rPr>
                <w:rFonts w:ascii="Garamond" w:hAnsi="Garamond"/>
                <w:bCs/>
                <w:sz w:val="24"/>
                <w:szCs w:val="24"/>
              </w:rPr>
              <w:instrText xml:space="preserve"> ADDIN EN.CITE &lt;EndNote&gt;&lt;Cite AuthorYear="1"&gt;&lt;Author&gt;Oto-Peralías&lt;/Author&gt;&lt;Year&gt;2014&lt;/Year&gt;&lt;RecNum&gt;482&lt;/RecNum&gt;&lt;DisplayText&gt;Oto-Peralías and Romero-Ávila (2014)&lt;/DisplayText&gt;&lt;record&gt;&lt;rec-number&gt;482&lt;/rec-number&gt;&lt;foreign-keys&gt;&lt;key app="EN" db-id="wds9909saar09se5x9txwfw7ax9wfe2ftrt2" timestamp="1562607401"&gt;482&lt;/key&gt;&lt;/foreign-keys&gt;&lt;ref-type name="Journal Article"&gt;17&lt;/ref-type&gt;&lt;contributors&gt;&lt;authors&gt;&lt;author&gt;Oto-Peralías, Daniel&lt;/author&gt;&lt;author&gt;Romero-Ávila, Diego&lt;/author&gt;&lt;/authors&gt;&lt;/contributors&gt;&lt;titles&gt;&lt;title&gt;The distribution of legal traditions around the world: a contribution to the legal-origins theory&lt;/title&gt;&lt;secondary-title&gt;The Journal of Law and Economics&lt;/secondary-title&gt;&lt;/titles&gt;&lt;pages&gt;561-628&lt;/pages&gt;&lt;volume&gt;57&lt;/volume&gt;&lt;number&gt;3&lt;/number&gt;&lt;dates&gt;&lt;year&gt;2014&lt;/year&gt;&lt;/dates&gt;&lt;isbn&gt;0022-2186&lt;/isbn&gt;&lt;urls&gt;&lt;/urls&gt;&lt;/record&gt;&lt;/Cite&gt;&lt;/EndNote&gt;</w:instrText>
            </w:r>
            <w:r w:rsidRPr="0085355D">
              <w:rPr>
                <w:rFonts w:ascii="Garamond" w:hAnsi="Garamond"/>
                <w:bCs/>
                <w:sz w:val="24"/>
                <w:szCs w:val="24"/>
              </w:rPr>
              <w:fldChar w:fldCharType="separate"/>
            </w:r>
            <w:r w:rsidRPr="0085355D">
              <w:rPr>
                <w:rFonts w:ascii="Garamond" w:hAnsi="Garamond"/>
                <w:bCs/>
                <w:i w:val="0"/>
                <w:noProof/>
                <w:sz w:val="24"/>
                <w:szCs w:val="24"/>
              </w:rPr>
              <w:t>Oto-Peralías and Romero-Ávila (2014)</w:t>
            </w:r>
            <w:r w:rsidRPr="0085355D">
              <w:rPr>
                <w:rFonts w:ascii="Garamond" w:hAnsi="Garamond"/>
                <w:bCs/>
                <w:sz w:val="24"/>
                <w:szCs w:val="24"/>
              </w:rPr>
              <w:fldChar w:fldCharType="end"/>
            </w:r>
            <w:r w:rsidRPr="0085355D">
              <w:rPr>
                <w:rFonts w:ascii="Garamond" w:hAnsi="Garamond"/>
                <w:bCs/>
                <w:i w:val="0"/>
                <w:sz w:val="24"/>
                <w:szCs w:val="24"/>
              </w:rPr>
              <w:t xml:space="preserve">. </w:t>
            </w:r>
          </w:p>
          <w:p w14:paraId="14CA8BAD" w14:textId="77777777" w:rsidR="00A709E7" w:rsidRPr="00C924ED" w:rsidRDefault="00A709E7" w:rsidP="008E77CA">
            <w:pPr>
              <w:spacing w:line="360" w:lineRule="auto"/>
              <w:jc w:val="left"/>
              <w:rPr>
                <w:rFonts w:ascii="Garamond" w:hAnsi="Garamond"/>
                <w:bCs/>
                <w:i w:val="0"/>
                <w:sz w:val="24"/>
                <w:szCs w:val="24"/>
              </w:rPr>
            </w:pPr>
          </w:p>
        </w:tc>
      </w:tr>
      <w:tr w:rsidR="00550152" w:rsidRPr="0085355D" w14:paraId="3F09F45A" w14:textId="77777777" w:rsidTr="00C92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484D595F" w14:textId="77777777" w:rsidR="00550152" w:rsidRDefault="00550152" w:rsidP="008E77CA">
            <w:pPr>
              <w:spacing w:line="360" w:lineRule="auto"/>
              <w:jc w:val="left"/>
              <w:rPr>
                <w:rFonts w:ascii="Garamond" w:hAnsi="Garamond"/>
                <w:sz w:val="24"/>
                <w:szCs w:val="24"/>
              </w:rPr>
            </w:pPr>
            <w:r w:rsidRPr="0085355D">
              <w:rPr>
                <w:rFonts w:ascii="Garamond" w:hAnsi="Garamond"/>
                <w:b/>
                <w:i w:val="0"/>
                <w:sz w:val="24"/>
                <w:szCs w:val="24"/>
              </w:rPr>
              <w:t>GDP annual growth rate (GDP):</w:t>
            </w:r>
            <w:r w:rsidRPr="0085355D">
              <w:rPr>
                <w:rFonts w:ascii="Garamond" w:hAnsi="Garamond"/>
                <w:i w:val="0"/>
                <w:sz w:val="24"/>
                <w:szCs w:val="24"/>
              </w:rPr>
              <w:t xml:space="preserve"> This is the year on year growth in output adjusted for inflation and sourced from the WDI </w:t>
            </w:r>
            <w:r w:rsidRPr="0085355D">
              <w:rPr>
                <w:rFonts w:ascii="Garamond" w:hAnsi="Garamond"/>
                <w:sz w:val="24"/>
                <w:szCs w:val="24"/>
              </w:rPr>
              <w:t>(See note 2).</w:t>
            </w:r>
          </w:p>
          <w:p w14:paraId="5A6A674E" w14:textId="77777777" w:rsidR="00A709E7" w:rsidRPr="00C924ED" w:rsidRDefault="00A709E7" w:rsidP="008E77CA">
            <w:pPr>
              <w:spacing w:line="360" w:lineRule="auto"/>
              <w:jc w:val="left"/>
              <w:rPr>
                <w:rFonts w:ascii="Garamond" w:hAnsi="Garamond"/>
                <w:sz w:val="24"/>
                <w:szCs w:val="24"/>
              </w:rPr>
            </w:pPr>
          </w:p>
        </w:tc>
      </w:tr>
      <w:tr w:rsidR="00550152" w:rsidRPr="0085355D" w14:paraId="64B9BB66" w14:textId="77777777" w:rsidTr="00C924E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7BEFF270" w14:textId="77777777" w:rsidR="00550152" w:rsidRDefault="00550152" w:rsidP="008E77CA">
            <w:pPr>
              <w:spacing w:line="360" w:lineRule="auto"/>
              <w:jc w:val="left"/>
              <w:rPr>
                <w:rFonts w:ascii="Garamond" w:hAnsi="Garamond"/>
                <w:bCs/>
                <w:i w:val="0"/>
                <w:sz w:val="24"/>
                <w:szCs w:val="24"/>
              </w:rPr>
            </w:pPr>
            <w:r w:rsidRPr="0085355D">
              <w:rPr>
                <w:rFonts w:ascii="Garamond" w:hAnsi="Garamond"/>
                <w:b/>
                <w:i w:val="0"/>
                <w:sz w:val="24"/>
                <w:szCs w:val="24"/>
              </w:rPr>
              <w:lastRenderedPageBreak/>
              <w:t>Region:</w:t>
            </w:r>
            <w:r w:rsidRPr="0085355D">
              <w:rPr>
                <w:rFonts w:ascii="Garamond" w:hAnsi="Garamond"/>
                <w:i w:val="0"/>
                <w:sz w:val="24"/>
                <w:szCs w:val="24"/>
              </w:rPr>
              <w:t xml:space="preserve"> </w:t>
            </w:r>
            <w:r w:rsidRPr="0085355D">
              <w:rPr>
                <w:rFonts w:ascii="Garamond" w:hAnsi="Garamond"/>
                <w:bCs/>
                <w:i w:val="0"/>
                <w:sz w:val="24"/>
                <w:szCs w:val="24"/>
              </w:rPr>
              <w:t xml:space="preserve">As per the African Union (AU) classification, we allocate dummy variables to each of Africa’s regions; Eastern Africa, Central Africa, Southern Africa, West Africa, and North Africa. However, we exclude the African Diaspora in our analysis. Please refer to the AU handbook at </w:t>
            </w:r>
            <w:hyperlink r:id="rId8" w:history="1">
              <w:r w:rsidRPr="0085355D">
                <w:rPr>
                  <w:rStyle w:val="Hyperlink"/>
                  <w:rFonts w:ascii="Garamond" w:hAnsi="Garamond"/>
                  <w:bCs/>
                  <w:i w:val="0"/>
                  <w:sz w:val="24"/>
                  <w:szCs w:val="24"/>
                </w:rPr>
                <w:t>https://au.int/en/handbook</w:t>
              </w:r>
            </w:hyperlink>
            <w:r w:rsidRPr="0085355D">
              <w:rPr>
                <w:rFonts w:ascii="Garamond" w:hAnsi="Garamond"/>
                <w:bCs/>
                <w:i w:val="0"/>
                <w:sz w:val="24"/>
                <w:szCs w:val="24"/>
              </w:rPr>
              <w:t xml:space="preserve"> for the details.</w:t>
            </w:r>
          </w:p>
          <w:p w14:paraId="3F34B969" w14:textId="77777777" w:rsidR="00A709E7" w:rsidRPr="00C924ED" w:rsidRDefault="00A709E7" w:rsidP="008E77CA">
            <w:pPr>
              <w:spacing w:line="360" w:lineRule="auto"/>
              <w:jc w:val="left"/>
              <w:rPr>
                <w:rFonts w:ascii="Garamond" w:hAnsi="Garamond"/>
                <w:bCs/>
                <w:i w:val="0"/>
                <w:sz w:val="24"/>
                <w:szCs w:val="24"/>
              </w:rPr>
            </w:pPr>
          </w:p>
        </w:tc>
      </w:tr>
      <w:tr w:rsidR="00550152" w:rsidRPr="0085355D" w14:paraId="6415E858" w14:textId="77777777" w:rsidTr="00C92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4457121E" w14:textId="77777777" w:rsidR="00550152" w:rsidRDefault="00550152" w:rsidP="008E77CA">
            <w:pPr>
              <w:spacing w:line="360" w:lineRule="auto"/>
              <w:jc w:val="left"/>
              <w:rPr>
                <w:rFonts w:ascii="Garamond" w:hAnsi="Garamond"/>
                <w:i w:val="0"/>
                <w:sz w:val="24"/>
                <w:szCs w:val="24"/>
              </w:rPr>
            </w:pPr>
            <w:r w:rsidRPr="0085355D">
              <w:rPr>
                <w:rFonts w:ascii="Garamond" w:hAnsi="Garamond"/>
                <w:b/>
                <w:i w:val="0"/>
                <w:sz w:val="24"/>
                <w:szCs w:val="24"/>
              </w:rPr>
              <w:t>Governance/ Institutional Quality (KKM):</w:t>
            </w:r>
            <w:r w:rsidRPr="0085355D">
              <w:rPr>
                <w:rFonts w:ascii="Garamond" w:hAnsi="Garamond"/>
                <w:i w:val="0"/>
                <w:sz w:val="24"/>
                <w:szCs w:val="24"/>
              </w:rPr>
              <w:t xml:space="preserve"> We take the first principal component of the WGI developed by Daniel </w:t>
            </w:r>
            <w:hyperlink r:id="rId9" w:history="1">
              <w:r w:rsidR="00E903A3">
                <w:rPr>
                  <w:rFonts w:ascii="Garamond" w:hAnsi="Garamond"/>
                  <w:i w:val="0"/>
                  <w:sz w:val="24"/>
                  <w:szCs w:val="24"/>
                </w:rPr>
                <w:t xml:space="preserve">Kaufmann, </w:t>
              </w:r>
              <w:proofErr w:type="spellStart"/>
              <w:r w:rsidR="00E903A3">
                <w:rPr>
                  <w:rFonts w:ascii="Garamond" w:hAnsi="Garamond"/>
                  <w:i w:val="0"/>
                  <w:sz w:val="24"/>
                  <w:szCs w:val="24"/>
                </w:rPr>
                <w:t>Aart</w:t>
              </w:r>
              <w:proofErr w:type="spellEnd"/>
              <w:r w:rsidR="00E903A3">
                <w:rPr>
                  <w:rFonts w:ascii="Garamond" w:hAnsi="Garamond"/>
                  <w:i w:val="0"/>
                  <w:sz w:val="24"/>
                  <w:szCs w:val="24"/>
                </w:rPr>
                <w:t xml:space="preserve"> </w:t>
              </w:r>
              <w:proofErr w:type="spellStart"/>
              <w:r w:rsidR="00E903A3">
                <w:rPr>
                  <w:rFonts w:ascii="Garamond" w:hAnsi="Garamond"/>
                  <w:i w:val="0"/>
                  <w:sz w:val="24"/>
                  <w:szCs w:val="24"/>
                </w:rPr>
                <w:t>Kraay</w:t>
              </w:r>
              <w:proofErr w:type="spellEnd"/>
              <w:r w:rsidR="00E903A3">
                <w:rPr>
                  <w:rFonts w:ascii="Garamond" w:hAnsi="Garamond"/>
                  <w:i w:val="0"/>
                  <w:sz w:val="24"/>
                  <w:szCs w:val="24"/>
                </w:rPr>
                <w:t xml:space="preserve">, and Massimo </w:t>
              </w:r>
              <w:proofErr w:type="spellStart"/>
              <w:r w:rsidR="00E903A3">
                <w:rPr>
                  <w:rFonts w:ascii="Garamond" w:hAnsi="Garamond"/>
                  <w:i w:val="0"/>
                  <w:sz w:val="24"/>
                  <w:szCs w:val="24"/>
                </w:rPr>
                <w:t>Mastruzzi</w:t>
              </w:r>
              <w:proofErr w:type="spellEnd"/>
            </w:hyperlink>
            <w:r w:rsidRPr="0085355D">
              <w:rPr>
                <w:rFonts w:ascii="Garamond" w:hAnsi="Garamond"/>
                <w:i w:val="0"/>
                <w:sz w:val="24"/>
                <w:szCs w:val="24"/>
              </w:rPr>
              <w:t xml:space="preserve"> (KKM) </w:t>
            </w:r>
            <w:r w:rsidRPr="0085355D">
              <w:rPr>
                <w:rFonts w:ascii="Garamond" w:hAnsi="Garamond"/>
                <w:sz w:val="24"/>
                <w:szCs w:val="24"/>
              </w:rPr>
              <w:t>(See note 3).</w:t>
            </w:r>
            <w:r w:rsidRPr="0085355D">
              <w:rPr>
                <w:rFonts w:ascii="Garamond" w:hAnsi="Garamond"/>
                <w:i w:val="0"/>
                <w:sz w:val="24"/>
                <w:szCs w:val="24"/>
              </w:rPr>
              <w:t xml:space="preserve"> </w:t>
            </w:r>
          </w:p>
          <w:p w14:paraId="5B5EEF79" w14:textId="77777777" w:rsidR="00A709E7" w:rsidRPr="0085355D" w:rsidRDefault="00A709E7" w:rsidP="008E77CA">
            <w:pPr>
              <w:spacing w:line="360" w:lineRule="auto"/>
              <w:jc w:val="left"/>
              <w:rPr>
                <w:rFonts w:ascii="Garamond" w:hAnsi="Garamond"/>
                <w:i w:val="0"/>
                <w:sz w:val="24"/>
                <w:szCs w:val="24"/>
              </w:rPr>
            </w:pPr>
          </w:p>
        </w:tc>
      </w:tr>
      <w:tr w:rsidR="00550152" w:rsidRPr="0085355D" w14:paraId="3AF47ABA" w14:textId="77777777" w:rsidTr="00C924E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377F6DAF" w14:textId="6A9D79ED" w:rsidR="00550152" w:rsidRDefault="00550152" w:rsidP="008E77CA">
            <w:pPr>
              <w:spacing w:line="360" w:lineRule="auto"/>
              <w:jc w:val="left"/>
              <w:rPr>
                <w:rFonts w:ascii="Garamond" w:hAnsi="Garamond"/>
                <w:bCs/>
                <w:sz w:val="24"/>
                <w:szCs w:val="24"/>
              </w:rPr>
            </w:pPr>
            <w:r w:rsidRPr="0085355D">
              <w:rPr>
                <w:rFonts w:ascii="Garamond" w:hAnsi="Garamond"/>
                <w:b/>
                <w:i w:val="0"/>
                <w:sz w:val="24"/>
                <w:szCs w:val="24"/>
              </w:rPr>
              <w:t>Education (EDUC):</w:t>
            </w:r>
            <w:r w:rsidRPr="0085355D">
              <w:rPr>
                <w:rFonts w:ascii="Garamond" w:hAnsi="Garamond"/>
                <w:i w:val="0"/>
                <w:sz w:val="24"/>
                <w:szCs w:val="24"/>
              </w:rPr>
              <w:t xml:space="preserve"> </w:t>
            </w:r>
            <w:r w:rsidRPr="0085355D">
              <w:rPr>
                <w:rFonts w:ascii="Garamond" w:hAnsi="Garamond"/>
                <w:bCs/>
                <w:i w:val="0"/>
                <w:sz w:val="24"/>
                <w:szCs w:val="24"/>
              </w:rPr>
              <w:t xml:space="preserve">The indicator is a ratio of the gross enrolment in secondary school to the gross primary school enrolment as defined in the literature </w:t>
            </w:r>
            <w:r w:rsidRPr="0085355D">
              <w:rPr>
                <w:rFonts w:ascii="Garamond" w:hAnsi="Garamond"/>
                <w:bCs/>
                <w:sz w:val="24"/>
                <w:szCs w:val="24"/>
              </w:rPr>
              <w:fldChar w:fldCharType="begin"/>
            </w:r>
            <w:r w:rsidR="00DC5153">
              <w:rPr>
                <w:rFonts w:ascii="Garamond" w:hAnsi="Garamond"/>
                <w:bCs/>
                <w:sz w:val="24"/>
                <w:szCs w:val="24"/>
              </w:rPr>
              <w:instrText xml:space="preserve"> ADDIN EN.CITE &lt;EndNote&gt;&lt;Cite&gt;&lt;Author&gt;Allen&lt;/Author&gt;&lt;Year&gt;2014&lt;/Year&gt;&lt;RecNum&gt;466&lt;/RecNum&gt;&lt;DisplayText&gt;(Allen et al., 2014, Allen et al., 2013)&lt;/DisplayText&gt;&lt;record&gt;&lt;rec-number&gt;466&lt;/rec-number&gt;&lt;foreign-keys&gt;&lt;key app="EN" db-id="wds9909saar09se5x9txwfw7ax9wfe2ftrt2" timestamp="1555849956"&gt;466&lt;/key&gt;&lt;/foreign-keys&gt;&lt;ref-type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Cite&gt;&lt;Author&gt;Allen&lt;/Author&gt;&lt;Year&gt;2013&lt;/Year&gt;&lt;RecNum&gt;465&lt;/RecNum&gt;&lt;record&gt;&lt;rec-number&gt;465&lt;/rec-number&gt;&lt;foreign-keys&gt;&lt;key app="EN" db-id="wds9909saar09se5x9txwfw7ax9wfe2ftrt2" timestamp="1555849867"&gt;465&lt;/key&gt;&lt;/foreign-keys&gt;&lt;ref-type name="Book"&gt;6&lt;/ref-type&gt;&lt;contributors&gt;&lt;authors&gt;&lt;author&gt;Allen,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Patricio&lt;/author&gt;&lt;/authors&gt;&lt;/contributors&gt;&lt;titles&gt;&lt;title&gt;Resolving the African financial development gap: Cross-country comparisons and a within-country study of Kenya&lt;/title&gt;&lt;/titles&gt;&lt;dates&gt;&lt;year&gt;2013&lt;/year&gt;&lt;/dates&gt;&lt;pub-location&gt;New York&lt;/pub-location&gt;&lt;publisher&gt;The World Bank&lt;/publisher&gt;&lt;isbn&gt;1813-9450&lt;/isbn&gt;&lt;urls&gt;&lt;/urls&gt;&lt;/record&gt;&lt;/Cite&gt;&lt;/EndNote&gt;</w:instrText>
            </w:r>
            <w:r w:rsidRPr="0085355D">
              <w:rPr>
                <w:rFonts w:ascii="Garamond" w:hAnsi="Garamond"/>
                <w:bCs/>
                <w:sz w:val="24"/>
                <w:szCs w:val="24"/>
              </w:rPr>
              <w:fldChar w:fldCharType="separate"/>
            </w:r>
            <w:r w:rsidR="00DC5153">
              <w:rPr>
                <w:rFonts w:ascii="Garamond" w:hAnsi="Garamond"/>
                <w:bCs/>
                <w:noProof/>
                <w:sz w:val="24"/>
                <w:szCs w:val="24"/>
              </w:rPr>
              <w:t>(Allen et al., 2014, Allen et al., 2013)</w:t>
            </w:r>
            <w:r w:rsidRPr="0085355D">
              <w:rPr>
                <w:rFonts w:ascii="Garamond" w:hAnsi="Garamond"/>
                <w:bCs/>
                <w:sz w:val="24"/>
                <w:szCs w:val="24"/>
              </w:rPr>
              <w:fldChar w:fldCharType="end"/>
            </w:r>
            <w:r w:rsidR="00A709E7">
              <w:rPr>
                <w:rFonts w:ascii="Garamond" w:hAnsi="Garamond"/>
                <w:bCs/>
                <w:sz w:val="24"/>
                <w:szCs w:val="24"/>
              </w:rPr>
              <w:t>.</w:t>
            </w:r>
          </w:p>
          <w:p w14:paraId="2E9F93C3" w14:textId="77777777" w:rsidR="00A709E7" w:rsidRPr="0085355D" w:rsidRDefault="00A709E7" w:rsidP="008E77CA">
            <w:pPr>
              <w:spacing w:line="360" w:lineRule="auto"/>
              <w:jc w:val="left"/>
              <w:rPr>
                <w:rFonts w:ascii="Garamond" w:hAnsi="Garamond"/>
                <w:i w:val="0"/>
                <w:sz w:val="24"/>
                <w:szCs w:val="24"/>
              </w:rPr>
            </w:pPr>
          </w:p>
        </w:tc>
      </w:tr>
      <w:tr w:rsidR="00542E2B" w:rsidRPr="0085355D" w14:paraId="1C99EED7" w14:textId="77777777" w:rsidTr="00C92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right w:val="single" w:sz="4" w:space="0" w:color="auto"/>
            </w:tcBorders>
          </w:tcPr>
          <w:p w14:paraId="50151812" w14:textId="3C85BE64" w:rsidR="00542E2B" w:rsidRDefault="00542E2B" w:rsidP="008E77CA">
            <w:pPr>
              <w:spacing w:line="360" w:lineRule="auto"/>
              <w:jc w:val="left"/>
              <w:rPr>
                <w:rFonts w:ascii="Garamond" w:hAnsi="Garamond"/>
                <w:b/>
                <w:i w:val="0"/>
                <w:sz w:val="24"/>
                <w:szCs w:val="24"/>
              </w:rPr>
            </w:pPr>
            <w:r w:rsidRPr="00423AA8">
              <w:rPr>
                <w:rFonts w:ascii="Garamond" w:hAnsi="Garamond"/>
                <w:b/>
                <w:i w:val="0"/>
                <w:sz w:val="24"/>
                <w:szCs w:val="24"/>
              </w:rPr>
              <w:t xml:space="preserve">Current Legal status: </w:t>
            </w:r>
            <w:r w:rsidR="00785D8B" w:rsidRPr="00785D8B">
              <w:rPr>
                <w:rFonts w:ascii="Garamond" w:hAnsi="Garamond"/>
                <w:i w:val="0"/>
                <w:sz w:val="24"/>
                <w:szCs w:val="24"/>
              </w:rPr>
              <w:t>We assign codes to each of the MFI legal types; NGOs, NBFIs, Credit unions/ Cooperatives, Rural Banks,</w:t>
            </w:r>
            <w:r w:rsidR="00785D8B">
              <w:rPr>
                <w:rFonts w:ascii="Garamond" w:hAnsi="Garamond"/>
                <w:b/>
                <w:i w:val="0"/>
                <w:sz w:val="24"/>
                <w:szCs w:val="24"/>
              </w:rPr>
              <w:t xml:space="preserve"> </w:t>
            </w:r>
            <w:r w:rsidR="00785D8B" w:rsidRPr="00785D8B">
              <w:rPr>
                <w:rFonts w:ascii="Garamond" w:hAnsi="Garamond"/>
                <w:i w:val="0"/>
                <w:sz w:val="24"/>
                <w:szCs w:val="24"/>
              </w:rPr>
              <w:t>and others.</w:t>
            </w:r>
            <w:r w:rsidR="00785D8B">
              <w:rPr>
                <w:rFonts w:ascii="Garamond" w:hAnsi="Garamond"/>
                <w:b/>
                <w:i w:val="0"/>
                <w:sz w:val="24"/>
                <w:szCs w:val="24"/>
              </w:rPr>
              <w:t xml:space="preserve">  </w:t>
            </w:r>
            <w:r w:rsidR="00785D8B" w:rsidRPr="00785D8B">
              <w:rPr>
                <w:rFonts w:ascii="Garamond" w:hAnsi="Garamond"/>
                <w:i w:val="0"/>
                <w:sz w:val="24"/>
                <w:szCs w:val="24"/>
              </w:rPr>
              <w:t>Th</w:t>
            </w:r>
            <w:r w:rsidR="00785D8B">
              <w:rPr>
                <w:rFonts w:ascii="Garamond" w:hAnsi="Garamond"/>
                <w:i w:val="0"/>
                <w:sz w:val="24"/>
                <w:szCs w:val="24"/>
              </w:rPr>
              <w:t>e</w:t>
            </w:r>
            <w:r w:rsidR="00785D8B" w:rsidRPr="00785D8B">
              <w:rPr>
                <w:rFonts w:ascii="Garamond" w:hAnsi="Garamond"/>
                <w:i w:val="0"/>
                <w:sz w:val="24"/>
                <w:szCs w:val="24"/>
              </w:rPr>
              <w:t xml:space="preserve"> data comes from MIX.</w:t>
            </w:r>
            <w:r w:rsidR="00785D8B">
              <w:rPr>
                <w:rFonts w:ascii="Garamond" w:hAnsi="Garamond"/>
                <w:b/>
                <w:i w:val="0"/>
                <w:sz w:val="24"/>
                <w:szCs w:val="24"/>
              </w:rPr>
              <w:t xml:space="preserve"> </w:t>
            </w:r>
          </w:p>
          <w:p w14:paraId="544956F6" w14:textId="77777777" w:rsidR="00A709E7" w:rsidRPr="00423AA8" w:rsidRDefault="00A709E7" w:rsidP="008E77CA">
            <w:pPr>
              <w:spacing w:line="360" w:lineRule="auto"/>
              <w:jc w:val="left"/>
              <w:rPr>
                <w:rFonts w:ascii="Garamond" w:hAnsi="Garamond"/>
                <w:b/>
                <w:i w:val="0"/>
                <w:sz w:val="24"/>
                <w:szCs w:val="24"/>
              </w:rPr>
            </w:pPr>
          </w:p>
        </w:tc>
      </w:tr>
      <w:tr w:rsidR="00550152" w:rsidRPr="0085355D" w14:paraId="50BC3D5E" w14:textId="77777777" w:rsidTr="00C924ED">
        <w:tc>
          <w:tcPr>
            <w:cnfStyle w:val="001000000000" w:firstRow="0" w:lastRow="0" w:firstColumn="1" w:lastColumn="0" w:oddVBand="0" w:evenVBand="0" w:oddHBand="0" w:evenHBand="0" w:firstRowFirstColumn="0" w:firstRowLastColumn="0" w:lastRowFirstColumn="0" w:lastRowLastColumn="0"/>
            <w:tcW w:w="9016" w:type="dxa"/>
            <w:tcBorders>
              <w:left w:val="single" w:sz="4" w:space="0" w:color="auto"/>
              <w:bottom w:val="single" w:sz="4" w:space="0" w:color="auto"/>
              <w:right w:val="single" w:sz="4" w:space="0" w:color="auto"/>
            </w:tcBorders>
          </w:tcPr>
          <w:p w14:paraId="586C6EEB" w14:textId="77777777" w:rsidR="00550152" w:rsidRPr="0085355D" w:rsidRDefault="00550152" w:rsidP="008E77CA">
            <w:pPr>
              <w:pBdr>
                <w:top w:val="single" w:sz="4" w:space="1" w:color="auto"/>
              </w:pBdr>
              <w:spacing w:line="360" w:lineRule="auto"/>
              <w:jc w:val="left"/>
              <w:rPr>
                <w:rFonts w:ascii="Garamond" w:hAnsi="Garamond"/>
                <w:b/>
                <w:i w:val="0"/>
                <w:sz w:val="24"/>
                <w:szCs w:val="24"/>
              </w:rPr>
            </w:pPr>
            <w:r w:rsidRPr="0085355D">
              <w:rPr>
                <w:rFonts w:ascii="Garamond" w:hAnsi="Garamond"/>
                <w:b/>
                <w:i w:val="0"/>
                <w:sz w:val="24"/>
                <w:szCs w:val="24"/>
              </w:rPr>
              <w:t>Notes:</w:t>
            </w:r>
          </w:p>
          <w:p w14:paraId="52E80BC8" w14:textId="77777777" w:rsidR="00550152" w:rsidRPr="0085355D" w:rsidRDefault="00550152" w:rsidP="008E77CA">
            <w:pPr>
              <w:pStyle w:val="ListParagraph"/>
              <w:numPr>
                <w:ilvl w:val="0"/>
                <w:numId w:val="8"/>
              </w:numPr>
              <w:spacing w:line="360" w:lineRule="auto"/>
              <w:ind w:left="454"/>
              <w:jc w:val="left"/>
              <w:rPr>
                <w:rFonts w:ascii="Garamond" w:hAnsi="Garamond"/>
                <w:bCs/>
                <w:i w:val="0"/>
                <w:sz w:val="24"/>
                <w:szCs w:val="24"/>
              </w:rPr>
            </w:pPr>
            <w:r w:rsidRPr="0085355D">
              <w:rPr>
                <w:rFonts w:ascii="Garamond" w:hAnsi="Garamond"/>
                <w:bCs/>
                <w:i w:val="0"/>
                <w:sz w:val="24"/>
                <w:szCs w:val="24"/>
              </w:rPr>
              <w:t xml:space="preserve">The Microfinance Information Exchange (MIX) data on microfinance institutions across the globe, </w:t>
            </w:r>
            <w:hyperlink r:id="rId10" w:history="1">
              <w:r w:rsidRPr="0085355D">
                <w:rPr>
                  <w:rStyle w:val="Hyperlink"/>
                  <w:rFonts w:ascii="Garamond" w:hAnsi="Garamond"/>
                  <w:bCs/>
                  <w:i w:val="0"/>
                  <w:sz w:val="24"/>
                  <w:szCs w:val="24"/>
                </w:rPr>
                <w:t>www.themix.org</w:t>
              </w:r>
            </w:hyperlink>
            <w:r w:rsidRPr="0085355D">
              <w:rPr>
                <w:rFonts w:ascii="Garamond" w:hAnsi="Garamond"/>
                <w:bCs/>
                <w:i w:val="0"/>
                <w:sz w:val="24"/>
                <w:szCs w:val="24"/>
              </w:rPr>
              <w:t>.</w:t>
            </w:r>
          </w:p>
          <w:p w14:paraId="2B18CC67" w14:textId="77777777" w:rsidR="00550152" w:rsidRPr="0085355D" w:rsidRDefault="00550152" w:rsidP="008E77CA">
            <w:pPr>
              <w:pStyle w:val="ListParagraph"/>
              <w:numPr>
                <w:ilvl w:val="0"/>
                <w:numId w:val="8"/>
              </w:numPr>
              <w:spacing w:line="360" w:lineRule="auto"/>
              <w:ind w:left="454"/>
              <w:jc w:val="left"/>
              <w:rPr>
                <w:rFonts w:ascii="Garamond" w:hAnsi="Garamond"/>
                <w:bCs/>
                <w:i w:val="0"/>
                <w:sz w:val="24"/>
                <w:szCs w:val="24"/>
              </w:rPr>
            </w:pPr>
            <w:r w:rsidRPr="0085355D">
              <w:rPr>
                <w:rFonts w:ascii="Garamond" w:hAnsi="Garamond"/>
                <w:bCs/>
                <w:i w:val="0"/>
                <w:sz w:val="24"/>
                <w:szCs w:val="24"/>
              </w:rPr>
              <w:t xml:space="preserve">The World Development Indicators (WDI) database of the World Bank is available at, </w:t>
            </w:r>
            <w:hyperlink r:id="rId11" w:history="1">
              <w:r w:rsidRPr="0085355D">
                <w:rPr>
                  <w:rStyle w:val="Hyperlink"/>
                  <w:rFonts w:ascii="Garamond" w:hAnsi="Garamond"/>
                  <w:bCs/>
                  <w:i w:val="0"/>
                  <w:sz w:val="24"/>
                  <w:szCs w:val="24"/>
                </w:rPr>
                <w:t>https://databank.worldbank.org/source/world-development-indicators</w:t>
              </w:r>
            </w:hyperlink>
            <w:r w:rsidRPr="0085355D">
              <w:rPr>
                <w:rFonts w:ascii="Garamond" w:hAnsi="Garamond"/>
                <w:bCs/>
                <w:i w:val="0"/>
                <w:sz w:val="24"/>
                <w:szCs w:val="24"/>
              </w:rPr>
              <w:t>.</w:t>
            </w:r>
          </w:p>
          <w:p w14:paraId="71664F9A" w14:textId="77777777" w:rsidR="00550152" w:rsidRPr="0085355D" w:rsidRDefault="00550152" w:rsidP="008E77CA">
            <w:pPr>
              <w:pStyle w:val="ListParagraph"/>
              <w:numPr>
                <w:ilvl w:val="0"/>
                <w:numId w:val="8"/>
              </w:numPr>
              <w:spacing w:line="360" w:lineRule="auto"/>
              <w:ind w:left="454"/>
              <w:jc w:val="left"/>
              <w:rPr>
                <w:rFonts w:ascii="Garamond" w:hAnsi="Garamond"/>
                <w:bCs/>
                <w:i w:val="0"/>
                <w:sz w:val="24"/>
                <w:szCs w:val="24"/>
              </w:rPr>
            </w:pPr>
            <w:r w:rsidRPr="0085355D">
              <w:rPr>
                <w:rFonts w:ascii="Garamond" w:hAnsi="Garamond"/>
                <w:bCs/>
                <w:i w:val="0"/>
                <w:sz w:val="24"/>
                <w:szCs w:val="24"/>
              </w:rPr>
              <w:t xml:space="preserve">The Worldwide Governance Indicators (WGI), of the World Bank, is available at </w:t>
            </w:r>
            <w:hyperlink r:id="rId12" w:history="1">
              <w:r w:rsidRPr="0085355D">
                <w:rPr>
                  <w:rStyle w:val="Hyperlink"/>
                  <w:rFonts w:ascii="Garamond" w:hAnsi="Garamond"/>
                  <w:bCs/>
                  <w:i w:val="0"/>
                  <w:sz w:val="24"/>
                  <w:szCs w:val="24"/>
                </w:rPr>
                <w:t>https://databank.worldbank.org/source/worldwide-governance-indicators</w:t>
              </w:r>
            </w:hyperlink>
            <w:r w:rsidRPr="0085355D">
              <w:rPr>
                <w:rFonts w:ascii="Garamond" w:hAnsi="Garamond"/>
                <w:bCs/>
                <w:i w:val="0"/>
                <w:sz w:val="24"/>
                <w:szCs w:val="24"/>
              </w:rPr>
              <w:t>.</w:t>
            </w:r>
          </w:p>
          <w:p w14:paraId="7D08AC05" w14:textId="77777777" w:rsidR="00550152" w:rsidRPr="0085355D" w:rsidRDefault="00550152" w:rsidP="008E77CA">
            <w:pPr>
              <w:pStyle w:val="ListParagraph"/>
              <w:numPr>
                <w:ilvl w:val="0"/>
                <w:numId w:val="8"/>
              </w:numPr>
              <w:spacing w:line="360" w:lineRule="auto"/>
              <w:ind w:left="454"/>
              <w:jc w:val="left"/>
              <w:rPr>
                <w:rFonts w:ascii="Garamond" w:hAnsi="Garamond"/>
                <w:bCs/>
                <w:i w:val="0"/>
                <w:sz w:val="24"/>
                <w:szCs w:val="24"/>
              </w:rPr>
            </w:pPr>
            <w:r w:rsidRPr="0085355D">
              <w:rPr>
                <w:rFonts w:ascii="Garamond" w:hAnsi="Garamond"/>
                <w:bCs/>
                <w:i w:val="0"/>
                <w:sz w:val="24"/>
                <w:szCs w:val="24"/>
              </w:rPr>
              <w:t xml:space="preserve">Global Financial Development Database of the  World Bank available at </w:t>
            </w:r>
            <w:hyperlink r:id="rId13" w:history="1">
              <w:r w:rsidRPr="0085355D">
                <w:rPr>
                  <w:rStyle w:val="Hyperlink"/>
                  <w:rFonts w:ascii="Garamond" w:hAnsi="Garamond"/>
                  <w:bCs/>
                  <w:i w:val="0"/>
                  <w:sz w:val="24"/>
                  <w:szCs w:val="24"/>
                </w:rPr>
                <w:t>https://www.worldbank.org/en/publication/gfdr/data/global-financial-development-database</w:t>
              </w:r>
            </w:hyperlink>
          </w:p>
        </w:tc>
      </w:tr>
    </w:tbl>
    <w:p w14:paraId="608B1B3C" w14:textId="77777777" w:rsidR="00550152" w:rsidRDefault="00550152" w:rsidP="0085184E">
      <w:pPr>
        <w:spacing w:line="360" w:lineRule="auto"/>
        <w:rPr>
          <w:rFonts w:ascii="Garamond" w:hAnsi="Garamond"/>
          <w:sz w:val="24"/>
          <w:szCs w:val="24"/>
        </w:rPr>
      </w:pPr>
    </w:p>
    <w:p w14:paraId="53A0AFB4" w14:textId="77777777" w:rsidR="00F44AF8" w:rsidRDefault="00F44AF8" w:rsidP="008E77CA">
      <w:pPr>
        <w:pStyle w:val="Heading2"/>
        <w:spacing w:line="360" w:lineRule="auto"/>
      </w:pPr>
      <w:r>
        <w:t>Preliminary Output</w:t>
      </w:r>
    </w:p>
    <w:p w14:paraId="56815D3D" w14:textId="77777777" w:rsidR="00E72A5C" w:rsidRPr="006F65A4" w:rsidRDefault="00F44AF8" w:rsidP="006F65A4">
      <w:pPr>
        <w:spacing w:line="360" w:lineRule="auto"/>
        <w:jc w:val="both"/>
        <w:rPr>
          <w:rFonts w:ascii="Garamond" w:hAnsi="Garamond"/>
          <w:sz w:val="24"/>
          <w:szCs w:val="24"/>
        </w:rPr>
      </w:pPr>
      <w:r>
        <w:rPr>
          <w:rFonts w:ascii="Garamond" w:hAnsi="Garamond"/>
          <w:sz w:val="24"/>
          <w:szCs w:val="24"/>
        </w:rPr>
        <w:t>In this section, we present the results of the model.</w:t>
      </w:r>
      <w:r w:rsidR="00764538">
        <w:rPr>
          <w:rFonts w:ascii="Garamond" w:hAnsi="Garamond"/>
          <w:sz w:val="24"/>
          <w:szCs w:val="24"/>
        </w:rPr>
        <w:t xml:space="preserve"> We start with descriptive statistics by tabulating the summary statistics and correlation matrix. </w:t>
      </w:r>
      <w:r w:rsidR="00314A6E">
        <w:rPr>
          <w:rFonts w:ascii="Garamond" w:hAnsi="Garamond"/>
          <w:sz w:val="24"/>
          <w:szCs w:val="24"/>
        </w:rPr>
        <w:t xml:space="preserve"> Next, we show t</w:t>
      </w:r>
      <w:r w:rsidR="00A764FA">
        <w:rPr>
          <w:rFonts w:ascii="Garamond" w:hAnsi="Garamond"/>
          <w:sz w:val="24"/>
          <w:szCs w:val="24"/>
        </w:rPr>
        <w:t>h</w:t>
      </w:r>
      <w:r w:rsidR="00314A6E">
        <w:rPr>
          <w:rFonts w:ascii="Garamond" w:hAnsi="Garamond"/>
          <w:sz w:val="24"/>
          <w:szCs w:val="24"/>
        </w:rPr>
        <w:t xml:space="preserve">e results of stationarity tests for the variables. We then visualise the data on various bases and make comparisons. </w:t>
      </w:r>
      <w:r w:rsidR="00A764FA">
        <w:rPr>
          <w:rFonts w:ascii="Garamond" w:hAnsi="Garamond"/>
          <w:sz w:val="24"/>
          <w:szCs w:val="24"/>
        </w:rPr>
        <w:t>Lastly, we show the results of the regression</w:t>
      </w:r>
      <w:r w:rsidR="008E77CA">
        <w:rPr>
          <w:rFonts w:ascii="Garamond" w:hAnsi="Garamond"/>
          <w:sz w:val="24"/>
          <w:szCs w:val="24"/>
        </w:rPr>
        <w:t>,</w:t>
      </w:r>
      <w:r w:rsidR="00A764FA">
        <w:rPr>
          <w:rFonts w:ascii="Garamond" w:hAnsi="Garamond"/>
          <w:sz w:val="24"/>
          <w:szCs w:val="24"/>
        </w:rPr>
        <w:t xml:space="preserve"> followed by a discussion of the results. </w:t>
      </w:r>
    </w:p>
    <w:p w14:paraId="3BE2C6A0" w14:textId="77777777" w:rsidR="00485121" w:rsidRPr="009475AD" w:rsidRDefault="00485121" w:rsidP="009475AD">
      <w:pPr>
        <w:rPr>
          <w:rFonts w:ascii="Garamond" w:hAnsi="Garamond"/>
          <w:sz w:val="24"/>
          <w:szCs w:val="24"/>
        </w:rPr>
        <w:sectPr w:rsidR="00485121" w:rsidRPr="009475AD">
          <w:footerReference w:type="default" r:id="rId14"/>
          <w:pgSz w:w="11906" w:h="16838"/>
          <w:pgMar w:top="1440" w:right="1440" w:bottom="1440" w:left="1440" w:header="708" w:footer="708" w:gutter="0"/>
          <w:cols w:space="708"/>
          <w:docGrid w:linePitch="360"/>
        </w:sectPr>
      </w:pPr>
    </w:p>
    <w:p w14:paraId="05EABD53" w14:textId="77777777" w:rsidR="006F65A4" w:rsidRDefault="006F65A4" w:rsidP="00954A44">
      <w:pPr>
        <w:pStyle w:val="Caption"/>
        <w:spacing w:line="360" w:lineRule="auto"/>
        <w:rPr>
          <w:b/>
          <w:color w:val="auto"/>
          <w:sz w:val="24"/>
          <w:szCs w:val="24"/>
        </w:rPr>
      </w:pPr>
      <w:r>
        <w:rPr>
          <w:b/>
          <w:color w:val="auto"/>
          <w:sz w:val="24"/>
          <w:szCs w:val="24"/>
        </w:rPr>
        <w:lastRenderedPageBreak/>
        <w:t>Descriptive Statistics</w:t>
      </w:r>
    </w:p>
    <w:p w14:paraId="196DBA6C" w14:textId="77777777" w:rsidR="00485121" w:rsidRPr="00224C29" w:rsidRDefault="00443F91" w:rsidP="00954A44">
      <w:pPr>
        <w:pStyle w:val="Caption"/>
        <w:spacing w:line="360" w:lineRule="auto"/>
        <w:rPr>
          <w:b/>
          <w:color w:val="auto"/>
          <w:sz w:val="24"/>
          <w:szCs w:val="24"/>
        </w:rPr>
      </w:pPr>
      <w:r w:rsidRPr="00443F91">
        <w:rPr>
          <w:b/>
          <w:color w:val="auto"/>
          <w:sz w:val="24"/>
          <w:szCs w:val="24"/>
        </w:rPr>
        <w:t xml:space="preserve">Table </w:t>
      </w:r>
      <w:r w:rsidRPr="00443F91">
        <w:rPr>
          <w:b/>
          <w:color w:val="auto"/>
          <w:sz w:val="24"/>
          <w:szCs w:val="24"/>
        </w:rPr>
        <w:fldChar w:fldCharType="begin"/>
      </w:r>
      <w:r w:rsidRPr="00443F91">
        <w:rPr>
          <w:b/>
          <w:color w:val="auto"/>
          <w:sz w:val="24"/>
          <w:szCs w:val="24"/>
        </w:rPr>
        <w:instrText xml:space="preserve"> SEQ Table \* ARABIC </w:instrText>
      </w:r>
      <w:r w:rsidRPr="00443F91">
        <w:rPr>
          <w:b/>
          <w:color w:val="auto"/>
          <w:sz w:val="24"/>
          <w:szCs w:val="24"/>
        </w:rPr>
        <w:fldChar w:fldCharType="separate"/>
      </w:r>
      <w:r w:rsidR="0022605C">
        <w:rPr>
          <w:b/>
          <w:noProof/>
          <w:color w:val="auto"/>
          <w:sz w:val="24"/>
          <w:szCs w:val="24"/>
        </w:rPr>
        <w:t>3</w:t>
      </w:r>
      <w:r w:rsidRPr="00443F91">
        <w:rPr>
          <w:b/>
          <w:color w:val="auto"/>
          <w:sz w:val="24"/>
          <w:szCs w:val="24"/>
        </w:rPr>
        <w:fldChar w:fldCharType="end"/>
      </w:r>
      <w:r w:rsidR="00485121" w:rsidRPr="00224C29">
        <w:rPr>
          <w:b/>
          <w:color w:val="auto"/>
          <w:sz w:val="24"/>
          <w:szCs w:val="24"/>
        </w:rPr>
        <w:t>: Descriptive Statistics and Correlation Matrix</w:t>
      </w:r>
    </w:p>
    <w:tbl>
      <w:tblPr>
        <w:tblW w:w="5000" w:type="pct"/>
        <w:tblLook w:val="0000" w:firstRow="0" w:lastRow="0" w:firstColumn="0" w:lastColumn="0" w:noHBand="0" w:noVBand="0"/>
      </w:tblPr>
      <w:tblGrid>
        <w:gridCol w:w="3766"/>
        <w:gridCol w:w="114"/>
        <w:gridCol w:w="117"/>
        <w:gridCol w:w="748"/>
        <w:gridCol w:w="762"/>
        <w:gridCol w:w="628"/>
        <w:gridCol w:w="804"/>
        <w:gridCol w:w="745"/>
        <w:gridCol w:w="687"/>
        <w:gridCol w:w="687"/>
        <w:gridCol w:w="687"/>
        <w:gridCol w:w="687"/>
        <w:gridCol w:w="687"/>
        <w:gridCol w:w="687"/>
        <w:gridCol w:w="687"/>
        <w:gridCol w:w="637"/>
        <w:gridCol w:w="606"/>
        <w:gridCol w:w="223"/>
      </w:tblGrid>
      <w:tr w:rsidR="00E91856" w:rsidRPr="00224C29" w14:paraId="092EA9ED" w14:textId="77777777" w:rsidTr="00E91856">
        <w:trPr>
          <w:gridAfter w:val="1"/>
          <w:wAfter w:w="80" w:type="pct"/>
        </w:trPr>
        <w:tc>
          <w:tcPr>
            <w:tcW w:w="1390" w:type="pct"/>
            <w:gridSpan w:val="2"/>
            <w:tcBorders>
              <w:top w:val="single" w:sz="4" w:space="0" w:color="auto"/>
              <w:left w:val="nil"/>
              <w:bottom w:val="single" w:sz="10" w:space="0" w:color="auto"/>
              <w:right w:val="nil"/>
            </w:tcBorders>
          </w:tcPr>
          <w:p w14:paraId="21958D97" w14:textId="77777777" w:rsidR="00776172" w:rsidRPr="00224C29" w:rsidRDefault="00776172" w:rsidP="00954A44">
            <w:pPr>
              <w:widowControl w:val="0"/>
              <w:tabs>
                <w:tab w:val="right" w:pos="4037"/>
              </w:tabs>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Variables</w:t>
            </w:r>
            <w:r w:rsidRPr="00224C29">
              <w:rPr>
                <w:rFonts w:ascii="Garamond" w:hAnsi="Garamond" w:cs="Times New Roman"/>
                <w:sz w:val="20"/>
                <w:szCs w:val="20"/>
                <w:lang w:val="en-US"/>
              </w:rPr>
              <w:tab/>
            </w:r>
          </w:p>
        </w:tc>
        <w:tc>
          <w:tcPr>
            <w:tcW w:w="310" w:type="pct"/>
            <w:gridSpan w:val="2"/>
            <w:tcBorders>
              <w:top w:val="single" w:sz="4" w:space="0" w:color="auto"/>
              <w:bottom w:val="single" w:sz="4" w:space="0" w:color="auto"/>
            </w:tcBorders>
          </w:tcPr>
          <w:p w14:paraId="016590D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roofErr w:type="spellStart"/>
            <w:r w:rsidRPr="00224C29">
              <w:rPr>
                <w:rFonts w:ascii="Garamond" w:hAnsi="Garamond" w:cs="Times New Roman"/>
                <w:sz w:val="20"/>
                <w:szCs w:val="20"/>
                <w:lang w:val="en-US"/>
              </w:rPr>
              <w:t>Obs</w:t>
            </w:r>
            <w:proofErr w:type="spellEnd"/>
          </w:p>
        </w:tc>
        <w:tc>
          <w:tcPr>
            <w:tcW w:w="273" w:type="pct"/>
            <w:tcBorders>
              <w:top w:val="single" w:sz="4" w:space="0" w:color="auto"/>
              <w:bottom w:val="single" w:sz="4" w:space="0" w:color="auto"/>
            </w:tcBorders>
          </w:tcPr>
          <w:p w14:paraId="3072E179"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Mean    </w:t>
            </w:r>
          </w:p>
        </w:tc>
        <w:tc>
          <w:tcPr>
            <w:tcW w:w="225" w:type="pct"/>
            <w:tcBorders>
              <w:top w:val="single" w:sz="4" w:space="0" w:color="auto"/>
              <w:bottom w:val="single" w:sz="4" w:space="0" w:color="auto"/>
            </w:tcBorders>
          </w:tcPr>
          <w:p w14:paraId="4240B67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SD</w:t>
            </w:r>
          </w:p>
        </w:tc>
        <w:tc>
          <w:tcPr>
            <w:tcW w:w="288" w:type="pct"/>
            <w:tcBorders>
              <w:top w:val="single" w:sz="4" w:space="0" w:color="auto"/>
              <w:bottom w:val="single" w:sz="4" w:space="0" w:color="auto"/>
            </w:tcBorders>
          </w:tcPr>
          <w:p w14:paraId="47A52B4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Min</w:t>
            </w:r>
          </w:p>
        </w:tc>
        <w:tc>
          <w:tcPr>
            <w:tcW w:w="267" w:type="pct"/>
            <w:tcBorders>
              <w:top w:val="single" w:sz="4" w:space="0" w:color="auto"/>
              <w:bottom w:val="single" w:sz="4" w:space="0" w:color="auto"/>
            </w:tcBorders>
          </w:tcPr>
          <w:p w14:paraId="267AAA9F"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Max</w:t>
            </w:r>
          </w:p>
        </w:tc>
        <w:tc>
          <w:tcPr>
            <w:tcW w:w="246" w:type="pct"/>
            <w:tcBorders>
              <w:top w:val="single" w:sz="4" w:space="0" w:color="auto"/>
              <w:left w:val="nil"/>
              <w:bottom w:val="single" w:sz="10" w:space="0" w:color="auto"/>
              <w:right w:val="nil"/>
            </w:tcBorders>
          </w:tcPr>
          <w:p w14:paraId="4AF06F73"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  (1)</w:t>
            </w:r>
          </w:p>
        </w:tc>
        <w:tc>
          <w:tcPr>
            <w:tcW w:w="246" w:type="pct"/>
            <w:tcBorders>
              <w:top w:val="single" w:sz="4" w:space="0" w:color="auto"/>
              <w:left w:val="nil"/>
              <w:bottom w:val="single" w:sz="10" w:space="0" w:color="auto"/>
              <w:right w:val="nil"/>
            </w:tcBorders>
          </w:tcPr>
          <w:p w14:paraId="04F078E1"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  (2)</w:t>
            </w:r>
          </w:p>
        </w:tc>
        <w:tc>
          <w:tcPr>
            <w:tcW w:w="246" w:type="pct"/>
            <w:tcBorders>
              <w:top w:val="single" w:sz="4" w:space="0" w:color="auto"/>
              <w:left w:val="nil"/>
              <w:bottom w:val="single" w:sz="10" w:space="0" w:color="auto"/>
              <w:right w:val="nil"/>
            </w:tcBorders>
          </w:tcPr>
          <w:p w14:paraId="185A0B02"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  (3)</w:t>
            </w:r>
          </w:p>
        </w:tc>
        <w:tc>
          <w:tcPr>
            <w:tcW w:w="246" w:type="pct"/>
            <w:tcBorders>
              <w:top w:val="single" w:sz="4" w:space="0" w:color="auto"/>
              <w:left w:val="nil"/>
              <w:bottom w:val="single" w:sz="10" w:space="0" w:color="auto"/>
              <w:right w:val="nil"/>
            </w:tcBorders>
          </w:tcPr>
          <w:p w14:paraId="51651934"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  (4)</w:t>
            </w:r>
          </w:p>
        </w:tc>
        <w:tc>
          <w:tcPr>
            <w:tcW w:w="246" w:type="pct"/>
            <w:tcBorders>
              <w:top w:val="single" w:sz="4" w:space="0" w:color="auto"/>
              <w:left w:val="nil"/>
              <w:bottom w:val="single" w:sz="10" w:space="0" w:color="auto"/>
              <w:right w:val="nil"/>
            </w:tcBorders>
          </w:tcPr>
          <w:p w14:paraId="2E84B2B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  (5)</w:t>
            </w:r>
          </w:p>
        </w:tc>
        <w:tc>
          <w:tcPr>
            <w:tcW w:w="246" w:type="pct"/>
            <w:tcBorders>
              <w:top w:val="single" w:sz="4" w:space="0" w:color="auto"/>
              <w:left w:val="nil"/>
              <w:bottom w:val="single" w:sz="10" w:space="0" w:color="auto"/>
              <w:right w:val="nil"/>
            </w:tcBorders>
          </w:tcPr>
          <w:p w14:paraId="33C7D8C3"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  (6)</w:t>
            </w:r>
          </w:p>
        </w:tc>
        <w:tc>
          <w:tcPr>
            <w:tcW w:w="246" w:type="pct"/>
            <w:tcBorders>
              <w:top w:val="single" w:sz="4" w:space="0" w:color="auto"/>
              <w:left w:val="nil"/>
              <w:bottom w:val="single" w:sz="10" w:space="0" w:color="auto"/>
              <w:right w:val="nil"/>
            </w:tcBorders>
          </w:tcPr>
          <w:p w14:paraId="14D38DF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  (7)</w:t>
            </w:r>
          </w:p>
        </w:tc>
        <w:tc>
          <w:tcPr>
            <w:tcW w:w="225" w:type="pct"/>
            <w:tcBorders>
              <w:top w:val="single" w:sz="4" w:space="0" w:color="auto"/>
              <w:left w:val="nil"/>
              <w:bottom w:val="single" w:sz="10" w:space="0" w:color="auto"/>
              <w:right w:val="nil"/>
            </w:tcBorders>
          </w:tcPr>
          <w:p w14:paraId="12FA8132"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  (8)</w:t>
            </w:r>
          </w:p>
        </w:tc>
        <w:tc>
          <w:tcPr>
            <w:tcW w:w="217" w:type="pct"/>
            <w:tcBorders>
              <w:top w:val="single" w:sz="4" w:space="0" w:color="auto"/>
              <w:left w:val="nil"/>
              <w:bottom w:val="single" w:sz="10" w:space="0" w:color="auto"/>
              <w:right w:val="nil"/>
            </w:tcBorders>
          </w:tcPr>
          <w:p w14:paraId="2F3B18AE"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(9)</w:t>
            </w:r>
          </w:p>
        </w:tc>
      </w:tr>
      <w:tr w:rsidR="00E91856" w:rsidRPr="00224C29" w14:paraId="2E954905" w14:textId="77777777" w:rsidTr="00E91856">
        <w:trPr>
          <w:gridAfter w:val="8"/>
          <w:wAfter w:w="1754" w:type="pct"/>
        </w:trPr>
        <w:tc>
          <w:tcPr>
            <w:tcW w:w="1390" w:type="pct"/>
            <w:gridSpan w:val="2"/>
            <w:tcBorders>
              <w:top w:val="nil"/>
              <w:left w:val="nil"/>
              <w:bottom w:val="nil"/>
              <w:right w:val="nil"/>
            </w:tcBorders>
          </w:tcPr>
          <w:p w14:paraId="5E398CFD" w14:textId="77777777" w:rsidR="00776172" w:rsidRPr="00224C29" w:rsidRDefault="00E91856" w:rsidP="00954A44">
            <w:pPr>
              <w:pStyle w:val="ListParagraph"/>
              <w:widowControl w:val="0"/>
              <w:numPr>
                <w:ilvl w:val="0"/>
                <w:numId w:val="5"/>
              </w:numPr>
              <w:autoSpaceDE w:val="0"/>
              <w:autoSpaceDN w:val="0"/>
              <w:adjustRightInd w:val="0"/>
              <w:spacing w:after="0" w:line="360" w:lineRule="auto"/>
              <w:ind w:left="459"/>
              <w:jc w:val="both"/>
              <w:rPr>
                <w:rFonts w:ascii="Garamond" w:hAnsi="Garamond" w:cs="Times New Roman"/>
                <w:sz w:val="20"/>
                <w:szCs w:val="20"/>
                <w:lang w:val="en-US"/>
              </w:rPr>
            </w:pPr>
            <w:r w:rsidRPr="00224C29">
              <w:rPr>
                <w:rFonts w:ascii="Garamond" w:hAnsi="Garamond" w:cs="Times New Roman"/>
                <w:sz w:val="20"/>
                <w:szCs w:val="20"/>
                <w:lang w:val="en-US"/>
              </w:rPr>
              <w:t xml:space="preserve">Financial- </w:t>
            </w:r>
            <w:r w:rsidR="00776172" w:rsidRPr="00224C29">
              <w:rPr>
                <w:rFonts w:ascii="Garamond" w:hAnsi="Garamond" w:cs="Times New Roman"/>
                <w:sz w:val="20"/>
                <w:szCs w:val="20"/>
                <w:lang w:val="en-US"/>
              </w:rPr>
              <w:t>social Performance (finsoc1)</w:t>
            </w:r>
          </w:p>
        </w:tc>
        <w:tc>
          <w:tcPr>
            <w:tcW w:w="310" w:type="pct"/>
            <w:gridSpan w:val="2"/>
            <w:tcBorders>
              <w:top w:val="nil"/>
              <w:left w:val="nil"/>
              <w:bottom w:val="nil"/>
              <w:right w:val="nil"/>
            </w:tcBorders>
          </w:tcPr>
          <w:p w14:paraId="60E29FF9"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4,119</w:t>
            </w:r>
          </w:p>
        </w:tc>
        <w:tc>
          <w:tcPr>
            <w:tcW w:w="273" w:type="pct"/>
            <w:tcBorders>
              <w:top w:val="nil"/>
              <w:left w:val="nil"/>
              <w:bottom w:val="nil"/>
              <w:right w:val="nil"/>
            </w:tcBorders>
          </w:tcPr>
          <w:p w14:paraId="711FFA08"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3.76</w:t>
            </w:r>
          </w:p>
        </w:tc>
        <w:tc>
          <w:tcPr>
            <w:tcW w:w="225" w:type="pct"/>
            <w:tcBorders>
              <w:top w:val="nil"/>
              <w:left w:val="nil"/>
              <w:bottom w:val="nil"/>
              <w:right w:val="nil"/>
            </w:tcBorders>
          </w:tcPr>
          <w:p w14:paraId="72C7F84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1.09</w:t>
            </w:r>
          </w:p>
        </w:tc>
        <w:tc>
          <w:tcPr>
            <w:tcW w:w="288" w:type="pct"/>
            <w:tcBorders>
              <w:top w:val="nil"/>
              <w:left w:val="nil"/>
              <w:bottom w:val="nil"/>
              <w:right w:val="nil"/>
            </w:tcBorders>
          </w:tcPr>
          <w:p w14:paraId="7C8D4AF4"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2</w:t>
            </w:r>
          </w:p>
        </w:tc>
        <w:tc>
          <w:tcPr>
            <w:tcW w:w="267" w:type="pct"/>
            <w:tcBorders>
              <w:top w:val="nil"/>
              <w:left w:val="nil"/>
              <w:bottom w:val="nil"/>
              <w:right w:val="nil"/>
            </w:tcBorders>
          </w:tcPr>
          <w:p w14:paraId="538180A1"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5</w:t>
            </w:r>
          </w:p>
        </w:tc>
        <w:tc>
          <w:tcPr>
            <w:tcW w:w="246" w:type="pct"/>
            <w:tcBorders>
              <w:top w:val="nil"/>
              <w:left w:val="nil"/>
              <w:bottom w:val="nil"/>
              <w:right w:val="nil"/>
            </w:tcBorders>
          </w:tcPr>
          <w:p w14:paraId="2A30826C"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w:t>
            </w:r>
          </w:p>
        </w:tc>
        <w:tc>
          <w:tcPr>
            <w:tcW w:w="246" w:type="pct"/>
            <w:tcBorders>
              <w:top w:val="nil"/>
              <w:left w:val="nil"/>
              <w:bottom w:val="nil"/>
              <w:right w:val="nil"/>
            </w:tcBorders>
          </w:tcPr>
          <w:p w14:paraId="22082C39"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5DCCCBC1" w14:textId="77777777" w:rsidTr="00E91856">
        <w:trPr>
          <w:gridAfter w:val="8"/>
          <w:wAfter w:w="1754" w:type="pct"/>
        </w:trPr>
        <w:tc>
          <w:tcPr>
            <w:tcW w:w="1390" w:type="pct"/>
            <w:gridSpan w:val="2"/>
            <w:tcBorders>
              <w:top w:val="nil"/>
              <w:left w:val="nil"/>
              <w:bottom w:val="nil"/>
              <w:right w:val="nil"/>
            </w:tcBorders>
          </w:tcPr>
          <w:p w14:paraId="301F1524"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(1) Age</w:t>
            </w:r>
          </w:p>
        </w:tc>
        <w:tc>
          <w:tcPr>
            <w:tcW w:w="310" w:type="pct"/>
            <w:gridSpan w:val="2"/>
          </w:tcPr>
          <w:p w14:paraId="337AD521"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4,918</w:t>
            </w:r>
          </w:p>
        </w:tc>
        <w:tc>
          <w:tcPr>
            <w:tcW w:w="273" w:type="pct"/>
          </w:tcPr>
          <w:p w14:paraId="0A4F1EA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1.70     </w:t>
            </w:r>
          </w:p>
        </w:tc>
        <w:tc>
          <w:tcPr>
            <w:tcW w:w="225" w:type="pct"/>
          </w:tcPr>
          <w:p w14:paraId="18584B22"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0.83</w:t>
            </w:r>
          </w:p>
        </w:tc>
        <w:tc>
          <w:tcPr>
            <w:tcW w:w="288" w:type="pct"/>
          </w:tcPr>
          <w:p w14:paraId="0E4715FF"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w:t>
            </w:r>
          </w:p>
        </w:tc>
        <w:tc>
          <w:tcPr>
            <w:tcW w:w="267" w:type="pct"/>
          </w:tcPr>
          <w:p w14:paraId="5823856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3</w:t>
            </w:r>
          </w:p>
        </w:tc>
        <w:tc>
          <w:tcPr>
            <w:tcW w:w="246" w:type="pct"/>
            <w:tcBorders>
              <w:top w:val="nil"/>
              <w:left w:val="nil"/>
              <w:bottom w:val="nil"/>
              <w:right w:val="nil"/>
            </w:tcBorders>
          </w:tcPr>
          <w:p w14:paraId="65C23309"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c>
          <w:tcPr>
            <w:tcW w:w="246" w:type="pct"/>
            <w:tcBorders>
              <w:top w:val="nil"/>
              <w:left w:val="nil"/>
              <w:bottom w:val="nil"/>
              <w:right w:val="nil"/>
            </w:tcBorders>
          </w:tcPr>
          <w:p w14:paraId="662CBFF3"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1C22AB18" w14:textId="77777777" w:rsidTr="00E91856">
        <w:trPr>
          <w:gridAfter w:val="7"/>
          <w:wAfter w:w="1508" w:type="pct"/>
        </w:trPr>
        <w:tc>
          <w:tcPr>
            <w:tcW w:w="1390" w:type="pct"/>
            <w:gridSpan w:val="2"/>
            <w:tcBorders>
              <w:top w:val="nil"/>
              <w:left w:val="nil"/>
              <w:bottom w:val="nil"/>
              <w:right w:val="nil"/>
            </w:tcBorders>
          </w:tcPr>
          <w:p w14:paraId="14B19C55"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(2) Region</w:t>
            </w:r>
          </w:p>
        </w:tc>
        <w:tc>
          <w:tcPr>
            <w:tcW w:w="310" w:type="pct"/>
            <w:gridSpan w:val="2"/>
          </w:tcPr>
          <w:p w14:paraId="7CC72DF6"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4,918</w:t>
            </w:r>
          </w:p>
        </w:tc>
        <w:tc>
          <w:tcPr>
            <w:tcW w:w="273" w:type="pct"/>
          </w:tcPr>
          <w:p w14:paraId="003B2258"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3.50    </w:t>
            </w:r>
          </w:p>
        </w:tc>
        <w:tc>
          <w:tcPr>
            <w:tcW w:w="225" w:type="pct"/>
          </w:tcPr>
          <w:p w14:paraId="77A133B3"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1.55</w:t>
            </w:r>
          </w:p>
        </w:tc>
        <w:tc>
          <w:tcPr>
            <w:tcW w:w="288" w:type="pct"/>
          </w:tcPr>
          <w:p w14:paraId="7E4960E5"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w:t>
            </w:r>
          </w:p>
        </w:tc>
        <w:tc>
          <w:tcPr>
            <w:tcW w:w="267" w:type="pct"/>
          </w:tcPr>
          <w:p w14:paraId="60173DF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5</w:t>
            </w:r>
          </w:p>
        </w:tc>
        <w:tc>
          <w:tcPr>
            <w:tcW w:w="246" w:type="pct"/>
            <w:tcBorders>
              <w:top w:val="nil"/>
              <w:left w:val="nil"/>
              <w:bottom w:val="nil"/>
              <w:right w:val="nil"/>
            </w:tcBorders>
          </w:tcPr>
          <w:p w14:paraId="76B1ABB5"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0.00</w:t>
            </w:r>
          </w:p>
        </w:tc>
        <w:tc>
          <w:tcPr>
            <w:tcW w:w="246" w:type="pct"/>
            <w:tcBorders>
              <w:top w:val="nil"/>
              <w:left w:val="nil"/>
              <w:bottom w:val="nil"/>
              <w:right w:val="nil"/>
            </w:tcBorders>
          </w:tcPr>
          <w:p w14:paraId="191543AE"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c>
          <w:tcPr>
            <w:tcW w:w="246" w:type="pct"/>
            <w:tcBorders>
              <w:top w:val="nil"/>
              <w:left w:val="nil"/>
              <w:bottom w:val="nil"/>
              <w:right w:val="nil"/>
            </w:tcBorders>
          </w:tcPr>
          <w:p w14:paraId="5FD226A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71611AA6" w14:textId="77777777" w:rsidTr="00E91856">
        <w:trPr>
          <w:gridAfter w:val="6"/>
          <w:wAfter w:w="1262" w:type="pct"/>
        </w:trPr>
        <w:tc>
          <w:tcPr>
            <w:tcW w:w="1390" w:type="pct"/>
            <w:gridSpan w:val="2"/>
            <w:tcBorders>
              <w:top w:val="nil"/>
              <w:left w:val="nil"/>
              <w:bottom w:val="nil"/>
              <w:right w:val="nil"/>
            </w:tcBorders>
          </w:tcPr>
          <w:p w14:paraId="790A6EF0"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(3) Size (</w:t>
            </w:r>
            <w:proofErr w:type="spellStart"/>
            <w:r w:rsidRPr="00224C29">
              <w:rPr>
                <w:rFonts w:ascii="Garamond" w:hAnsi="Garamond" w:cs="Times New Roman"/>
                <w:sz w:val="20"/>
                <w:szCs w:val="20"/>
                <w:lang w:val="en-US"/>
              </w:rPr>
              <w:t>lassets</w:t>
            </w:r>
            <w:proofErr w:type="spellEnd"/>
            <w:r w:rsidRPr="00224C29">
              <w:rPr>
                <w:rFonts w:ascii="Garamond" w:hAnsi="Garamond" w:cs="Times New Roman"/>
                <w:sz w:val="20"/>
                <w:szCs w:val="20"/>
                <w:lang w:val="en-US"/>
              </w:rPr>
              <w:t>)</w:t>
            </w:r>
          </w:p>
        </w:tc>
        <w:tc>
          <w:tcPr>
            <w:tcW w:w="310" w:type="pct"/>
            <w:gridSpan w:val="2"/>
          </w:tcPr>
          <w:p w14:paraId="204EE85F"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4,738</w:t>
            </w:r>
          </w:p>
        </w:tc>
        <w:tc>
          <w:tcPr>
            <w:tcW w:w="273" w:type="pct"/>
          </w:tcPr>
          <w:p w14:paraId="0E354FA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14.88    </w:t>
            </w:r>
          </w:p>
        </w:tc>
        <w:tc>
          <w:tcPr>
            <w:tcW w:w="225" w:type="pct"/>
          </w:tcPr>
          <w:p w14:paraId="2E3E0DB7"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2.26</w:t>
            </w:r>
          </w:p>
        </w:tc>
        <w:tc>
          <w:tcPr>
            <w:tcW w:w="288" w:type="pct"/>
          </w:tcPr>
          <w:p w14:paraId="1DA100F8"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0.14</w:t>
            </w:r>
          </w:p>
        </w:tc>
        <w:tc>
          <w:tcPr>
            <w:tcW w:w="267" w:type="pct"/>
          </w:tcPr>
          <w:p w14:paraId="44AEFB9E"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22.98</w:t>
            </w:r>
          </w:p>
        </w:tc>
        <w:tc>
          <w:tcPr>
            <w:tcW w:w="246" w:type="pct"/>
            <w:tcBorders>
              <w:top w:val="nil"/>
              <w:left w:val="nil"/>
              <w:bottom w:val="nil"/>
              <w:right w:val="nil"/>
            </w:tcBorders>
          </w:tcPr>
          <w:p w14:paraId="07F7A7D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-0.32</w:t>
            </w:r>
          </w:p>
        </w:tc>
        <w:tc>
          <w:tcPr>
            <w:tcW w:w="246" w:type="pct"/>
            <w:tcBorders>
              <w:top w:val="nil"/>
              <w:left w:val="nil"/>
              <w:bottom w:val="nil"/>
              <w:right w:val="nil"/>
            </w:tcBorders>
          </w:tcPr>
          <w:p w14:paraId="42EF2CA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-0.14</w:t>
            </w:r>
          </w:p>
        </w:tc>
        <w:tc>
          <w:tcPr>
            <w:tcW w:w="246" w:type="pct"/>
            <w:tcBorders>
              <w:top w:val="nil"/>
              <w:left w:val="nil"/>
              <w:bottom w:val="nil"/>
              <w:right w:val="nil"/>
            </w:tcBorders>
          </w:tcPr>
          <w:p w14:paraId="6C9140C2"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c>
          <w:tcPr>
            <w:tcW w:w="246" w:type="pct"/>
            <w:tcBorders>
              <w:top w:val="nil"/>
              <w:left w:val="nil"/>
              <w:bottom w:val="nil"/>
              <w:right w:val="nil"/>
            </w:tcBorders>
          </w:tcPr>
          <w:p w14:paraId="1B6E4BD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234398F8" w14:textId="77777777" w:rsidTr="00E91856">
        <w:trPr>
          <w:gridAfter w:val="5"/>
          <w:wAfter w:w="1015" w:type="pct"/>
        </w:trPr>
        <w:tc>
          <w:tcPr>
            <w:tcW w:w="1390" w:type="pct"/>
            <w:gridSpan w:val="2"/>
            <w:tcBorders>
              <w:top w:val="nil"/>
              <w:left w:val="nil"/>
              <w:bottom w:val="nil"/>
              <w:right w:val="nil"/>
            </w:tcBorders>
          </w:tcPr>
          <w:p w14:paraId="35484971"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(4) GDP Growth</w:t>
            </w:r>
          </w:p>
        </w:tc>
        <w:tc>
          <w:tcPr>
            <w:tcW w:w="310" w:type="pct"/>
            <w:gridSpan w:val="2"/>
          </w:tcPr>
          <w:p w14:paraId="313646B3"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4,918</w:t>
            </w:r>
          </w:p>
        </w:tc>
        <w:tc>
          <w:tcPr>
            <w:tcW w:w="273" w:type="pct"/>
          </w:tcPr>
          <w:p w14:paraId="0A4301E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5.30    </w:t>
            </w:r>
          </w:p>
        </w:tc>
        <w:tc>
          <w:tcPr>
            <w:tcW w:w="225" w:type="pct"/>
          </w:tcPr>
          <w:p w14:paraId="47AD5363"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3.85</w:t>
            </w:r>
          </w:p>
        </w:tc>
        <w:tc>
          <w:tcPr>
            <w:tcW w:w="288" w:type="pct"/>
          </w:tcPr>
          <w:p w14:paraId="5F64CD96"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-52.43</w:t>
            </w:r>
          </w:p>
        </w:tc>
        <w:tc>
          <w:tcPr>
            <w:tcW w:w="267" w:type="pct"/>
          </w:tcPr>
          <w:p w14:paraId="392FDE6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33.63</w:t>
            </w:r>
          </w:p>
        </w:tc>
        <w:tc>
          <w:tcPr>
            <w:tcW w:w="246" w:type="pct"/>
            <w:tcBorders>
              <w:top w:val="nil"/>
              <w:left w:val="nil"/>
              <w:bottom w:val="nil"/>
              <w:right w:val="nil"/>
            </w:tcBorders>
          </w:tcPr>
          <w:p w14:paraId="7C746A1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0.03</w:t>
            </w:r>
          </w:p>
        </w:tc>
        <w:tc>
          <w:tcPr>
            <w:tcW w:w="246" w:type="pct"/>
            <w:tcBorders>
              <w:top w:val="nil"/>
              <w:left w:val="nil"/>
              <w:bottom w:val="nil"/>
              <w:right w:val="nil"/>
            </w:tcBorders>
          </w:tcPr>
          <w:p w14:paraId="1915D4B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-0.03</w:t>
            </w:r>
          </w:p>
        </w:tc>
        <w:tc>
          <w:tcPr>
            <w:tcW w:w="246" w:type="pct"/>
            <w:tcBorders>
              <w:top w:val="nil"/>
              <w:left w:val="nil"/>
              <w:bottom w:val="nil"/>
              <w:right w:val="nil"/>
            </w:tcBorders>
          </w:tcPr>
          <w:p w14:paraId="758D149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-0.04</w:t>
            </w:r>
          </w:p>
        </w:tc>
        <w:tc>
          <w:tcPr>
            <w:tcW w:w="246" w:type="pct"/>
            <w:tcBorders>
              <w:top w:val="nil"/>
              <w:left w:val="nil"/>
              <w:bottom w:val="nil"/>
              <w:right w:val="nil"/>
            </w:tcBorders>
          </w:tcPr>
          <w:p w14:paraId="405AD418"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c>
          <w:tcPr>
            <w:tcW w:w="246" w:type="pct"/>
            <w:tcBorders>
              <w:top w:val="nil"/>
              <w:left w:val="nil"/>
              <w:bottom w:val="nil"/>
              <w:right w:val="nil"/>
            </w:tcBorders>
          </w:tcPr>
          <w:p w14:paraId="77877941"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139828D4" w14:textId="77777777" w:rsidTr="00E91856">
        <w:trPr>
          <w:gridAfter w:val="4"/>
          <w:wAfter w:w="769" w:type="pct"/>
        </w:trPr>
        <w:tc>
          <w:tcPr>
            <w:tcW w:w="1390" w:type="pct"/>
            <w:gridSpan w:val="2"/>
            <w:tcBorders>
              <w:top w:val="nil"/>
              <w:left w:val="nil"/>
              <w:bottom w:val="nil"/>
              <w:right w:val="nil"/>
            </w:tcBorders>
          </w:tcPr>
          <w:p w14:paraId="73501A5D"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(5) Institutional Quality (</w:t>
            </w:r>
            <w:proofErr w:type="spellStart"/>
            <w:r w:rsidRPr="00224C29">
              <w:rPr>
                <w:rFonts w:ascii="Garamond" w:hAnsi="Garamond" w:cs="Times New Roman"/>
                <w:sz w:val="20"/>
                <w:szCs w:val="20"/>
                <w:lang w:val="en-US"/>
              </w:rPr>
              <w:t>dkkm</w:t>
            </w:r>
            <w:proofErr w:type="spellEnd"/>
            <w:r w:rsidRPr="00224C29">
              <w:rPr>
                <w:rFonts w:ascii="Garamond" w:hAnsi="Garamond" w:cs="Times New Roman"/>
                <w:sz w:val="20"/>
                <w:szCs w:val="20"/>
                <w:lang w:val="en-US"/>
              </w:rPr>
              <w:t>)</w:t>
            </w:r>
          </w:p>
        </w:tc>
        <w:tc>
          <w:tcPr>
            <w:tcW w:w="310" w:type="pct"/>
            <w:gridSpan w:val="2"/>
          </w:tcPr>
          <w:p w14:paraId="63104B6F"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3,788</w:t>
            </w:r>
          </w:p>
        </w:tc>
        <w:tc>
          <w:tcPr>
            <w:tcW w:w="273" w:type="pct"/>
          </w:tcPr>
          <w:p w14:paraId="032ABFA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-0.02    </w:t>
            </w:r>
          </w:p>
        </w:tc>
        <w:tc>
          <w:tcPr>
            <w:tcW w:w="225" w:type="pct"/>
          </w:tcPr>
          <w:p w14:paraId="1A07842C"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0.19</w:t>
            </w:r>
          </w:p>
        </w:tc>
        <w:tc>
          <w:tcPr>
            <w:tcW w:w="288" w:type="pct"/>
          </w:tcPr>
          <w:p w14:paraId="2D66544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-0.93</w:t>
            </w:r>
          </w:p>
        </w:tc>
        <w:tc>
          <w:tcPr>
            <w:tcW w:w="267" w:type="pct"/>
          </w:tcPr>
          <w:p w14:paraId="49BC9697"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1.04</w:t>
            </w:r>
          </w:p>
        </w:tc>
        <w:tc>
          <w:tcPr>
            <w:tcW w:w="246" w:type="pct"/>
            <w:tcBorders>
              <w:top w:val="nil"/>
              <w:left w:val="nil"/>
              <w:bottom w:val="nil"/>
              <w:right w:val="nil"/>
            </w:tcBorders>
          </w:tcPr>
          <w:p w14:paraId="62E9F46C"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-0.02</w:t>
            </w:r>
          </w:p>
        </w:tc>
        <w:tc>
          <w:tcPr>
            <w:tcW w:w="246" w:type="pct"/>
            <w:tcBorders>
              <w:top w:val="nil"/>
              <w:left w:val="nil"/>
              <w:bottom w:val="nil"/>
              <w:right w:val="nil"/>
            </w:tcBorders>
          </w:tcPr>
          <w:p w14:paraId="4452BDB5"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-0.00</w:t>
            </w:r>
          </w:p>
        </w:tc>
        <w:tc>
          <w:tcPr>
            <w:tcW w:w="246" w:type="pct"/>
            <w:tcBorders>
              <w:top w:val="nil"/>
              <w:left w:val="nil"/>
              <w:bottom w:val="nil"/>
              <w:right w:val="nil"/>
            </w:tcBorders>
          </w:tcPr>
          <w:p w14:paraId="3544A6D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0.02</w:t>
            </w:r>
          </w:p>
        </w:tc>
        <w:tc>
          <w:tcPr>
            <w:tcW w:w="246" w:type="pct"/>
            <w:tcBorders>
              <w:top w:val="nil"/>
              <w:left w:val="nil"/>
              <w:bottom w:val="nil"/>
              <w:right w:val="nil"/>
            </w:tcBorders>
          </w:tcPr>
          <w:p w14:paraId="25C24B85"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0.04</w:t>
            </w:r>
          </w:p>
        </w:tc>
        <w:tc>
          <w:tcPr>
            <w:tcW w:w="246" w:type="pct"/>
            <w:tcBorders>
              <w:top w:val="nil"/>
              <w:left w:val="nil"/>
              <w:bottom w:val="nil"/>
              <w:right w:val="nil"/>
            </w:tcBorders>
          </w:tcPr>
          <w:p w14:paraId="29D801F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c>
          <w:tcPr>
            <w:tcW w:w="246" w:type="pct"/>
            <w:tcBorders>
              <w:top w:val="nil"/>
              <w:left w:val="nil"/>
              <w:bottom w:val="nil"/>
              <w:right w:val="nil"/>
            </w:tcBorders>
          </w:tcPr>
          <w:p w14:paraId="5ED1042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6FECFA0D" w14:textId="77777777" w:rsidTr="00E91856">
        <w:trPr>
          <w:gridAfter w:val="3"/>
          <w:wAfter w:w="522" w:type="pct"/>
        </w:trPr>
        <w:tc>
          <w:tcPr>
            <w:tcW w:w="1390" w:type="pct"/>
            <w:gridSpan w:val="2"/>
            <w:tcBorders>
              <w:top w:val="nil"/>
              <w:left w:val="nil"/>
              <w:bottom w:val="nil"/>
              <w:right w:val="nil"/>
            </w:tcBorders>
          </w:tcPr>
          <w:p w14:paraId="4F630164"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(6) Education (</w:t>
            </w:r>
            <w:proofErr w:type="spellStart"/>
            <w:r w:rsidRPr="00224C29">
              <w:rPr>
                <w:rFonts w:ascii="Garamond" w:hAnsi="Garamond" w:cs="Times New Roman"/>
                <w:sz w:val="20"/>
                <w:szCs w:val="20"/>
                <w:lang w:val="en-US"/>
              </w:rPr>
              <w:t>deduc</w:t>
            </w:r>
            <w:proofErr w:type="spellEnd"/>
            <w:r w:rsidRPr="00224C29">
              <w:rPr>
                <w:rFonts w:ascii="Garamond" w:hAnsi="Garamond" w:cs="Times New Roman"/>
                <w:sz w:val="20"/>
                <w:szCs w:val="20"/>
                <w:lang w:val="en-US"/>
              </w:rPr>
              <w:t>)</w:t>
            </w:r>
          </w:p>
        </w:tc>
        <w:tc>
          <w:tcPr>
            <w:tcW w:w="310" w:type="pct"/>
            <w:gridSpan w:val="2"/>
          </w:tcPr>
          <w:p w14:paraId="243931E5"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3,786</w:t>
            </w:r>
          </w:p>
        </w:tc>
        <w:tc>
          <w:tcPr>
            <w:tcW w:w="273" w:type="pct"/>
          </w:tcPr>
          <w:p w14:paraId="413BEC7E"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0.01   </w:t>
            </w:r>
          </w:p>
        </w:tc>
        <w:tc>
          <w:tcPr>
            <w:tcW w:w="225" w:type="pct"/>
          </w:tcPr>
          <w:p w14:paraId="32EC707F"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0.03</w:t>
            </w:r>
          </w:p>
        </w:tc>
        <w:tc>
          <w:tcPr>
            <w:tcW w:w="288" w:type="pct"/>
          </w:tcPr>
          <w:p w14:paraId="33A47FFE"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-0.30</w:t>
            </w:r>
          </w:p>
        </w:tc>
        <w:tc>
          <w:tcPr>
            <w:tcW w:w="267" w:type="pct"/>
          </w:tcPr>
          <w:p w14:paraId="48CF1488"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0.27</w:t>
            </w:r>
          </w:p>
        </w:tc>
        <w:tc>
          <w:tcPr>
            <w:tcW w:w="246" w:type="pct"/>
            <w:tcBorders>
              <w:top w:val="nil"/>
              <w:left w:val="nil"/>
              <w:bottom w:val="nil"/>
              <w:right w:val="nil"/>
            </w:tcBorders>
          </w:tcPr>
          <w:p w14:paraId="4B537667"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-0.05</w:t>
            </w:r>
          </w:p>
        </w:tc>
        <w:tc>
          <w:tcPr>
            <w:tcW w:w="246" w:type="pct"/>
            <w:tcBorders>
              <w:top w:val="nil"/>
              <w:left w:val="nil"/>
              <w:bottom w:val="nil"/>
              <w:right w:val="nil"/>
            </w:tcBorders>
          </w:tcPr>
          <w:p w14:paraId="5BF234D1"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0.02</w:t>
            </w:r>
          </w:p>
        </w:tc>
        <w:tc>
          <w:tcPr>
            <w:tcW w:w="246" w:type="pct"/>
            <w:tcBorders>
              <w:top w:val="nil"/>
              <w:left w:val="nil"/>
              <w:bottom w:val="nil"/>
              <w:right w:val="nil"/>
            </w:tcBorders>
          </w:tcPr>
          <w:p w14:paraId="75E1293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0.00</w:t>
            </w:r>
          </w:p>
        </w:tc>
        <w:tc>
          <w:tcPr>
            <w:tcW w:w="246" w:type="pct"/>
            <w:tcBorders>
              <w:top w:val="nil"/>
              <w:left w:val="nil"/>
              <w:bottom w:val="nil"/>
              <w:right w:val="nil"/>
            </w:tcBorders>
          </w:tcPr>
          <w:p w14:paraId="59F7F7E7"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0.01</w:t>
            </w:r>
          </w:p>
        </w:tc>
        <w:tc>
          <w:tcPr>
            <w:tcW w:w="246" w:type="pct"/>
            <w:tcBorders>
              <w:top w:val="nil"/>
              <w:left w:val="nil"/>
              <w:bottom w:val="nil"/>
              <w:right w:val="nil"/>
            </w:tcBorders>
          </w:tcPr>
          <w:p w14:paraId="18EE44BE"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-0.03</w:t>
            </w:r>
          </w:p>
        </w:tc>
        <w:tc>
          <w:tcPr>
            <w:tcW w:w="246" w:type="pct"/>
            <w:tcBorders>
              <w:top w:val="nil"/>
              <w:left w:val="nil"/>
              <w:bottom w:val="nil"/>
              <w:right w:val="nil"/>
            </w:tcBorders>
          </w:tcPr>
          <w:p w14:paraId="07CFEF1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c>
          <w:tcPr>
            <w:tcW w:w="246" w:type="pct"/>
            <w:tcBorders>
              <w:top w:val="nil"/>
              <w:left w:val="nil"/>
              <w:bottom w:val="nil"/>
              <w:right w:val="nil"/>
            </w:tcBorders>
          </w:tcPr>
          <w:p w14:paraId="4F14E6F4"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7B8FBD61" w14:textId="77777777" w:rsidTr="00E91856">
        <w:trPr>
          <w:gridAfter w:val="2"/>
          <w:wAfter w:w="297" w:type="pct"/>
        </w:trPr>
        <w:tc>
          <w:tcPr>
            <w:tcW w:w="1390" w:type="pct"/>
            <w:gridSpan w:val="2"/>
            <w:tcBorders>
              <w:top w:val="nil"/>
              <w:left w:val="nil"/>
              <w:bottom w:val="nil"/>
              <w:right w:val="nil"/>
            </w:tcBorders>
          </w:tcPr>
          <w:p w14:paraId="7141B5A3"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(7) Financial Development (</w:t>
            </w:r>
            <w:proofErr w:type="spellStart"/>
            <w:r w:rsidRPr="00224C29">
              <w:rPr>
                <w:rFonts w:ascii="Garamond" w:hAnsi="Garamond" w:cs="Times New Roman"/>
                <w:sz w:val="20"/>
                <w:szCs w:val="20"/>
                <w:lang w:val="en-US"/>
              </w:rPr>
              <w:t>fd_no_mfi</w:t>
            </w:r>
            <w:proofErr w:type="spellEnd"/>
            <w:r w:rsidRPr="00224C29">
              <w:rPr>
                <w:rFonts w:ascii="Garamond" w:hAnsi="Garamond" w:cs="Times New Roman"/>
                <w:sz w:val="20"/>
                <w:szCs w:val="20"/>
                <w:lang w:val="en-US"/>
              </w:rPr>
              <w:t>)</w:t>
            </w:r>
          </w:p>
        </w:tc>
        <w:tc>
          <w:tcPr>
            <w:tcW w:w="310" w:type="pct"/>
            <w:gridSpan w:val="2"/>
          </w:tcPr>
          <w:p w14:paraId="00E2243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4,918</w:t>
            </w:r>
          </w:p>
        </w:tc>
        <w:tc>
          <w:tcPr>
            <w:tcW w:w="273" w:type="pct"/>
          </w:tcPr>
          <w:p w14:paraId="7E94A234"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 xml:space="preserve">-0.09    </w:t>
            </w:r>
          </w:p>
        </w:tc>
        <w:tc>
          <w:tcPr>
            <w:tcW w:w="225" w:type="pct"/>
          </w:tcPr>
          <w:p w14:paraId="271F9CA1"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0.73</w:t>
            </w:r>
          </w:p>
        </w:tc>
        <w:tc>
          <w:tcPr>
            <w:tcW w:w="288" w:type="pct"/>
          </w:tcPr>
          <w:p w14:paraId="02C8958C"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-0.41</w:t>
            </w:r>
          </w:p>
        </w:tc>
        <w:tc>
          <w:tcPr>
            <w:tcW w:w="267" w:type="pct"/>
          </w:tcPr>
          <w:p w14:paraId="641DD328"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7.94</w:t>
            </w:r>
          </w:p>
        </w:tc>
        <w:tc>
          <w:tcPr>
            <w:tcW w:w="246" w:type="pct"/>
            <w:tcBorders>
              <w:top w:val="nil"/>
              <w:left w:val="nil"/>
              <w:bottom w:val="nil"/>
              <w:right w:val="nil"/>
            </w:tcBorders>
          </w:tcPr>
          <w:p w14:paraId="673A8152"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0.01</w:t>
            </w:r>
          </w:p>
        </w:tc>
        <w:tc>
          <w:tcPr>
            <w:tcW w:w="246" w:type="pct"/>
            <w:tcBorders>
              <w:top w:val="nil"/>
              <w:left w:val="nil"/>
              <w:bottom w:val="nil"/>
              <w:right w:val="nil"/>
            </w:tcBorders>
          </w:tcPr>
          <w:p w14:paraId="4A8004D3"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-0.14</w:t>
            </w:r>
          </w:p>
        </w:tc>
        <w:tc>
          <w:tcPr>
            <w:tcW w:w="246" w:type="pct"/>
            <w:tcBorders>
              <w:top w:val="nil"/>
              <w:left w:val="nil"/>
              <w:bottom w:val="nil"/>
              <w:right w:val="nil"/>
            </w:tcBorders>
          </w:tcPr>
          <w:p w14:paraId="2C45EAE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0.03</w:t>
            </w:r>
          </w:p>
        </w:tc>
        <w:tc>
          <w:tcPr>
            <w:tcW w:w="246" w:type="pct"/>
            <w:tcBorders>
              <w:top w:val="nil"/>
              <w:left w:val="nil"/>
              <w:bottom w:val="nil"/>
              <w:right w:val="nil"/>
            </w:tcBorders>
          </w:tcPr>
          <w:p w14:paraId="1152122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-0.05</w:t>
            </w:r>
          </w:p>
        </w:tc>
        <w:tc>
          <w:tcPr>
            <w:tcW w:w="246" w:type="pct"/>
            <w:tcBorders>
              <w:top w:val="nil"/>
              <w:left w:val="nil"/>
              <w:bottom w:val="nil"/>
              <w:right w:val="nil"/>
            </w:tcBorders>
          </w:tcPr>
          <w:p w14:paraId="148F921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-0.03</w:t>
            </w:r>
          </w:p>
        </w:tc>
        <w:tc>
          <w:tcPr>
            <w:tcW w:w="246" w:type="pct"/>
            <w:tcBorders>
              <w:top w:val="nil"/>
              <w:left w:val="nil"/>
              <w:bottom w:val="nil"/>
              <w:right w:val="nil"/>
            </w:tcBorders>
          </w:tcPr>
          <w:p w14:paraId="62E4B5C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0.04</w:t>
            </w:r>
          </w:p>
        </w:tc>
        <w:tc>
          <w:tcPr>
            <w:tcW w:w="246" w:type="pct"/>
            <w:tcBorders>
              <w:top w:val="nil"/>
              <w:left w:val="nil"/>
              <w:bottom w:val="nil"/>
              <w:right w:val="nil"/>
            </w:tcBorders>
          </w:tcPr>
          <w:p w14:paraId="7B1F68D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c>
          <w:tcPr>
            <w:tcW w:w="225" w:type="pct"/>
            <w:tcBorders>
              <w:top w:val="nil"/>
              <w:left w:val="nil"/>
              <w:bottom w:val="nil"/>
              <w:right w:val="nil"/>
            </w:tcBorders>
          </w:tcPr>
          <w:p w14:paraId="7F04F09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5BB978A6" w14:textId="77777777" w:rsidTr="00E91856">
        <w:trPr>
          <w:gridAfter w:val="1"/>
          <w:wAfter w:w="80" w:type="pct"/>
        </w:trPr>
        <w:tc>
          <w:tcPr>
            <w:tcW w:w="1390" w:type="pct"/>
            <w:gridSpan w:val="2"/>
            <w:tcBorders>
              <w:top w:val="nil"/>
              <w:left w:val="nil"/>
              <w:bottom w:val="nil"/>
              <w:right w:val="nil"/>
            </w:tcBorders>
          </w:tcPr>
          <w:p w14:paraId="5461264D"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(8) Legal Tradition</w:t>
            </w:r>
          </w:p>
        </w:tc>
        <w:tc>
          <w:tcPr>
            <w:tcW w:w="310" w:type="pct"/>
            <w:gridSpan w:val="2"/>
          </w:tcPr>
          <w:p w14:paraId="2E073FC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4918</w:t>
            </w:r>
          </w:p>
        </w:tc>
        <w:tc>
          <w:tcPr>
            <w:tcW w:w="273" w:type="pct"/>
          </w:tcPr>
          <w:p w14:paraId="6725722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1.79</w:t>
            </w:r>
          </w:p>
        </w:tc>
        <w:tc>
          <w:tcPr>
            <w:tcW w:w="225" w:type="pct"/>
          </w:tcPr>
          <w:p w14:paraId="229A28D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0.75</w:t>
            </w:r>
          </w:p>
        </w:tc>
        <w:tc>
          <w:tcPr>
            <w:tcW w:w="288" w:type="pct"/>
          </w:tcPr>
          <w:p w14:paraId="0F1DFA61"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w:t>
            </w:r>
          </w:p>
        </w:tc>
        <w:tc>
          <w:tcPr>
            <w:tcW w:w="267" w:type="pct"/>
          </w:tcPr>
          <w:p w14:paraId="0C1B2426"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3</w:t>
            </w:r>
          </w:p>
        </w:tc>
        <w:tc>
          <w:tcPr>
            <w:tcW w:w="246" w:type="pct"/>
            <w:tcBorders>
              <w:top w:val="nil"/>
              <w:left w:val="nil"/>
              <w:bottom w:val="nil"/>
              <w:right w:val="nil"/>
            </w:tcBorders>
          </w:tcPr>
          <w:p w14:paraId="08466F2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0.09</w:t>
            </w:r>
          </w:p>
        </w:tc>
        <w:tc>
          <w:tcPr>
            <w:tcW w:w="246" w:type="pct"/>
            <w:tcBorders>
              <w:top w:val="nil"/>
              <w:left w:val="nil"/>
              <w:bottom w:val="nil"/>
              <w:right w:val="nil"/>
            </w:tcBorders>
          </w:tcPr>
          <w:p w14:paraId="1123824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-0.41</w:t>
            </w:r>
          </w:p>
        </w:tc>
        <w:tc>
          <w:tcPr>
            <w:tcW w:w="246" w:type="pct"/>
            <w:tcBorders>
              <w:top w:val="nil"/>
              <w:left w:val="nil"/>
              <w:bottom w:val="nil"/>
              <w:right w:val="nil"/>
            </w:tcBorders>
          </w:tcPr>
          <w:p w14:paraId="1A4A172B"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0.01</w:t>
            </w:r>
          </w:p>
        </w:tc>
        <w:tc>
          <w:tcPr>
            <w:tcW w:w="246" w:type="pct"/>
            <w:tcBorders>
              <w:top w:val="nil"/>
              <w:left w:val="nil"/>
              <w:bottom w:val="nil"/>
              <w:right w:val="nil"/>
            </w:tcBorders>
          </w:tcPr>
          <w:p w14:paraId="27678EA2"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0.22</w:t>
            </w:r>
          </w:p>
        </w:tc>
        <w:tc>
          <w:tcPr>
            <w:tcW w:w="246" w:type="pct"/>
            <w:tcBorders>
              <w:top w:val="nil"/>
              <w:left w:val="nil"/>
              <w:bottom w:val="nil"/>
              <w:right w:val="nil"/>
            </w:tcBorders>
          </w:tcPr>
          <w:p w14:paraId="4AD7B7A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-0.04</w:t>
            </w:r>
          </w:p>
        </w:tc>
        <w:tc>
          <w:tcPr>
            <w:tcW w:w="246" w:type="pct"/>
            <w:tcBorders>
              <w:top w:val="nil"/>
              <w:left w:val="nil"/>
              <w:bottom w:val="nil"/>
              <w:right w:val="nil"/>
            </w:tcBorders>
          </w:tcPr>
          <w:p w14:paraId="50ADD44A"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-0.02</w:t>
            </w:r>
          </w:p>
        </w:tc>
        <w:tc>
          <w:tcPr>
            <w:tcW w:w="246" w:type="pct"/>
            <w:tcBorders>
              <w:top w:val="nil"/>
              <w:left w:val="nil"/>
              <w:bottom w:val="nil"/>
              <w:right w:val="nil"/>
            </w:tcBorders>
          </w:tcPr>
          <w:p w14:paraId="37B60B6D"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0.07</w:t>
            </w:r>
          </w:p>
        </w:tc>
        <w:tc>
          <w:tcPr>
            <w:tcW w:w="225" w:type="pct"/>
            <w:tcBorders>
              <w:top w:val="nil"/>
              <w:left w:val="nil"/>
              <w:bottom w:val="nil"/>
              <w:right w:val="nil"/>
            </w:tcBorders>
          </w:tcPr>
          <w:p w14:paraId="5DE127B1"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c>
          <w:tcPr>
            <w:tcW w:w="217" w:type="pct"/>
            <w:tcBorders>
              <w:top w:val="nil"/>
              <w:left w:val="nil"/>
              <w:bottom w:val="nil"/>
              <w:right w:val="nil"/>
            </w:tcBorders>
          </w:tcPr>
          <w:p w14:paraId="21BC9C0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p>
        </w:tc>
      </w:tr>
      <w:tr w:rsidR="00E91856" w:rsidRPr="00224C29" w14:paraId="50CCC05E" w14:textId="77777777" w:rsidTr="00E91856">
        <w:trPr>
          <w:gridAfter w:val="1"/>
          <w:wAfter w:w="80" w:type="pct"/>
        </w:trPr>
        <w:tc>
          <w:tcPr>
            <w:tcW w:w="1390" w:type="pct"/>
            <w:gridSpan w:val="2"/>
            <w:tcBorders>
              <w:top w:val="nil"/>
              <w:left w:val="nil"/>
              <w:bottom w:val="nil"/>
              <w:right w:val="nil"/>
            </w:tcBorders>
          </w:tcPr>
          <w:p w14:paraId="75567189"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r w:rsidRPr="00224C29">
              <w:rPr>
                <w:rFonts w:ascii="Garamond" w:hAnsi="Garamond" w:cs="Times New Roman"/>
                <w:sz w:val="20"/>
                <w:szCs w:val="20"/>
                <w:lang w:val="en-US"/>
              </w:rPr>
              <w:t xml:space="preserve"> (9) Current Legal Status</w:t>
            </w:r>
          </w:p>
        </w:tc>
        <w:tc>
          <w:tcPr>
            <w:tcW w:w="310" w:type="pct"/>
            <w:gridSpan w:val="2"/>
          </w:tcPr>
          <w:p w14:paraId="104E90EE"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4918</w:t>
            </w:r>
          </w:p>
        </w:tc>
        <w:tc>
          <w:tcPr>
            <w:tcW w:w="273" w:type="pct"/>
          </w:tcPr>
          <w:p w14:paraId="311AAD30"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2.85</w:t>
            </w:r>
          </w:p>
        </w:tc>
        <w:tc>
          <w:tcPr>
            <w:tcW w:w="225" w:type="pct"/>
          </w:tcPr>
          <w:p w14:paraId="6772E327"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1.14</w:t>
            </w:r>
          </w:p>
        </w:tc>
        <w:tc>
          <w:tcPr>
            <w:tcW w:w="288" w:type="pct"/>
          </w:tcPr>
          <w:p w14:paraId="3D812B68"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w:t>
            </w:r>
          </w:p>
        </w:tc>
        <w:tc>
          <w:tcPr>
            <w:tcW w:w="267" w:type="pct"/>
          </w:tcPr>
          <w:p w14:paraId="1F6AFF43" w14:textId="77777777" w:rsidR="00776172" w:rsidRPr="00224C29" w:rsidRDefault="00776172"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6</w:t>
            </w:r>
          </w:p>
        </w:tc>
        <w:tc>
          <w:tcPr>
            <w:tcW w:w="246" w:type="pct"/>
            <w:tcBorders>
              <w:top w:val="nil"/>
              <w:left w:val="nil"/>
              <w:bottom w:val="nil"/>
              <w:right w:val="nil"/>
            </w:tcBorders>
          </w:tcPr>
          <w:p w14:paraId="66CF75F1" w14:textId="77777777" w:rsidR="00776172" w:rsidRPr="00224C29" w:rsidRDefault="0008710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-0.04</w:t>
            </w:r>
          </w:p>
        </w:tc>
        <w:tc>
          <w:tcPr>
            <w:tcW w:w="246" w:type="pct"/>
            <w:tcBorders>
              <w:top w:val="nil"/>
              <w:left w:val="nil"/>
              <w:bottom w:val="nil"/>
              <w:right w:val="nil"/>
            </w:tcBorders>
          </w:tcPr>
          <w:p w14:paraId="3FEC9F21" w14:textId="77777777" w:rsidR="00776172" w:rsidRPr="00224C29" w:rsidRDefault="00E9185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-0.00</w:t>
            </w:r>
          </w:p>
        </w:tc>
        <w:tc>
          <w:tcPr>
            <w:tcW w:w="246" w:type="pct"/>
            <w:tcBorders>
              <w:top w:val="nil"/>
              <w:left w:val="nil"/>
              <w:bottom w:val="nil"/>
              <w:right w:val="nil"/>
            </w:tcBorders>
          </w:tcPr>
          <w:p w14:paraId="73A18323" w14:textId="77777777" w:rsidR="00776172" w:rsidRPr="00224C29" w:rsidRDefault="00E9185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-0.08</w:t>
            </w:r>
          </w:p>
        </w:tc>
        <w:tc>
          <w:tcPr>
            <w:tcW w:w="246" w:type="pct"/>
            <w:tcBorders>
              <w:top w:val="nil"/>
              <w:left w:val="nil"/>
              <w:bottom w:val="nil"/>
              <w:right w:val="nil"/>
            </w:tcBorders>
          </w:tcPr>
          <w:p w14:paraId="1630C0DD" w14:textId="77777777" w:rsidR="00776172" w:rsidRPr="00224C29" w:rsidRDefault="00E9185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0.00</w:t>
            </w:r>
          </w:p>
        </w:tc>
        <w:tc>
          <w:tcPr>
            <w:tcW w:w="246" w:type="pct"/>
            <w:tcBorders>
              <w:top w:val="nil"/>
              <w:left w:val="nil"/>
              <w:bottom w:val="nil"/>
              <w:right w:val="nil"/>
            </w:tcBorders>
          </w:tcPr>
          <w:p w14:paraId="6763AE88" w14:textId="77777777" w:rsidR="00776172" w:rsidRPr="00224C29" w:rsidRDefault="00E9185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0.05</w:t>
            </w:r>
          </w:p>
        </w:tc>
        <w:tc>
          <w:tcPr>
            <w:tcW w:w="246" w:type="pct"/>
            <w:tcBorders>
              <w:top w:val="nil"/>
              <w:left w:val="nil"/>
              <w:bottom w:val="nil"/>
              <w:right w:val="nil"/>
            </w:tcBorders>
          </w:tcPr>
          <w:p w14:paraId="762B85D9" w14:textId="77777777" w:rsidR="00776172" w:rsidRPr="00224C29" w:rsidRDefault="00E9185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-0.04</w:t>
            </w:r>
          </w:p>
        </w:tc>
        <w:tc>
          <w:tcPr>
            <w:tcW w:w="246" w:type="pct"/>
            <w:tcBorders>
              <w:top w:val="nil"/>
              <w:left w:val="nil"/>
              <w:bottom w:val="nil"/>
              <w:right w:val="nil"/>
            </w:tcBorders>
          </w:tcPr>
          <w:p w14:paraId="7EBACBFE" w14:textId="77777777" w:rsidR="00776172" w:rsidRPr="00224C29" w:rsidRDefault="00E9185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-0.12</w:t>
            </w:r>
          </w:p>
        </w:tc>
        <w:tc>
          <w:tcPr>
            <w:tcW w:w="225" w:type="pct"/>
            <w:tcBorders>
              <w:top w:val="nil"/>
              <w:left w:val="nil"/>
              <w:bottom w:val="nil"/>
              <w:right w:val="nil"/>
            </w:tcBorders>
          </w:tcPr>
          <w:p w14:paraId="5F30BA58" w14:textId="77777777" w:rsidR="00776172" w:rsidRPr="00224C29" w:rsidRDefault="00E9185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0.05</w:t>
            </w:r>
          </w:p>
        </w:tc>
        <w:tc>
          <w:tcPr>
            <w:tcW w:w="217" w:type="pct"/>
            <w:tcBorders>
              <w:top w:val="nil"/>
              <w:left w:val="nil"/>
              <w:bottom w:val="nil"/>
              <w:right w:val="nil"/>
            </w:tcBorders>
          </w:tcPr>
          <w:p w14:paraId="6B69B189" w14:textId="77777777" w:rsidR="00776172" w:rsidRPr="00224C29" w:rsidRDefault="00E91856" w:rsidP="00954A44">
            <w:pPr>
              <w:widowControl w:val="0"/>
              <w:autoSpaceDE w:val="0"/>
              <w:autoSpaceDN w:val="0"/>
              <w:adjustRightInd w:val="0"/>
              <w:spacing w:after="0" w:line="360" w:lineRule="auto"/>
              <w:jc w:val="right"/>
              <w:rPr>
                <w:rFonts w:ascii="Garamond" w:hAnsi="Garamond" w:cs="Times New Roman"/>
                <w:sz w:val="20"/>
                <w:szCs w:val="20"/>
                <w:lang w:val="en-US"/>
              </w:rPr>
            </w:pPr>
            <w:r w:rsidRPr="00224C29">
              <w:rPr>
                <w:rFonts w:ascii="Garamond" w:hAnsi="Garamond" w:cs="Times New Roman"/>
                <w:sz w:val="20"/>
                <w:szCs w:val="20"/>
                <w:lang w:val="en-US"/>
              </w:rPr>
              <w:t>1.00</w:t>
            </w:r>
          </w:p>
        </w:tc>
      </w:tr>
      <w:tr w:rsidR="00224C29" w:rsidRPr="00224C29" w14:paraId="1854F29F" w14:textId="77777777" w:rsidTr="00E91856">
        <w:tc>
          <w:tcPr>
            <w:tcW w:w="1349" w:type="pct"/>
            <w:tcBorders>
              <w:top w:val="nil"/>
              <w:left w:val="nil"/>
              <w:bottom w:val="single" w:sz="4" w:space="0" w:color="auto"/>
              <w:right w:val="nil"/>
            </w:tcBorders>
          </w:tcPr>
          <w:p w14:paraId="59FCA9B1"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p>
        </w:tc>
        <w:tc>
          <w:tcPr>
            <w:tcW w:w="83" w:type="pct"/>
            <w:gridSpan w:val="2"/>
            <w:tcBorders>
              <w:top w:val="nil"/>
              <w:left w:val="nil"/>
              <w:bottom w:val="single" w:sz="4" w:space="0" w:color="auto"/>
              <w:right w:val="nil"/>
            </w:tcBorders>
          </w:tcPr>
          <w:p w14:paraId="4D06D972"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p>
        </w:tc>
        <w:tc>
          <w:tcPr>
            <w:tcW w:w="268" w:type="pct"/>
            <w:tcBorders>
              <w:top w:val="nil"/>
              <w:left w:val="nil"/>
              <w:bottom w:val="single" w:sz="4" w:space="0" w:color="auto"/>
              <w:right w:val="nil"/>
            </w:tcBorders>
          </w:tcPr>
          <w:p w14:paraId="1AD0C4B5"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p>
        </w:tc>
        <w:tc>
          <w:tcPr>
            <w:tcW w:w="273" w:type="pct"/>
            <w:tcBorders>
              <w:top w:val="nil"/>
              <w:left w:val="nil"/>
              <w:bottom w:val="single" w:sz="4" w:space="0" w:color="auto"/>
              <w:right w:val="nil"/>
            </w:tcBorders>
          </w:tcPr>
          <w:p w14:paraId="56170282"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p>
        </w:tc>
        <w:tc>
          <w:tcPr>
            <w:tcW w:w="225" w:type="pct"/>
            <w:tcBorders>
              <w:top w:val="nil"/>
              <w:left w:val="nil"/>
              <w:bottom w:val="single" w:sz="4" w:space="0" w:color="auto"/>
              <w:right w:val="nil"/>
            </w:tcBorders>
          </w:tcPr>
          <w:p w14:paraId="4BC81C41"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p>
        </w:tc>
        <w:tc>
          <w:tcPr>
            <w:tcW w:w="2722" w:type="pct"/>
            <w:gridSpan w:val="11"/>
            <w:tcBorders>
              <w:top w:val="nil"/>
              <w:left w:val="nil"/>
              <w:bottom w:val="single" w:sz="4" w:space="0" w:color="auto"/>
              <w:right w:val="nil"/>
            </w:tcBorders>
          </w:tcPr>
          <w:p w14:paraId="56F0BA16"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p>
        </w:tc>
        <w:tc>
          <w:tcPr>
            <w:tcW w:w="80" w:type="pct"/>
            <w:tcBorders>
              <w:top w:val="nil"/>
              <w:left w:val="nil"/>
              <w:bottom w:val="single" w:sz="4" w:space="0" w:color="auto"/>
              <w:right w:val="nil"/>
            </w:tcBorders>
          </w:tcPr>
          <w:p w14:paraId="6C1FBAFA" w14:textId="77777777" w:rsidR="00776172" w:rsidRPr="00224C29" w:rsidRDefault="00776172" w:rsidP="00954A44">
            <w:pPr>
              <w:widowControl w:val="0"/>
              <w:autoSpaceDE w:val="0"/>
              <w:autoSpaceDN w:val="0"/>
              <w:adjustRightInd w:val="0"/>
              <w:spacing w:after="0" w:line="360" w:lineRule="auto"/>
              <w:rPr>
                <w:rFonts w:ascii="Garamond" w:hAnsi="Garamond" w:cs="Times New Roman"/>
                <w:sz w:val="20"/>
                <w:szCs w:val="20"/>
                <w:lang w:val="en-US"/>
              </w:rPr>
            </w:pPr>
          </w:p>
        </w:tc>
      </w:tr>
      <w:tr w:rsidR="00776172" w:rsidRPr="00224C29" w14:paraId="43852818" w14:textId="77777777" w:rsidTr="00E91856">
        <w:trPr>
          <w:gridAfter w:val="1"/>
          <w:wAfter w:w="80" w:type="pct"/>
        </w:trPr>
        <w:tc>
          <w:tcPr>
            <w:tcW w:w="4703" w:type="pct"/>
            <w:gridSpan w:val="16"/>
            <w:tcBorders>
              <w:top w:val="single" w:sz="4" w:space="0" w:color="auto"/>
              <w:left w:val="nil"/>
              <w:bottom w:val="single" w:sz="6" w:space="0" w:color="auto"/>
              <w:right w:val="nil"/>
            </w:tcBorders>
          </w:tcPr>
          <w:p w14:paraId="0DEC8386" w14:textId="77777777" w:rsidR="00776172" w:rsidRPr="00224C29" w:rsidRDefault="00776172" w:rsidP="00954A44">
            <w:pPr>
              <w:widowControl w:val="0"/>
              <w:autoSpaceDE w:val="0"/>
              <w:autoSpaceDN w:val="0"/>
              <w:adjustRightInd w:val="0"/>
              <w:spacing w:after="0" w:line="360" w:lineRule="auto"/>
              <w:rPr>
                <w:rFonts w:ascii="Garamond" w:hAnsi="Garamond" w:cs="Times New Roman"/>
                <w:b/>
                <w:sz w:val="20"/>
                <w:szCs w:val="20"/>
                <w:lang w:val="en-US"/>
              </w:rPr>
            </w:pPr>
            <w:r w:rsidRPr="00224C29">
              <w:rPr>
                <w:rFonts w:ascii="Garamond" w:hAnsi="Garamond" w:cs="Times New Roman"/>
                <w:b/>
                <w:sz w:val="20"/>
                <w:szCs w:val="20"/>
                <w:lang w:val="en-US"/>
              </w:rPr>
              <w:t>Notes:</w:t>
            </w:r>
          </w:p>
          <w:p w14:paraId="457E6347" w14:textId="77777777" w:rsidR="001B6CA5" w:rsidRDefault="001B6CA5" w:rsidP="00B009DB">
            <w:pPr>
              <w:pStyle w:val="ListParagraph"/>
              <w:widowControl w:val="0"/>
              <w:numPr>
                <w:ilvl w:val="0"/>
                <w:numId w:val="3"/>
              </w:numPr>
              <w:autoSpaceDE w:val="0"/>
              <w:autoSpaceDN w:val="0"/>
              <w:adjustRightInd w:val="0"/>
              <w:spacing w:after="0" w:line="240" w:lineRule="auto"/>
              <w:jc w:val="both"/>
              <w:rPr>
                <w:rFonts w:ascii="Garamond" w:hAnsi="Garamond" w:cs="Times New Roman"/>
                <w:sz w:val="20"/>
                <w:szCs w:val="20"/>
                <w:lang w:val="en-US"/>
              </w:rPr>
            </w:pPr>
            <w:r>
              <w:rPr>
                <w:rFonts w:ascii="Garamond" w:hAnsi="Garamond" w:cs="Times New Roman"/>
                <w:sz w:val="20"/>
                <w:szCs w:val="20"/>
                <w:lang w:val="en-US"/>
              </w:rPr>
              <w:t>MFIs get a financial-social performance code depending on the extent they meet financial and social performance targets as described in the main text.</w:t>
            </w:r>
          </w:p>
          <w:p w14:paraId="1CB36C18" w14:textId="4B4EBD74" w:rsidR="00776172" w:rsidRPr="00224C29" w:rsidRDefault="00776172" w:rsidP="00B009DB">
            <w:pPr>
              <w:pStyle w:val="ListParagraph"/>
              <w:widowControl w:val="0"/>
              <w:numPr>
                <w:ilvl w:val="0"/>
                <w:numId w:val="3"/>
              </w:numPr>
              <w:autoSpaceDE w:val="0"/>
              <w:autoSpaceDN w:val="0"/>
              <w:adjustRightInd w:val="0"/>
              <w:spacing w:after="0" w:line="240" w:lineRule="auto"/>
              <w:jc w:val="both"/>
              <w:rPr>
                <w:rFonts w:ascii="Garamond" w:hAnsi="Garamond" w:cs="Times New Roman"/>
                <w:sz w:val="20"/>
                <w:szCs w:val="20"/>
                <w:lang w:val="en-US"/>
              </w:rPr>
            </w:pPr>
            <w:r w:rsidRPr="00224C29">
              <w:rPr>
                <w:rFonts w:ascii="Garamond" w:hAnsi="Garamond" w:cs="Times New Roman"/>
                <w:sz w:val="20"/>
                <w:szCs w:val="20"/>
                <w:lang w:val="en-US"/>
              </w:rPr>
              <w:t>There is a high correlation between</w:t>
            </w:r>
            <w:r w:rsidR="00AA1B4D">
              <w:rPr>
                <w:rFonts w:ascii="Garamond" w:hAnsi="Garamond" w:cs="Times New Roman"/>
                <w:sz w:val="20"/>
                <w:szCs w:val="20"/>
                <w:lang w:val="en-US"/>
              </w:rPr>
              <w:t xml:space="preserve"> the </w:t>
            </w:r>
            <w:proofErr w:type="gramStart"/>
            <w:r w:rsidR="00AA1B4D">
              <w:rPr>
                <w:rFonts w:ascii="Garamond" w:hAnsi="Garamond" w:cs="Times New Roman"/>
                <w:sz w:val="20"/>
                <w:szCs w:val="20"/>
                <w:lang w:val="en-US"/>
              </w:rPr>
              <w:t>following</w:t>
            </w:r>
            <w:r w:rsidRPr="00224C29">
              <w:rPr>
                <w:rFonts w:ascii="Garamond" w:hAnsi="Garamond" w:cs="Times New Roman"/>
                <w:sz w:val="20"/>
                <w:szCs w:val="20"/>
                <w:lang w:val="en-US"/>
              </w:rPr>
              <w:t>;</w:t>
            </w:r>
            <w:proofErr w:type="gramEnd"/>
          </w:p>
          <w:p w14:paraId="2A468B45" w14:textId="77777777" w:rsidR="00776172" w:rsidRPr="00224C29" w:rsidRDefault="00776172" w:rsidP="00B009DB">
            <w:pPr>
              <w:pStyle w:val="ListParagraph"/>
              <w:widowControl w:val="0"/>
              <w:numPr>
                <w:ilvl w:val="0"/>
                <w:numId w:val="4"/>
              </w:numPr>
              <w:autoSpaceDE w:val="0"/>
              <w:autoSpaceDN w:val="0"/>
              <w:adjustRightInd w:val="0"/>
              <w:spacing w:after="0" w:line="240" w:lineRule="auto"/>
              <w:jc w:val="both"/>
              <w:rPr>
                <w:rFonts w:ascii="Garamond" w:hAnsi="Garamond" w:cs="Times New Roman"/>
                <w:sz w:val="20"/>
                <w:szCs w:val="20"/>
                <w:lang w:val="en-US"/>
              </w:rPr>
            </w:pPr>
            <w:r w:rsidRPr="00224C29">
              <w:rPr>
                <w:rFonts w:ascii="Garamond" w:hAnsi="Garamond" w:cs="Times New Roman"/>
                <w:sz w:val="20"/>
                <w:szCs w:val="20"/>
                <w:lang w:val="en-US"/>
              </w:rPr>
              <w:t>Size of MFI and age- with the older MFIs having more assets than the relatively young ones.</w:t>
            </w:r>
          </w:p>
          <w:p w14:paraId="6F599288" w14:textId="77777777" w:rsidR="00776172" w:rsidRPr="00224C29" w:rsidRDefault="00776172" w:rsidP="00B009DB">
            <w:pPr>
              <w:pStyle w:val="ListParagraph"/>
              <w:widowControl w:val="0"/>
              <w:numPr>
                <w:ilvl w:val="0"/>
                <w:numId w:val="4"/>
              </w:numPr>
              <w:autoSpaceDE w:val="0"/>
              <w:autoSpaceDN w:val="0"/>
              <w:adjustRightInd w:val="0"/>
              <w:spacing w:after="0" w:line="240" w:lineRule="auto"/>
              <w:jc w:val="both"/>
              <w:rPr>
                <w:rFonts w:ascii="Garamond" w:hAnsi="Garamond" w:cs="Times New Roman"/>
                <w:sz w:val="20"/>
                <w:szCs w:val="20"/>
                <w:lang w:val="en-US"/>
              </w:rPr>
            </w:pPr>
            <w:r w:rsidRPr="00224C29">
              <w:rPr>
                <w:rFonts w:ascii="Garamond" w:hAnsi="Garamond" w:cs="Times New Roman"/>
                <w:sz w:val="20"/>
                <w:szCs w:val="20"/>
                <w:lang w:val="en-US"/>
              </w:rPr>
              <w:t>Legal tradition and region are correlated, with legal traditions clustered in regions. For instance, most of Eastern and Southern Africa follows common law with some exceptions of, among others, Madagascar, Mozambique, Ethiopia, and Rwanda. Likewise, West Africa is predominantly of civil law tradition- with notable exceptions like Nigeria and Ghana.</w:t>
            </w:r>
          </w:p>
          <w:p w14:paraId="5A575BA6" w14:textId="77777777" w:rsidR="00776172" w:rsidRPr="00224C29" w:rsidRDefault="00776172" w:rsidP="00B009DB">
            <w:pPr>
              <w:pStyle w:val="ListParagraph"/>
              <w:widowControl w:val="0"/>
              <w:numPr>
                <w:ilvl w:val="0"/>
                <w:numId w:val="3"/>
              </w:numPr>
              <w:autoSpaceDE w:val="0"/>
              <w:autoSpaceDN w:val="0"/>
              <w:adjustRightInd w:val="0"/>
              <w:spacing w:after="0" w:line="240" w:lineRule="auto"/>
              <w:jc w:val="both"/>
              <w:rPr>
                <w:rFonts w:ascii="Garamond" w:hAnsi="Garamond" w:cs="Times New Roman"/>
                <w:sz w:val="20"/>
                <w:szCs w:val="20"/>
                <w:lang w:val="en-US"/>
              </w:rPr>
            </w:pPr>
            <w:r w:rsidRPr="00224C29">
              <w:rPr>
                <w:rFonts w:ascii="Garamond" w:hAnsi="Garamond" w:cs="Times New Roman"/>
                <w:sz w:val="20"/>
                <w:szCs w:val="20"/>
                <w:lang w:val="en-US"/>
              </w:rPr>
              <w:t xml:space="preserve">We run a pooled </w:t>
            </w:r>
            <w:r w:rsidR="001B6CA5">
              <w:rPr>
                <w:rFonts w:ascii="Garamond" w:hAnsi="Garamond" w:cs="Times New Roman"/>
                <w:sz w:val="20"/>
                <w:szCs w:val="20"/>
                <w:lang w:val="en-US"/>
              </w:rPr>
              <w:t xml:space="preserve">multinomial </w:t>
            </w:r>
            <w:r w:rsidRPr="00224C29">
              <w:rPr>
                <w:rFonts w:ascii="Garamond" w:hAnsi="Garamond" w:cs="Times New Roman"/>
                <w:sz w:val="20"/>
                <w:szCs w:val="20"/>
                <w:lang w:val="en-US"/>
              </w:rPr>
              <w:t xml:space="preserve">logit/probit. The resultant variance inflation factors mean that multi-collinearity is not a significant problem. </w:t>
            </w:r>
          </w:p>
          <w:p w14:paraId="6463CD0A" w14:textId="77777777" w:rsidR="00776172" w:rsidRPr="00224C29" w:rsidRDefault="00776172" w:rsidP="00B009DB">
            <w:pPr>
              <w:pStyle w:val="ListParagraph"/>
              <w:widowControl w:val="0"/>
              <w:numPr>
                <w:ilvl w:val="0"/>
                <w:numId w:val="3"/>
              </w:numPr>
              <w:autoSpaceDE w:val="0"/>
              <w:autoSpaceDN w:val="0"/>
              <w:adjustRightInd w:val="0"/>
              <w:spacing w:after="0" w:line="240" w:lineRule="auto"/>
              <w:jc w:val="both"/>
              <w:rPr>
                <w:rFonts w:ascii="Garamond" w:hAnsi="Garamond" w:cs="Times New Roman"/>
                <w:sz w:val="20"/>
                <w:szCs w:val="20"/>
                <w:lang w:val="en-US"/>
              </w:rPr>
            </w:pPr>
            <w:r w:rsidRPr="00224C29">
              <w:rPr>
                <w:rFonts w:ascii="Garamond" w:hAnsi="Garamond" w:cs="Times New Roman"/>
                <w:sz w:val="20"/>
                <w:szCs w:val="20"/>
                <w:lang w:val="en-US"/>
              </w:rPr>
              <w:t>We also run regressions that exclude size and legal tradition where both age and region are still significant.</w:t>
            </w:r>
          </w:p>
          <w:p w14:paraId="63BDDB63" w14:textId="77777777" w:rsidR="00776172" w:rsidRPr="00224C29" w:rsidRDefault="00776172" w:rsidP="00B009DB">
            <w:pPr>
              <w:pStyle w:val="ListParagraph"/>
              <w:widowControl w:val="0"/>
              <w:numPr>
                <w:ilvl w:val="0"/>
                <w:numId w:val="3"/>
              </w:numPr>
              <w:autoSpaceDE w:val="0"/>
              <w:autoSpaceDN w:val="0"/>
              <w:adjustRightInd w:val="0"/>
              <w:spacing w:after="0" w:line="240" w:lineRule="auto"/>
              <w:jc w:val="both"/>
              <w:rPr>
                <w:rFonts w:ascii="Garamond" w:hAnsi="Garamond" w:cs="Times New Roman"/>
                <w:sz w:val="20"/>
                <w:szCs w:val="20"/>
                <w:lang w:val="en-US"/>
              </w:rPr>
            </w:pPr>
            <w:r w:rsidRPr="00224C29">
              <w:rPr>
                <w:rFonts w:ascii="Garamond" w:hAnsi="Garamond" w:cs="Times New Roman"/>
                <w:sz w:val="20"/>
                <w:szCs w:val="20"/>
                <w:lang w:val="en-US"/>
              </w:rPr>
              <w:t xml:space="preserve">Another solution to multi-collinearity is to have a large sample size. Some researchers suggest a ratio of 50 to 100 observations per independent variable. In this case, we have a maximum of 3400 observations that exceed the threshold. </w:t>
            </w:r>
          </w:p>
          <w:p w14:paraId="05964E3E" w14:textId="77777777" w:rsidR="00776172" w:rsidRPr="00224C29" w:rsidRDefault="00776172" w:rsidP="00B009DB">
            <w:pPr>
              <w:pStyle w:val="ListParagraph"/>
              <w:widowControl w:val="0"/>
              <w:numPr>
                <w:ilvl w:val="0"/>
                <w:numId w:val="3"/>
              </w:numPr>
              <w:autoSpaceDE w:val="0"/>
              <w:autoSpaceDN w:val="0"/>
              <w:adjustRightInd w:val="0"/>
              <w:spacing w:after="0" w:line="240" w:lineRule="auto"/>
              <w:jc w:val="both"/>
              <w:rPr>
                <w:rFonts w:ascii="Garamond" w:hAnsi="Garamond" w:cs="Times New Roman"/>
                <w:sz w:val="20"/>
                <w:szCs w:val="20"/>
                <w:lang w:val="en-US"/>
              </w:rPr>
            </w:pPr>
            <w:r w:rsidRPr="00224C29">
              <w:rPr>
                <w:rFonts w:ascii="Garamond" w:hAnsi="Garamond" w:cs="Times New Roman"/>
                <w:sz w:val="20"/>
                <w:szCs w:val="20"/>
                <w:lang w:val="en-US"/>
              </w:rPr>
              <w:t>An extended table of descriptive statistics for the panel dataset is in the appendix ().</w:t>
            </w:r>
          </w:p>
        </w:tc>
        <w:tc>
          <w:tcPr>
            <w:tcW w:w="217" w:type="pct"/>
            <w:tcBorders>
              <w:top w:val="single" w:sz="4" w:space="0" w:color="auto"/>
              <w:left w:val="nil"/>
              <w:bottom w:val="single" w:sz="6" w:space="0" w:color="auto"/>
              <w:right w:val="nil"/>
            </w:tcBorders>
          </w:tcPr>
          <w:p w14:paraId="72445BDD" w14:textId="77777777" w:rsidR="00776172" w:rsidRPr="00224C29" w:rsidRDefault="00776172" w:rsidP="00954A44">
            <w:pPr>
              <w:widowControl w:val="0"/>
              <w:autoSpaceDE w:val="0"/>
              <w:autoSpaceDN w:val="0"/>
              <w:adjustRightInd w:val="0"/>
              <w:spacing w:after="0" w:line="360" w:lineRule="auto"/>
              <w:rPr>
                <w:rFonts w:ascii="Garamond" w:hAnsi="Garamond" w:cs="Times New Roman"/>
                <w:b/>
                <w:sz w:val="20"/>
                <w:szCs w:val="20"/>
                <w:lang w:val="en-US"/>
              </w:rPr>
            </w:pPr>
          </w:p>
        </w:tc>
      </w:tr>
    </w:tbl>
    <w:p w14:paraId="665FEF77" w14:textId="77777777" w:rsidR="00224C29" w:rsidRDefault="00485121" w:rsidP="00954A44">
      <w:pPr>
        <w:spacing w:line="360" w:lineRule="auto"/>
        <w:rPr>
          <w:rFonts w:ascii="Garamond" w:hAnsi="Garamond"/>
          <w:b/>
          <w:sz w:val="20"/>
          <w:szCs w:val="20"/>
        </w:rPr>
      </w:pPr>
      <w:r w:rsidRPr="00224C29">
        <w:rPr>
          <w:rFonts w:ascii="Garamond" w:hAnsi="Garamond"/>
          <w:b/>
          <w:sz w:val="20"/>
          <w:szCs w:val="20"/>
        </w:rPr>
        <w:t>Source: Authors’ Construction</w:t>
      </w:r>
    </w:p>
    <w:p w14:paraId="0972A4C4" w14:textId="77777777" w:rsidR="00B009DB" w:rsidRPr="00954A44" w:rsidRDefault="00B009DB" w:rsidP="00954A44">
      <w:pPr>
        <w:spacing w:line="360" w:lineRule="auto"/>
        <w:rPr>
          <w:rFonts w:ascii="Garamond" w:hAnsi="Garamond"/>
          <w:b/>
          <w:sz w:val="20"/>
          <w:szCs w:val="20"/>
        </w:rPr>
      </w:pPr>
    </w:p>
    <w:p w14:paraId="0E27A256" w14:textId="77777777" w:rsidR="00485121" w:rsidRPr="00224C29" w:rsidRDefault="00485121" w:rsidP="00954A44">
      <w:pPr>
        <w:pStyle w:val="Caption"/>
        <w:spacing w:line="360" w:lineRule="auto"/>
        <w:rPr>
          <w:b/>
          <w:color w:val="auto"/>
          <w:sz w:val="24"/>
          <w:szCs w:val="24"/>
        </w:rPr>
      </w:pPr>
      <w:r w:rsidRPr="00224C29">
        <w:rPr>
          <w:b/>
          <w:color w:val="auto"/>
          <w:sz w:val="24"/>
          <w:szCs w:val="24"/>
        </w:rPr>
        <w:lastRenderedPageBreak/>
        <w:t xml:space="preserve">Table </w:t>
      </w:r>
      <w:r w:rsidRPr="00224C29">
        <w:rPr>
          <w:b/>
          <w:color w:val="auto"/>
          <w:sz w:val="24"/>
          <w:szCs w:val="24"/>
        </w:rPr>
        <w:fldChar w:fldCharType="begin"/>
      </w:r>
      <w:r w:rsidRPr="00224C29">
        <w:rPr>
          <w:b/>
          <w:color w:val="auto"/>
          <w:sz w:val="24"/>
          <w:szCs w:val="24"/>
        </w:rPr>
        <w:instrText xml:space="preserve"> SEQ Table \* ARABIC </w:instrText>
      </w:r>
      <w:r w:rsidRPr="00224C29">
        <w:rPr>
          <w:b/>
          <w:color w:val="auto"/>
          <w:sz w:val="24"/>
          <w:szCs w:val="24"/>
        </w:rPr>
        <w:fldChar w:fldCharType="separate"/>
      </w:r>
      <w:r w:rsidR="0022605C">
        <w:rPr>
          <w:b/>
          <w:noProof/>
          <w:color w:val="auto"/>
          <w:sz w:val="24"/>
          <w:szCs w:val="24"/>
        </w:rPr>
        <w:t>4</w:t>
      </w:r>
      <w:r w:rsidRPr="00224C29">
        <w:rPr>
          <w:b/>
          <w:color w:val="auto"/>
          <w:sz w:val="24"/>
          <w:szCs w:val="24"/>
        </w:rPr>
        <w:fldChar w:fldCharType="end"/>
      </w:r>
      <w:r w:rsidRPr="00224C29">
        <w:rPr>
          <w:b/>
          <w:color w:val="auto"/>
          <w:sz w:val="24"/>
          <w:szCs w:val="24"/>
        </w:rPr>
        <w:t>: Stationarity Tests for Variables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284"/>
        <w:gridCol w:w="2284"/>
        <w:gridCol w:w="2401"/>
        <w:gridCol w:w="2284"/>
        <w:gridCol w:w="2348"/>
      </w:tblGrid>
      <w:tr w:rsidR="00485121" w:rsidRPr="00224C29" w14:paraId="1F129981" w14:textId="77777777" w:rsidTr="00443F91">
        <w:tc>
          <w:tcPr>
            <w:tcW w:w="5000" w:type="pct"/>
            <w:gridSpan w:val="6"/>
            <w:tcBorders>
              <w:top w:val="single" w:sz="4" w:space="0" w:color="auto"/>
              <w:bottom w:val="single" w:sz="4" w:space="0" w:color="auto"/>
            </w:tcBorders>
          </w:tcPr>
          <w:p w14:paraId="218B7A63" w14:textId="77777777" w:rsidR="00485121" w:rsidRPr="00224C29" w:rsidRDefault="00485121" w:rsidP="003A76C0">
            <w:pPr>
              <w:spacing w:line="360" w:lineRule="auto"/>
              <w:rPr>
                <w:rFonts w:ascii="Garamond" w:hAnsi="Garamond"/>
                <w:sz w:val="20"/>
                <w:szCs w:val="20"/>
              </w:rPr>
            </w:pPr>
            <w:r w:rsidRPr="00224C29">
              <w:rPr>
                <w:rFonts w:ascii="Garamond" w:hAnsi="Garamond"/>
                <w:sz w:val="20"/>
                <w:szCs w:val="20"/>
              </w:rPr>
              <w:t>We ran the Fisher type unit root tests based on the augmented Dickey-Fuller tests of stationarity that can handle instances of missing data points in a panel setting. The variable total assets (for the size of MFI) was not stationary, but the natural logarithm (</w:t>
            </w:r>
            <w:proofErr w:type="spellStart"/>
            <w:r w:rsidRPr="00224C29">
              <w:rPr>
                <w:rFonts w:ascii="Garamond" w:hAnsi="Garamond"/>
                <w:sz w:val="20"/>
                <w:szCs w:val="20"/>
              </w:rPr>
              <w:t>lassets</w:t>
            </w:r>
            <w:proofErr w:type="spellEnd"/>
            <w:r w:rsidRPr="00224C29">
              <w:rPr>
                <w:rFonts w:ascii="Garamond" w:hAnsi="Garamond"/>
                <w:sz w:val="20"/>
                <w:szCs w:val="20"/>
              </w:rPr>
              <w:t xml:space="preserve">), was. Further, we transformed education and institutional quality by taking the first difference. </w:t>
            </w:r>
          </w:p>
          <w:p w14:paraId="7EE2E3D4" w14:textId="77777777" w:rsidR="00485121" w:rsidRPr="00224C29" w:rsidRDefault="00485121" w:rsidP="003A76C0">
            <w:pPr>
              <w:spacing w:line="360" w:lineRule="auto"/>
              <w:rPr>
                <w:rFonts w:ascii="Garamond" w:hAnsi="Garamond"/>
                <w:b/>
              </w:rPr>
            </w:pPr>
            <w:r w:rsidRPr="00224C29">
              <w:rPr>
                <w:rFonts w:ascii="Garamond" w:hAnsi="Garamond"/>
                <w:b/>
              </w:rPr>
              <w:t>Hypotheses: HO:</w:t>
            </w:r>
            <w:r w:rsidRPr="00224C29">
              <w:rPr>
                <w:rFonts w:ascii="Garamond" w:hAnsi="Garamond"/>
              </w:rPr>
              <w:t xml:space="preserve"> All panels contain unit-roots.</w:t>
            </w:r>
          </w:p>
          <w:p w14:paraId="614B413D" w14:textId="77777777" w:rsidR="00485121" w:rsidRPr="00224C29" w:rsidRDefault="00485121" w:rsidP="003A76C0">
            <w:pPr>
              <w:pStyle w:val="ListParagraph"/>
              <w:spacing w:line="360" w:lineRule="auto"/>
              <w:rPr>
                <w:rFonts w:ascii="Garamond" w:hAnsi="Garamond"/>
              </w:rPr>
            </w:pPr>
            <w:r w:rsidRPr="00224C29">
              <w:rPr>
                <w:rFonts w:ascii="Garamond" w:hAnsi="Garamond"/>
                <w:b/>
              </w:rPr>
              <w:t xml:space="preserve">           H1:</w:t>
            </w:r>
            <w:r w:rsidRPr="00224C29">
              <w:rPr>
                <w:rFonts w:ascii="Garamond" w:hAnsi="Garamond"/>
              </w:rPr>
              <w:t xml:space="preserve">  At least one panel is stationary.</w:t>
            </w:r>
          </w:p>
        </w:tc>
      </w:tr>
      <w:tr w:rsidR="00485121" w:rsidRPr="00224C29" w14:paraId="653DB551" w14:textId="77777777" w:rsidTr="00443F91">
        <w:tc>
          <w:tcPr>
            <w:tcW w:w="845" w:type="pct"/>
            <w:tcBorders>
              <w:top w:val="single" w:sz="4" w:space="0" w:color="auto"/>
              <w:bottom w:val="single" w:sz="4" w:space="0" w:color="auto"/>
            </w:tcBorders>
          </w:tcPr>
          <w:p w14:paraId="2797A343" w14:textId="77777777" w:rsidR="00485121" w:rsidRPr="00224C29" w:rsidRDefault="00485121" w:rsidP="003A76C0">
            <w:pPr>
              <w:spacing w:line="360" w:lineRule="auto"/>
              <w:rPr>
                <w:rFonts w:ascii="Garamond" w:hAnsi="Garamond"/>
              </w:rPr>
            </w:pPr>
          </w:p>
        </w:tc>
        <w:tc>
          <w:tcPr>
            <w:tcW w:w="818" w:type="pct"/>
            <w:tcBorders>
              <w:top w:val="single" w:sz="4" w:space="0" w:color="auto"/>
              <w:bottom w:val="single" w:sz="4" w:space="0" w:color="auto"/>
            </w:tcBorders>
          </w:tcPr>
          <w:p w14:paraId="7F5EFA0F" w14:textId="77777777" w:rsidR="00485121" w:rsidRPr="00224C29" w:rsidRDefault="00485121" w:rsidP="003A76C0">
            <w:pPr>
              <w:spacing w:line="360" w:lineRule="auto"/>
              <w:rPr>
                <w:rFonts w:ascii="Garamond" w:hAnsi="Garamond"/>
              </w:rPr>
            </w:pPr>
            <w:r w:rsidRPr="00224C29">
              <w:rPr>
                <w:rFonts w:ascii="Garamond" w:hAnsi="Garamond" w:cs="Times New Roman"/>
                <w:szCs w:val="24"/>
                <w:lang w:val="en-US"/>
              </w:rPr>
              <w:t>Size (</w:t>
            </w:r>
            <w:proofErr w:type="spellStart"/>
            <w:r w:rsidRPr="00224C29">
              <w:rPr>
                <w:rFonts w:ascii="Garamond" w:hAnsi="Garamond" w:cs="Times New Roman"/>
                <w:szCs w:val="24"/>
                <w:lang w:val="en-US"/>
              </w:rPr>
              <w:t>lassets</w:t>
            </w:r>
            <w:proofErr w:type="spellEnd"/>
            <w:r w:rsidRPr="00224C29">
              <w:rPr>
                <w:rFonts w:ascii="Garamond" w:hAnsi="Garamond" w:cs="Times New Roman"/>
                <w:szCs w:val="24"/>
                <w:lang w:val="en-US"/>
              </w:rPr>
              <w:t>)</w:t>
            </w:r>
          </w:p>
        </w:tc>
        <w:tc>
          <w:tcPr>
            <w:tcW w:w="818" w:type="pct"/>
            <w:tcBorders>
              <w:top w:val="single" w:sz="4" w:space="0" w:color="auto"/>
              <w:bottom w:val="single" w:sz="4" w:space="0" w:color="auto"/>
            </w:tcBorders>
          </w:tcPr>
          <w:p w14:paraId="79ABFE8B" w14:textId="77777777" w:rsidR="00485121" w:rsidRPr="00224C29" w:rsidRDefault="00485121" w:rsidP="003A76C0">
            <w:pPr>
              <w:spacing w:line="360" w:lineRule="auto"/>
              <w:rPr>
                <w:rFonts w:ascii="Garamond" w:hAnsi="Garamond"/>
              </w:rPr>
            </w:pPr>
            <w:r w:rsidRPr="00224C29">
              <w:rPr>
                <w:rFonts w:ascii="Garamond" w:hAnsi="Garamond" w:cs="Times New Roman"/>
                <w:szCs w:val="24"/>
                <w:lang w:val="en-US"/>
              </w:rPr>
              <w:t>GDP Growth</w:t>
            </w:r>
          </w:p>
        </w:tc>
        <w:tc>
          <w:tcPr>
            <w:tcW w:w="860" w:type="pct"/>
            <w:tcBorders>
              <w:top w:val="single" w:sz="4" w:space="0" w:color="auto"/>
              <w:bottom w:val="single" w:sz="4" w:space="0" w:color="auto"/>
            </w:tcBorders>
          </w:tcPr>
          <w:p w14:paraId="56510651" w14:textId="77777777" w:rsidR="00485121" w:rsidRPr="00224C29" w:rsidRDefault="00485121" w:rsidP="003A76C0">
            <w:pPr>
              <w:spacing w:line="360" w:lineRule="auto"/>
              <w:rPr>
                <w:rFonts w:ascii="Garamond" w:hAnsi="Garamond" w:cs="Times New Roman"/>
                <w:szCs w:val="24"/>
                <w:lang w:val="en-US"/>
              </w:rPr>
            </w:pPr>
            <w:r w:rsidRPr="00224C29">
              <w:rPr>
                <w:rFonts w:ascii="Garamond" w:hAnsi="Garamond" w:cs="Times New Roman"/>
                <w:szCs w:val="24"/>
                <w:lang w:val="en-US"/>
              </w:rPr>
              <w:t>Institutional</w:t>
            </w:r>
          </w:p>
          <w:p w14:paraId="7D6C39F3" w14:textId="77777777" w:rsidR="00485121" w:rsidRPr="00224C29" w:rsidRDefault="00485121" w:rsidP="003A76C0">
            <w:pPr>
              <w:spacing w:line="360" w:lineRule="auto"/>
              <w:rPr>
                <w:rFonts w:ascii="Garamond" w:hAnsi="Garamond"/>
              </w:rPr>
            </w:pPr>
            <w:r w:rsidRPr="00224C29">
              <w:rPr>
                <w:rFonts w:ascii="Garamond" w:hAnsi="Garamond" w:cs="Times New Roman"/>
                <w:szCs w:val="24"/>
                <w:lang w:val="en-US"/>
              </w:rPr>
              <w:t>Quality (</w:t>
            </w:r>
            <w:proofErr w:type="spellStart"/>
            <w:r w:rsidRPr="00224C29">
              <w:rPr>
                <w:rFonts w:ascii="Garamond" w:hAnsi="Garamond" w:cs="Times New Roman"/>
                <w:szCs w:val="24"/>
                <w:lang w:val="en-US"/>
              </w:rPr>
              <w:t>dkkm</w:t>
            </w:r>
            <w:proofErr w:type="spellEnd"/>
            <w:r w:rsidRPr="00224C29">
              <w:rPr>
                <w:rFonts w:ascii="Garamond" w:hAnsi="Garamond" w:cs="Times New Roman"/>
                <w:szCs w:val="24"/>
                <w:lang w:val="en-US"/>
              </w:rPr>
              <w:t>)</w:t>
            </w:r>
          </w:p>
        </w:tc>
        <w:tc>
          <w:tcPr>
            <w:tcW w:w="818" w:type="pct"/>
            <w:tcBorders>
              <w:top w:val="single" w:sz="4" w:space="0" w:color="auto"/>
              <w:bottom w:val="single" w:sz="4" w:space="0" w:color="auto"/>
            </w:tcBorders>
          </w:tcPr>
          <w:p w14:paraId="3BF80807" w14:textId="77777777" w:rsidR="00485121" w:rsidRPr="00224C29" w:rsidRDefault="00485121" w:rsidP="003A76C0">
            <w:pPr>
              <w:spacing w:line="360" w:lineRule="auto"/>
              <w:rPr>
                <w:rFonts w:ascii="Garamond" w:hAnsi="Garamond" w:cs="Times New Roman"/>
                <w:szCs w:val="24"/>
                <w:lang w:val="en-US"/>
              </w:rPr>
            </w:pPr>
            <w:r w:rsidRPr="00224C29">
              <w:rPr>
                <w:rFonts w:ascii="Garamond" w:hAnsi="Garamond" w:cs="Times New Roman"/>
                <w:szCs w:val="24"/>
                <w:lang w:val="en-US"/>
              </w:rPr>
              <w:t xml:space="preserve">Education </w:t>
            </w:r>
          </w:p>
          <w:p w14:paraId="3558CBFC" w14:textId="77777777" w:rsidR="00485121" w:rsidRPr="00224C29" w:rsidRDefault="00485121" w:rsidP="003A76C0">
            <w:pPr>
              <w:spacing w:line="360" w:lineRule="auto"/>
              <w:rPr>
                <w:rFonts w:ascii="Garamond" w:hAnsi="Garamond"/>
              </w:rPr>
            </w:pPr>
            <w:r w:rsidRPr="00224C29">
              <w:rPr>
                <w:rFonts w:ascii="Garamond" w:hAnsi="Garamond" w:cs="Times New Roman"/>
                <w:szCs w:val="24"/>
                <w:lang w:val="en-US"/>
              </w:rPr>
              <w:t>(</w:t>
            </w:r>
            <w:proofErr w:type="spellStart"/>
            <w:r w:rsidRPr="00224C29">
              <w:rPr>
                <w:rFonts w:ascii="Garamond" w:hAnsi="Garamond" w:cs="Times New Roman"/>
                <w:szCs w:val="24"/>
                <w:lang w:val="en-US"/>
              </w:rPr>
              <w:t>deduc</w:t>
            </w:r>
            <w:proofErr w:type="spellEnd"/>
            <w:r w:rsidRPr="00224C29">
              <w:rPr>
                <w:rFonts w:ascii="Garamond" w:hAnsi="Garamond" w:cs="Times New Roman"/>
                <w:szCs w:val="24"/>
                <w:lang w:val="en-US"/>
              </w:rPr>
              <w:t>)</w:t>
            </w:r>
          </w:p>
        </w:tc>
        <w:tc>
          <w:tcPr>
            <w:tcW w:w="841" w:type="pct"/>
            <w:tcBorders>
              <w:top w:val="single" w:sz="4" w:space="0" w:color="auto"/>
              <w:bottom w:val="single" w:sz="4" w:space="0" w:color="auto"/>
            </w:tcBorders>
          </w:tcPr>
          <w:p w14:paraId="2A965B6A" w14:textId="77777777" w:rsidR="00485121" w:rsidRPr="00224C29" w:rsidRDefault="00485121" w:rsidP="003A76C0">
            <w:pPr>
              <w:spacing w:line="360" w:lineRule="auto"/>
              <w:rPr>
                <w:rFonts w:ascii="Garamond" w:hAnsi="Garamond"/>
              </w:rPr>
            </w:pPr>
            <w:r w:rsidRPr="00224C29">
              <w:rPr>
                <w:rFonts w:ascii="Garamond" w:hAnsi="Garamond" w:cs="Times New Roman"/>
                <w:szCs w:val="24"/>
                <w:lang w:val="en-US"/>
              </w:rPr>
              <w:t>Financial Development ((</w:t>
            </w:r>
            <w:proofErr w:type="spellStart"/>
            <w:r w:rsidRPr="00224C29">
              <w:rPr>
                <w:rFonts w:ascii="Garamond" w:hAnsi="Garamond" w:cs="Times New Roman"/>
                <w:szCs w:val="24"/>
                <w:lang w:val="en-US"/>
              </w:rPr>
              <w:t>fd_no_mfi</w:t>
            </w:r>
            <w:proofErr w:type="spellEnd"/>
            <w:r w:rsidRPr="00224C29">
              <w:rPr>
                <w:rFonts w:ascii="Garamond" w:hAnsi="Garamond" w:cs="Times New Roman"/>
                <w:szCs w:val="24"/>
                <w:lang w:val="en-US"/>
              </w:rPr>
              <w:t>)</w:t>
            </w:r>
          </w:p>
        </w:tc>
      </w:tr>
      <w:tr w:rsidR="00485121" w:rsidRPr="00224C29" w14:paraId="7341BB50" w14:textId="77777777" w:rsidTr="00443F91">
        <w:tc>
          <w:tcPr>
            <w:tcW w:w="845" w:type="pct"/>
            <w:tcBorders>
              <w:top w:val="single" w:sz="4" w:space="0" w:color="auto"/>
            </w:tcBorders>
          </w:tcPr>
          <w:p w14:paraId="0B61CD07" w14:textId="77777777" w:rsidR="00485121" w:rsidRPr="00224C29" w:rsidRDefault="00485121" w:rsidP="003A76C0">
            <w:pPr>
              <w:spacing w:line="360" w:lineRule="auto"/>
              <w:rPr>
                <w:rFonts w:ascii="Garamond" w:hAnsi="Garamond"/>
              </w:rPr>
            </w:pPr>
            <w:r w:rsidRPr="00224C29">
              <w:rPr>
                <w:rFonts w:ascii="Garamond" w:hAnsi="Garamond"/>
              </w:rPr>
              <w:t xml:space="preserve">Inverse chi-squared P  </w:t>
            </w:r>
          </w:p>
        </w:tc>
        <w:tc>
          <w:tcPr>
            <w:tcW w:w="818" w:type="pct"/>
            <w:tcBorders>
              <w:top w:val="single" w:sz="4" w:space="0" w:color="auto"/>
            </w:tcBorders>
          </w:tcPr>
          <w:p w14:paraId="42034EE6" w14:textId="77777777" w:rsidR="00485121" w:rsidRPr="00224C29" w:rsidRDefault="00485121" w:rsidP="003A76C0">
            <w:pPr>
              <w:spacing w:line="360" w:lineRule="auto"/>
              <w:rPr>
                <w:rFonts w:ascii="Garamond" w:hAnsi="Garamond"/>
              </w:rPr>
            </w:pPr>
            <w:r w:rsidRPr="00224C29">
              <w:rPr>
                <w:rFonts w:ascii="Garamond" w:hAnsi="Garamond"/>
              </w:rPr>
              <w:t>2074.3879***</w:t>
            </w:r>
          </w:p>
        </w:tc>
        <w:tc>
          <w:tcPr>
            <w:tcW w:w="818" w:type="pct"/>
            <w:tcBorders>
              <w:top w:val="single" w:sz="4" w:space="0" w:color="auto"/>
            </w:tcBorders>
          </w:tcPr>
          <w:p w14:paraId="13F6A0BA" w14:textId="77777777" w:rsidR="00485121" w:rsidRPr="00224C29" w:rsidRDefault="00485121" w:rsidP="003A76C0">
            <w:pPr>
              <w:spacing w:line="360" w:lineRule="auto"/>
              <w:rPr>
                <w:rFonts w:ascii="Garamond" w:hAnsi="Garamond"/>
              </w:rPr>
            </w:pPr>
            <w:r w:rsidRPr="00224C29">
              <w:rPr>
                <w:rFonts w:ascii="Garamond" w:hAnsi="Garamond"/>
              </w:rPr>
              <w:t>3511.7077***</w:t>
            </w:r>
          </w:p>
        </w:tc>
        <w:tc>
          <w:tcPr>
            <w:tcW w:w="860" w:type="pct"/>
            <w:tcBorders>
              <w:top w:val="single" w:sz="4" w:space="0" w:color="auto"/>
            </w:tcBorders>
          </w:tcPr>
          <w:p w14:paraId="7780CADF" w14:textId="77777777" w:rsidR="00485121" w:rsidRPr="00224C29" w:rsidRDefault="00485121" w:rsidP="003A76C0">
            <w:pPr>
              <w:spacing w:line="360" w:lineRule="auto"/>
              <w:rPr>
                <w:rFonts w:ascii="Garamond" w:hAnsi="Garamond"/>
              </w:rPr>
            </w:pPr>
            <w:r w:rsidRPr="00224C29">
              <w:rPr>
                <w:rFonts w:ascii="Garamond" w:hAnsi="Garamond"/>
              </w:rPr>
              <w:t>2896.9486***</w:t>
            </w:r>
          </w:p>
        </w:tc>
        <w:tc>
          <w:tcPr>
            <w:tcW w:w="818" w:type="pct"/>
            <w:tcBorders>
              <w:top w:val="single" w:sz="4" w:space="0" w:color="auto"/>
            </w:tcBorders>
          </w:tcPr>
          <w:p w14:paraId="22F3BBE8" w14:textId="77777777" w:rsidR="00485121" w:rsidRPr="00224C29" w:rsidRDefault="00485121" w:rsidP="003A76C0">
            <w:pPr>
              <w:spacing w:line="360" w:lineRule="auto"/>
              <w:rPr>
                <w:rFonts w:ascii="Garamond" w:hAnsi="Garamond"/>
              </w:rPr>
            </w:pPr>
            <w:r w:rsidRPr="00224C29">
              <w:rPr>
                <w:rFonts w:ascii="Garamond" w:hAnsi="Garamond"/>
              </w:rPr>
              <w:t>3755.3928***</w:t>
            </w:r>
          </w:p>
        </w:tc>
        <w:tc>
          <w:tcPr>
            <w:tcW w:w="841" w:type="pct"/>
            <w:tcBorders>
              <w:top w:val="single" w:sz="4" w:space="0" w:color="auto"/>
            </w:tcBorders>
          </w:tcPr>
          <w:p w14:paraId="7B7C8686" w14:textId="77777777" w:rsidR="00485121" w:rsidRPr="00224C29" w:rsidRDefault="00485121" w:rsidP="003A76C0">
            <w:pPr>
              <w:spacing w:line="360" w:lineRule="auto"/>
              <w:rPr>
                <w:rFonts w:ascii="Garamond" w:hAnsi="Garamond"/>
              </w:rPr>
            </w:pPr>
            <w:r w:rsidRPr="00224C29">
              <w:rPr>
                <w:rFonts w:ascii="Garamond" w:hAnsi="Garamond"/>
              </w:rPr>
              <w:t>2265.7956***</w:t>
            </w:r>
          </w:p>
        </w:tc>
      </w:tr>
      <w:tr w:rsidR="00485121" w:rsidRPr="00224C29" w14:paraId="5DD988EE" w14:textId="77777777" w:rsidTr="00443F91">
        <w:tc>
          <w:tcPr>
            <w:tcW w:w="845" w:type="pct"/>
          </w:tcPr>
          <w:p w14:paraId="3BBBD6FC" w14:textId="77777777" w:rsidR="00485121" w:rsidRPr="00224C29" w:rsidRDefault="00485121" w:rsidP="003A76C0">
            <w:pPr>
              <w:spacing w:line="360" w:lineRule="auto"/>
              <w:rPr>
                <w:rFonts w:ascii="Garamond" w:hAnsi="Garamond"/>
              </w:rPr>
            </w:pPr>
            <w:r w:rsidRPr="00224C29">
              <w:rPr>
                <w:rFonts w:ascii="Garamond" w:hAnsi="Garamond"/>
              </w:rPr>
              <w:t xml:space="preserve">Inverse normal Z         </w:t>
            </w:r>
          </w:p>
        </w:tc>
        <w:tc>
          <w:tcPr>
            <w:tcW w:w="818" w:type="pct"/>
          </w:tcPr>
          <w:p w14:paraId="3033632E" w14:textId="77777777" w:rsidR="00485121" w:rsidRPr="00224C29" w:rsidRDefault="00485121" w:rsidP="003A76C0">
            <w:pPr>
              <w:spacing w:line="360" w:lineRule="auto"/>
              <w:rPr>
                <w:rFonts w:ascii="Garamond" w:hAnsi="Garamond"/>
              </w:rPr>
            </w:pPr>
            <w:r w:rsidRPr="00224C29">
              <w:rPr>
                <w:rFonts w:ascii="Garamond" w:hAnsi="Garamond"/>
              </w:rPr>
              <w:t>-1.4296*</w:t>
            </w:r>
          </w:p>
        </w:tc>
        <w:tc>
          <w:tcPr>
            <w:tcW w:w="818" w:type="pct"/>
          </w:tcPr>
          <w:p w14:paraId="3E70A930" w14:textId="77777777" w:rsidR="00485121" w:rsidRPr="00224C29" w:rsidRDefault="00485121" w:rsidP="003A76C0">
            <w:pPr>
              <w:spacing w:line="360" w:lineRule="auto"/>
              <w:rPr>
                <w:rFonts w:ascii="Garamond" w:hAnsi="Garamond"/>
              </w:rPr>
            </w:pPr>
            <w:r w:rsidRPr="00224C29">
              <w:rPr>
                <w:rFonts w:ascii="Garamond" w:hAnsi="Garamond"/>
              </w:rPr>
              <w:t>-24.1974***</w:t>
            </w:r>
          </w:p>
        </w:tc>
        <w:tc>
          <w:tcPr>
            <w:tcW w:w="860" w:type="pct"/>
          </w:tcPr>
          <w:p w14:paraId="0317693D" w14:textId="77777777" w:rsidR="00485121" w:rsidRPr="00224C29" w:rsidRDefault="00485121" w:rsidP="003A76C0">
            <w:pPr>
              <w:spacing w:line="360" w:lineRule="auto"/>
              <w:rPr>
                <w:rFonts w:ascii="Garamond" w:hAnsi="Garamond"/>
              </w:rPr>
            </w:pPr>
            <w:r w:rsidRPr="00224C29">
              <w:rPr>
                <w:rFonts w:ascii="Garamond" w:hAnsi="Garamond"/>
              </w:rPr>
              <w:t>-26.3351***</w:t>
            </w:r>
          </w:p>
        </w:tc>
        <w:tc>
          <w:tcPr>
            <w:tcW w:w="818" w:type="pct"/>
          </w:tcPr>
          <w:p w14:paraId="342CF19F" w14:textId="77777777" w:rsidR="00485121" w:rsidRPr="00224C29" w:rsidRDefault="00485121" w:rsidP="003A76C0">
            <w:pPr>
              <w:spacing w:line="360" w:lineRule="auto"/>
              <w:rPr>
                <w:rFonts w:ascii="Garamond" w:hAnsi="Garamond"/>
              </w:rPr>
            </w:pPr>
            <w:r w:rsidRPr="00224C29">
              <w:rPr>
                <w:rFonts w:ascii="Garamond" w:hAnsi="Garamond"/>
              </w:rPr>
              <w:t>-35.2380***</w:t>
            </w:r>
          </w:p>
        </w:tc>
        <w:tc>
          <w:tcPr>
            <w:tcW w:w="841" w:type="pct"/>
          </w:tcPr>
          <w:p w14:paraId="3B3E3DE7" w14:textId="77777777" w:rsidR="00485121" w:rsidRPr="00224C29" w:rsidRDefault="00485121" w:rsidP="003A76C0">
            <w:pPr>
              <w:spacing w:line="360" w:lineRule="auto"/>
              <w:rPr>
                <w:rFonts w:ascii="Garamond" w:hAnsi="Garamond"/>
              </w:rPr>
            </w:pPr>
            <w:r w:rsidRPr="00224C29">
              <w:rPr>
                <w:rFonts w:ascii="Garamond" w:hAnsi="Garamond"/>
              </w:rPr>
              <w:t>-8.1455***</w:t>
            </w:r>
          </w:p>
        </w:tc>
      </w:tr>
      <w:tr w:rsidR="00485121" w:rsidRPr="00224C29" w14:paraId="74DA9558" w14:textId="77777777" w:rsidTr="00443F91">
        <w:tc>
          <w:tcPr>
            <w:tcW w:w="845" w:type="pct"/>
          </w:tcPr>
          <w:p w14:paraId="7D66ED45" w14:textId="77777777" w:rsidR="00485121" w:rsidRPr="00224C29" w:rsidRDefault="00485121" w:rsidP="003A76C0">
            <w:pPr>
              <w:spacing w:line="360" w:lineRule="auto"/>
              <w:rPr>
                <w:rFonts w:ascii="Garamond" w:hAnsi="Garamond"/>
              </w:rPr>
            </w:pPr>
            <w:r w:rsidRPr="00224C29">
              <w:rPr>
                <w:rFonts w:ascii="Garamond" w:hAnsi="Garamond"/>
              </w:rPr>
              <w:t>Inverse logit L*</w:t>
            </w:r>
          </w:p>
        </w:tc>
        <w:tc>
          <w:tcPr>
            <w:tcW w:w="818" w:type="pct"/>
          </w:tcPr>
          <w:p w14:paraId="70A975F6" w14:textId="77777777" w:rsidR="00485121" w:rsidRPr="00224C29" w:rsidRDefault="00485121" w:rsidP="003A76C0">
            <w:pPr>
              <w:spacing w:line="360" w:lineRule="auto"/>
              <w:rPr>
                <w:rFonts w:ascii="Garamond" w:hAnsi="Garamond"/>
              </w:rPr>
            </w:pPr>
            <w:r w:rsidRPr="00224C29">
              <w:rPr>
                <w:rFonts w:ascii="Garamond" w:hAnsi="Garamond"/>
              </w:rPr>
              <w:t>-14.0485***</w:t>
            </w:r>
          </w:p>
        </w:tc>
        <w:tc>
          <w:tcPr>
            <w:tcW w:w="818" w:type="pct"/>
          </w:tcPr>
          <w:p w14:paraId="301F4EFC" w14:textId="77777777" w:rsidR="00485121" w:rsidRPr="00224C29" w:rsidRDefault="00485121" w:rsidP="003A76C0">
            <w:pPr>
              <w:spacing w:line="360" w:lineRule="auto"/>
              <w:rPr>
                <w:rFonts w:ascii="Garamond" w:hAnsi="Garamond"/>
              </w:rPr>
            </w:pPr>
            <w:r w:rsidRPr="00224C29">
              <w:rPr>
                <w:rFonts w:ascii="Garamond" w:hAnsi="Garamond"/>
              </w:rPr>
              <w:t>-42.9106***</w:t>
            </w:r>
          </w:p>
        </w:tc>
        <w:tc>
          <w:tcPr>
            <w:tcW w:w="860" w:type="pct"/>
          </w:tcPr>
          <w:p w14:paraId="3C25F3B0" w14:textId="77777777" w:rsidR="00485121" w:rsidRPr="00224C29" w:rsidRDefault="00485121" w:rsidP="003A76C0">
            <w:pPr>
              <w:spacing w:line="360" w:lineRule="auto"/>
              <w:rPr>
                <w:rFonts w:ascii="Garamond" w:hAnsi="Garamond"/>
              </w:rPr>
            </w:pPr>
            <w:r w:rsidRPr="00224C29">
              <w:rPr>
                <w:rFonts w:ascii="Garamond" w:hAnsi="Garamond"/>
              </w:rPr>
              <w:t>-40.6264***</w:t>
            </w:r>
          </w:p>
        </w:tc>
        <w:tc>
          <w:tcPr>
            <w:tcW w:w="818" w:type="pct"/>
          </w:tcPr>
          <w:p w14:paraId="17026E1F" w14:textId="77777777" w:rsidR="00485121" w:rsidRPr="00224C29" w:rsidRDefault="00485121" w:rsidP="003A76C0">
            <w:pPr>
              <w:spacing w:line="360" w:lineRule="auto"/>
              <w:rPr>
                <w:rFonts w:ascii="Garamond" w:hAnsi="Garamond"/>
              </w:rPr>
            </w:pPr>
            <w:r w:rsidRPr="00224C29">
              <w:rPr>
                <w:rFonts w:ascii="Garamond" w:hAnsi="Garamond"/>
              </w:rPr>
              <w:t>-56.2766***</w:t>
            </w:r>
          </w:p>
        </w:tc>
        <w:tc>
          <w:tcPr>
            <w:tcW w:w="841" w:type="pct"/>
          </w:tcPr>
          <w:p w14:paraId="5347642B" w14:textId="77777777" w:rsidR="00485121" w:rsidRPr="00224C29" w:rsidRDefault="00485121" w:rsidP="003A76C0">
            <w:pPr>
              <w:spacing w:line="360" w:lineRule="auto"/>
              <w:rPr>
                <w:rFonts w:ascii="Garamond" w:hAnsi="Garamond"/>
              </w:rPr>
            </w:pPr>
            <w:r w:rsidRPr="00224C29">
              <w:rPr>
                <w:rFonts w:ascii="Garamond" w:hAnsi="Garamond"/>
              </w:rPr>
              <w:t>-18.9831***</w:t>
            </w:r>
          </w:p>
        </w:tc>
      </w:tr>
      <w:tr w:rsidR="00485121" w:rsidRPr="00224C29" w14:paraId="7578D588" w14:textId="77777777" w:rsidTr="00443F91">
        <w:tc>
          <w:tcPr>
            <w:tcW w:w="845" w:type="pct"/>
            <w:tcBorders>
              <w:bottom w:val="single" w:sz="4" w:space="0" w:color="auto"/>
            </w:tcBorders>
          </w:tcPr>
          <w:p w14:paraId="00A03501" w14:textId="77777777" w:rsidR="00485121" w:rsidRPr="00224C29" w:rsidRDefault="00485121" w:rsidP="003A76C0">
            <w:pPr>
              <w:spacing w:line="360" w:lineRule="auto"/>
              <w:rPr>
                <w:rFonts w:ascii="Garamond" w:hAnsi="Garamond"/>
              </w:rPr>
            </w:pPr>
            <w:r w:rsidRPr="00224C29">
              <w:rPr>
                <w:rFonts w:ascii="Garamond" w:hAnsi="Garamond"/>
              </w:rPr>
              <w:t>Modified inv. chi-squared Pm</w:t>
            </w:r>
          </w:p>
        </w:tc>
        <w:tc>
          <w:tcPr>
            <w:tcW w:w="818" w:type="pct"/>
            <w:tcBorders>
              <w:bottom w:val="single" w:sz="4" w:space="0" w:color="auto"/>
            </w:tcBorders>
          </w:tcPr>
          <w:p w14:paraId="1D1E075C" w14:textId="77777777" w:rsidR="00485121" w:rsidRPr="00224C29" w:rsidRDefault="00485121" w:rsidP="003A76C0">
            <w:pPr>
              <w:spacing w:line="360" w:lineRule="auto"/>
              <w:rPr>
                <w:rFonts w:ascii="Garamond" w:hAnsi="Garamond"/>
              </w:rPr>
            </w:pPr>
            <w:r w:rsidRPr="00224C29">
              <w:rPr>
                <w:rFonts w:ascii="Garamond" w:hAnsi="Garamond"/>
              </w:rPr>
              <w:t>17.6817****</w:t>
            </w:r>
          </w:p>
        </w:tc>
        <w:tc>
          <w:tcPr>
            <w:tcW w:w="818" w:type="pct"/>
            <w:tcBorders>
              <w:bottom w:val="single" w:sz="4" w:space="0" w:color="auto"/>
            </w:tcBorders>
          </w:tcPr>
          <w:p w14:paraId="240D1D68" w14:textId="77777777" w:rsidR="00485121" w:rsidRPr="00224C29" w:rsidRDefault="00485121" w:rsidP="003A76C0">
            <w:pPr>
              <w:spacing w:line="360" w:lineRule="auto"/>
              <w:rPr>
                <w:rFonts w:ascii="Garamond" w:hAnsi="Garamond"/>
              </w:rPr>
            </w:pPr>
            <w:r w:rsidRPr="00224C29">
              <w:rPr>
                <w:rFonts w:ascii="Garamond" w:hAnsi="Garamond"/>
              </w:rPr>
              <w:t>44.7045***</w:t>
            </w:r>
          </w:p>
        </w:tc>
        <w:tc>
          <w:tcPr>
            <w:tcW w:w="860" w:type="pct"/>
            <w:tcBorders>
              <w:bottom w:val="single" w:sz="4" w:space="0" w:color="auto"/>
            </w:tcBorders>
          </w:tcPr>
          <w:p w14:paraId="262DDA9D" w14:textId="77777777" w:rsidR="00485121" w:rsidRPr="00224C29" w:rsidRDefault="00485121" w:rsidP="003A76C0">
            <w:pPr>
              <w:spacing w:line="360" w:lineRule="auto"/>
              <w:rPr>
                <w:rFonts w:ascii="Garamond" w:hAnsi="Garamond"/>
              </w:rPr>
            </w:pPr>
            <w:r w:rsidRPr="00224C29">
              <w:rPr>
                <w:rFonts w:ascii="Garamond" w:hAnsi="Garamond"/>
              </w:rPr>
              <w:t>47.1681***</w:t>
            </w:r>
          </w:p>
        </w:tc>
        <w:tc>
          <w:tcPr>
            <w:tcW w:w="818" w:type="pct"/>
            <w:tcBorders>
              <w:bottom w:val="single" w:sz="4" w:space="0" w:color="auto"/>
            </w:tcBorders>
          </w:tcPr>
          <w:p w14:paraId="4828813A" w14:textId="77777777" w:rsidR="00485121" w:rsidRPr="00224C29" w:rsidRDefault="00485121" w:rsidP="003A76C0">
            <w:pPr>
              <w:spacing w:line="360" w:lineRule="auto"/>
              <w:rPr>
                <w:rFonts w:ascii="Garamond" w:hAnsi="Garamond"/>
              </w:rPr>
            </w:pPr>
            <w:r w:rsidRPr="00224C29">
              <w:rPr>
                <w:rFonts w:ascii="Garamond" w:hAnsi="Garamond"/>
              </w:rPr>
              <w:t>67.4244***</w:t>
            </w:r>
          </w:p>
        </w:tc>
        <w:tc>
          <w:tcPr>
            <w:tcW w:w="841" w:type="pct"/>
            <w:tcBorders>
              <w:bottom w:val="single" w:sz="4" w:space="0" w:color="auto"/>
            </w:tcBorders>
          </w:tcPr>
          <w:p w14:paraId="54F27B81" w14:textId="77777777" w:rsidR="00485121" w:rsidRPr="00224C29" w:rsidRDefault="00485121" w:rsidP="003A76C0">
            <w:pPr>
              <w:spacing w:line="360" w:lineRule="auto"/>
              <w:rPr>
                <w:rFonts w:ascii="Garamond" w:hAnsi="Garamond"/>
              </w:rPr>
            </w:pPr>
            <w:r w:rsidRPr="00224C29">
              <w:rPr>
                <w:rFonts w:ascii="Garamond" w:hAnsi="Garamond"/>
              </w:rPr>
              <w:t>19.9246***</w:t>
            </w:r>
          </w:p>
        </w:tc>
      </w:tr>
      <w:tr w:rsidR="00485121" w:rsidRPr="00224C29" w14:paraId="529EE9E2" w14:textId="77777777" w:rsidTr="00443F91">
        <w:tc>
          <w:tcPr>
            <w:tcW w:w="5000" w:type="pct"/>
            <w:gridSpan w:val="6"/>
            <w:tcBorders>
              <w:top w:val="single" w:sz="4" w:space="0" w:color="auto"/>
              <w:bottom w:val="single" w:sz="4" w:space="0" w:color="auto"/>
            </w:tcBorders>
          </w:tcPr>
          <w:p w14:paraId="37A4C229" w14:textId="77777777" w:rsidR="00485121" w:rsidRPr="00224C29" w:rsidRDefault="00485121" w:rsidP="003A76C0">
            <w:pPr>
              <w:pStyle w:val="ListParagraph"/>
              <w:numPr>
                <w:ilvl w:val="0"/>
                <w:numId w:val="6"/>
              </w:numPr>
              <w:spacing w:line="360" w:lineRule="auto"/>
              <w:rPr>
                <w:rFonts w:ascii="Garamond" w:hAnsi="Garamond"/>
              </w:rPr>
            </w:pPr>
            <w:r w:rsidRPr="00224C29">
              <w:rPr>
                <w:rFonts w:ascii="Garamond" w:hAnsi="Garamond"/>
              </w:rPr>
              <w:t>The AR parameter for the test is panel specific. Additionally, we include panel means and a time trend but no drift term.</w:t>
            </w:r>
          </w:p>
          <w:p w14:paraId="46B96D32" w14:textId="77777777" w:rsidR="00485121" w:rsidRPr="00224C29" w:rsidRDefault="00485121" w:rsidP="003A76C0">
            <w:pPr>
              <w:pStyle w:val="ListParagraph"/>
              <w:numPr>
                <w:ilvl w:val="0"/>
                <w:numId w:val="6"/>
              </w:numPr>
              <w:spacing w:line="360" w:lineRule="auto"/>
              <w:rPr>
                <w:rFonts w:ascii="Garamond" w:hAnsi="Garamond"/>
              </w:rPr>
            </w:pPr>
            <w:r w:rsidRPr="00224C29">
              <w:rPr>
                <w:rFonts w:ascii="Garamond" w:hAnsi="Garamond"/>
              </w:rPr>
              <w:t xml:space="preserve">The other variables absent in the unit root test are dummies- current legal status, age, region, and legal tradition. </w:t>
            </w:r>
          </w:p>
        </w:tc>
      </w:tr>
    </w:tbl>
    <w:p w14:paraId="357F7152" w14:textId="77777777" w:rsidR="00485121" w:rsidRPr="00224C29" w:rsidRDefault="00485121" w:rsidP="00954A44">
      <w:pPr>
        <w:spacing w:line="360" w:lineRule="auto"/>
        <w:rPr>
          <w:rFonts w:ascii="Garamond" w:hAnsi="Garamond"/>
        </w:rPr>
      </w:pPr>
      <w:r w:rsidRPr="00224C29">
        <w:rPr>
          <w:rFonts w:ascii="Garamond" w:hAnsi="Garamond"/>
          <w:b/>
        </w:rPr>
        <w:t>Source:</w:t>
      </w:r>
      <w:r w:rsidRPr="00224C29">
        <w:rPr>
          <w:rFonts w:ascii="Garamond" w:hAnsi="Garamond"/>
        </w:rPr>
        <w:t xml:space="preserve"> Authors’ constructions from the data</w:t>
      </w:r>
    </w:p>
    <w:p w14:paraId="752B380B" w14:textId="77777777" w:rsidR="00485121" w:rsidRPr="00485121" w:rsidRDefault="00485121" w:rsidP="00485121"/>
    <w:p w14:paraId="1611F55C" w14:textId="77777777" w:rsidR="00485121" w:rsidRDefault="00485121" w:rsidP="00485121"/>
    <w:p w14:paraId="49FE8B89" w14:textId="77777777" w:rsidR="009F31DC" w:rsidRDefault="009F31DC" w:rsidP="00485121"/>
    <w:p w14:paraId="453BDAB0" w14:textId="77777777" w:rsidR="009F31DC" w:rsidRPr="009F31DC" w:rsidRDefault="009F31DC" w:rsidP="009F31DC"/>
    <w:p w14:paraId="24417C90" w14:textId="77777777" w:rsidR="009F31DC" w:rsidRPr="009F31DC" w:rsidRDefault="00954A44" w:rsidP="009F31DC">
      <w:pPr>
        <w:tabs>
          <w:tab w:val="left" w:pos="2400"/>
        </w:tabs>
        <w:sectPr w:rsidR="009F31DC" w:rsidRPr="009F31DC" w:rsidSect="00443F91">
          <w:pgSz w:w="16839" w:h="11907" w:orient="landscape" w:code="9"/>
          <w:pgMar w:top="1440" w:right="1440" w:bottom="1440" w:left="1440" w:header="720" w:footer="720" w:gutter="0"/>
          <w:cols w:space="720"/>
          <w:docGrid w:linePitch="360"/>
        </w:sectPr>
      </w:pPr>
      <w:r>
        <w:tab/>
      </w:r>
    </w:p>
    <w:tbl>
      <w:tblPr>
        <w:tblStyle w:val="PlainTable5"/>
        <w:tblpPr w:leftFromText="180" w:rightFromText="180" w:horzAnchor="margin" w:tblpY="650"/>
        <w:tblW w:w="0" w:type="auto"/>
        <w:shd w:val="clear" w:color="auto" w:fill="FFFFFF" w:themeFill="background1"/>
        <w:tblLook w:val="04A0" w:firstRow="1" w:lastRow="0" w:firstColumn="1" w:lastColumn="0" w:noHBand="0" w:noVBand="1"/>
      </w:tblPr>
      <w:tblGrid>
        <w:gridCol w:w="2254"/>
        <w:gridCol w:w="2254"/>
        <w:gridCol w:w="2254"/>
        <w:gridCol w:w="2255"/>
      </w:tblGrid>
      <w:tr w:rsidR="009F31DC" w:rsidRPr="009F31DC" w14:paraId="0915D52C" w14:textId="77777777" w:rsidTr="00CA0B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Borders>
              <w:top w:val="single" w:sz="4" w:space="0" w:color="auto"/>
            </w:tcBorders>
          </w:tcPr>
          <w:p w14:paraId="7F5465FE" w14:textId="77777777" w:rsidR="009F31DC" w:rsidRPr="009F31DC" w:rsidRDefault="00CA0B90" w:rsidP="009F31DC">
            <w:pPr>
              <w:pStyle w:val="Caption"/>
              <w:rPr>
                <w:i/>
                <w:color w:val="auto"/>
                <w:sz w:val="20"/>
                <w:szCs w:val="20"/>
              </w:rPr>
            </w:pPr>
            <w:r w:rsidRPr="009F31DC">
              <w:rPr>
                <w:i/>
                <w:color w:val="auto"/>
                <w:sz w:val="20"/>
                <w:szCs w:val="20"/>
              </w:rPr>
              <w:lastRenderedPageBreak/>
              <w:t>G</w:t>
            </w:r>
            <w:r w:rsidRPr="009F31DC">
              <w:rPr>
                <w:color w:val="auto"/>
                <w:sz w:val="20"/>
                <w:szCs w:val="20"/>
              </w:rPr>
              <w:t>roup</w:t>
            </w:r>
            <w:r>
              <w:rPr>
                <w:i/>
                <w:color w:val="auto"/>
                <w:sz w:val="20"/>
                <w:szCs w:val="20"/>
              </w:rPr>
              <w:t xml:space="preserve"> </w:t>
            </w:r>
            <w:r w:rsidRPr="009F31DC">
              <w:rPr>
                <w:color w:val="auto"/>
                <w:sz w:val="20"/>
                <w:szCs w:val="20"/>
              </w:rPr>
              <w:t>(finso</w:t>
            </w:r>
            <w:r>
              <w:rPr>
                <w:color w:val="auto"/>
                <w:sz w:val="20"/>
                <w:szCs w:val="20"/>
              </w:rPr>
              <w:t>c</w:t>
            </w:r>
            <w:r>
              <w:rPr>
                <w:i/>
                <w:color w:val="auto"/>
                <w:sz w:val="20"/>
                <w:szCs w:val="20"/>
              </w:rPr>
              <w:t>1)</w:t>
            </w:r>
          </w:p>
        </w:tc>
        <w:tc>
          <w:tcPr>
            <w:tcW w:w="2254" w:type="dxa"/>
            <w:tcBorders>
              <w:top w:val="single" w:sz="4" w:space="0" w:color="auto"/>
            </w:tcBorders>
          </w:tcPr>
          <w:p w14:paraId="63D9BEA0" w14:textId="77777777" w:rsidR="009F31DC" w:rsidRPr="009F31DC" w:rsidRDefault="009F31DC" w:rsidP="009F31DC">
            <w:pPr>
              <w:pStyle w:val="Caption"/>
              <w:cnfStyle w:val="100000000000" w:firstRow="1" w:lastRow="0" w:firstColumn="0" w:lastColumn="0" w:oddVBand="0" w:evenVBand="0" w:oddHBand="0" w:evenHBand="0" w:firstRowFirstColumn="0" w:firstRowLastColumn="0" w:lastRowFirstColumn="0" w:lastRowLastColumn="0"/>
              <w:rPr>
                <w:i/>
                <w:color w:val="auto"/>
                <w:sz w:val="20"/>
                <w:szCs w:val="20"/>
              </w:rPr>
            </w:pPr>
            <w:r w:rsidRPr="009F31DC">
              <w:rPr>
                <w:i/>
                <w:color w:val="auto"/>
                <w:sz w:val="20"/>
                <w:szCs w:val="20"/>
              </w:rPr>
              <w:t>Freq.</w:t>
            </w:r>
          </w:p>
        </w:tc>
        <w:tc>
          <w:tcPr>
            <w:tcW w:w="2254" w:type="dxa"/>
            <w:tcBorders>
              <w:top w:val="single" w:sz="4" w:space="0" w:color="auto"/>
            </w:tcBorders>
          </w:tcPr>
          <w:p w14:paraId="3372FBFC" w14:textId="77777777" w:rsidR="009F31DC" w:rsidRPr="009F31DC" w:rsidRDefault="009F31DC" w:rsidP="009F31DC">
            <w:pPr>
              <w:pStyle w:val="Caption"/>
              <w:cnfStyle w:val="100000000000" w:firstRow="1" w:lastRow="0" w:firstColumn="0" w:lastColumn="0" w:oddVBand="0" w:evenVBand="0" w:oddHBand="0" w:evenHBand="0" w:firstRowFirstColumn="0" w:firstRowLastColumn="0" w:lastRowFirstColumn="0" w:lastRowLastColumn="0"/>
              <w:rPr>
                <w:i/>
                <w:color w:val="auto"/>
                <w:sz w:val="20"/>
                <w:szCs w:val="20"/>
              </w:rPr>
            </w:pPr>
            <w:r>
              <w:rPr>
                <w:i/>
                <w:color w:val="auto"/>
                <w:sz w:val="20"/>
                <w:szCs w:val="20"/>
              </w:rPr>
              <w:t>%</w:t>
            </w:r>
          </w:p>
        </w:tc>
        <w:tc>
          <w:tcPr>
            <w:tcW w:w="2255" w:type="dxa"/>
            <w:tcBorders>
              <w:top w:val="single" w:sz="4" w:space="0" w:color="auto"/>
            </w:tcBorders>
          </w:tcPr>
          <w:p w14:paraId="5D39AFB0" w14:textId="77777777" w:rsidR="009F31DC" w:rsidRPr="009F31DC" w:rsidRDefault="009F31DC" w:rsidP="009F31DC">
            <w:pPr>
              <w:pStyle w:val="Caption"/>
              <w:cnfStyle w:val="100000000000" w:firstRow="1" w:lastRow="0" w:firstColumn="0" w:lastColumn="0" w:oddVBand="0" w:evenVBand="0" w:oddHBand="0" w:evenHBand="0" w:firstRowFirstColumn="0" w:firstRowLastColumn="0" w:lastRowFirstColumn="0" w:lastRowLastColumn="0"/>
              <w:rPr>
                <w:i/>
                <w:color w:val="auto"/>
                <w:sz w:val="20"/>
                <w:szCs w:val="20"/>
              </w:rPr>
            </w:pPr>
            <w:r w:rsidRPr="009F31DC">
              <w:rPr>
                <w:i/>
                <w:color w:val="auto"/>
                <w:sz w:val="20"/>
                <w:szCs w:val="20"/>
              </w:rPr>
              <w:t>Cum.</w:t>
            </w:r>
            <w:r w:rsidR="00EE371D">
              <w:rPr>
                <w:i/>
                <w:color w:val="auto"/>
                <w:sz w:val="20"/>
                <w:szCs w:val="20"/>
              </w:rPr>
              <w:t xml:space="preserve"> (%)</w:t>
            </w:r>
          </w:p>
        </w:tc>
      </w:tr>
      <w:tr w:rsidR="009F31DC" w:rsidRPr="009F31DC" w14:paraId="2BEBF2C2" w14:textId="77777777" w:rsidTr="009F3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9FB17B" w14:textId="77777777" w:rsidR="009F31DC" w:rsidRPr="009F31DC" w:rsidRDefault="00001948" w:rsidP="009F31DC">
            <w:pPr>
              <w:pStyle w:val="Caption"/>
              <w:rPr>
                <w:i/>
                <w:color w:val="auto"/>
                <w:sz w:val="20"/>
                <w:szCs w:val="20"/>
              </w:rPr>
            </w:pPr>
            <w:r>
              <w:rPr>
                <w:color w:val="auto"/>
                <w:sz w:val="20"/>
                <w:szCs w:val="20"/>
              </w:rPr>
              <w:t>f</w:t>
            </w:r>
            <w:r w:rsidR="009F31DC" w:rsidRPr="009F31DC">
              <w:rPr>
                <w:color w:val="auto"/>
                <w:sz w:val="20"/>
                <w:szCs w:val="20"/>
              </w:rPr>
              <w:t>f</w:t>
            </w:r>
            <w:r w:rsidR="003A76C0">
              <w:rPr>
                <w:color w:val="auto"/>
                <w:sz w:val="20"/>
                <w:szCs w:val="20"/>
              </w:rPr>
              <w:t xml:space="preserve"> (see note below)</w:t>
            </w:r>
          </w:p>
        </w:tc>
        <w:tc>
          <w:tcPr>
            <w:tcW w:w="2254" w:type="dxa"/>
            <w:shd w:val="clear" w:color="auto" w:fill="FFFFFF" w:themeFill="background1"/>
          </w:tcPr>
          <w:p w14:paraId="7A6893DF"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r w:rsidRPr="009F31DC">
              <w:rPr>
                <w:i w:val="0"/>
                <w:color w:val="auto"/>
                <w:sz w:val="20"/>
                <w:szCs w:val="20"/>
              </w:rPr>
              <w:t>649</w:t>
            </w:r>
          </w:p>
        </w:tc>
        <w:tc>
          <w:tcPr>
            <w:tcW w:w="2254" w:type="dxa"/>
            <w:shd w:val="clear" w:color="auto" w:fill="FFFFFF" w:themeFill="background1"/>
          </w:tcPr>
          <w:p w14:paraId="18FDCA33"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r w:rsidRPr="009F31DC">
              <w:rPr>
                <w:i w:val="0"/>
                <w:color w:val="auto"/>
                <w:sz w:val="20"/>
                <w:szCs w:val="20"/>
              </w:rPr>
              <w:t>15.76</w:t>
            </w:r>
            <w:r w:rsidR="00CA0B90">
              <w:rPr>
                <w:i w:val="0"/>
                <w:color w:val="auto"/>
                <w:sz w:val="20"/>
                <w:szCs w:val="20"/>
              </w:rPr>
              <w:t>%</w:t>
            </w:r>
          </w:p>
        </w:tc>
        <w:tc>
          <w:tcPr>
            <w:tcW w:w="2255" w:type="dxa"/>
            <w:shd w:val="clear" w:color="auto" w:fill="FFFFFF" w:themeFill="background1"/>
          </w:tcPr>
          <w:p w14:paraId="5B42C77D"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r w:rsidRPr="009F31DC">
              <w:rPr>
                <w:i w:val="0"/>
                <w:color w:val="auto"/>
                <w:sz w:val="20"/>
                <w:szCs w:val="20"/>
              </w:rPr>
              <w:t>15.76</w:t>
            </w:r>
            <w:r w:rsidR="00CA0B90">
              <w:rPr>
                <w:i w:val="0"/>
                <w:color w:val="auto"/>
                <w:sz w:val="20"/>
                <w:szCs w:val="20"/>
              </w:rPr>
              <w:t>%</w:t>
            </w:r>
          </w:p>
        </w:tc>
      </w:tr>
      <w:tr w:rsidR="009F31DC" w:rsidRPr="009F31DC" w14:paraId="4596FE17" w14:textId="77777777" w:rsidTr="009F31DC">
        <w:tc>
          <w:tcPr>
            <w:cnfStyle w:val="001000000000" w:firstRow="0" w:lastRow="0" w:firstColumn="1" w:lastColumn="0" w:oddVBand="0" w:evenVBand="0" w:oddHBand="0" w:evenHBand="0" w:firstRowFirstColumn="0" w:firstRowLastColumn="0" w:lastRowFirstColumn="0" w:lastRowLastColumn="0"/>
            <w:tcW w:w="2254" w:type="dxa"/>
          </w:tcPr>
          <w:p w14:paraId="15CCC8FB" w14:textId="77777777" w:rsidR="009F31DC" w:rsidRPr="009F31DC" w:rsidRDefault="009F31DC" w:rsidP="009F31DC">
            <w:pPr>
              <w:pStyle w:val="Caption"/>
              <w:rPr>
                <w:i/>
                <w:color w:val="auto"/>
                <w:sz w:val="20"/>
                <w:szCs w:val="20"/>
              </w:rPr>
            </w:pPr>
            <w:r w:rsidRPr="009F31DC">
              <w:rPr>
                <w:color w:val="auto"/>
                <w:sz w:val="20"/>
                <w:szCs w:val="20"/>
              </w:rPr>
              <w:t>fs</w:t>
            </w:r>
          </w:p>
        </w:tc>
        <w:tc>
          <w:tcPr>
            <w:tcW w:w="2254" w:type="dxa"/>
            <w:shd w:val="clear" w:color="auto" w:fill="FFFFFF" w:themeFill="background1"/>
          </w:tcPr>
          <w:p w14:paraId="6C470A1E" w14:textId="77777777" w:rsidR="009F31DC" w:rsidRPr="009F31DC" w:rsidRDefault="009F31DC" w:rsidP="009F31DC">
            <w:pPr>
              <w:pStyle w:val="Caption"/>
              <w:cnfStyle w:val="000000000000" w:firstRow="0" w:lastRow="0" w:firstColumn="0" w:lastColumn="0" w:oddVBand="0" w:evenVBand="0" w:oddHBand="0" w:evenHBand="0" w:firstRowFirstColumn="0" w:firstRowLastColumn="0" w:lastRowFirstColumn="0" w:lastRowLastColumn="0"/>
              <w:rPr>
                <w:i w:val="0"/>
                <w:color w:val="auto"/>
                <w:sz w:val="20"/>
                <w:szCs w:val="20"/>
              </w:rPr>
            </w:pPr>
            <w:r w:rsidRPr="009F31DC">
              <w:rPr>
                <w:i w:val="0"/>
                <w:color w:val="auto"/>
                <w:sz w:val="20"/>
                <w:szCs w:val="20"/>
              </w:rPr>
              <w:t>1,098</w:t>
            </w:r>
          </w:p>
        </w:tc>
        <w:tc>
          <w:tcPr>
            <w:tcW w:w="2254" w:type="dxa"/>
            <w:shd w:val="clear" w:color="auto" w:fill="FFFFFF" w:themeFill="background1"/>
          </w:tcPr>
          <w:p w14:paraId="7C5BFEEE" w14:textId="77777777" w:rsidR="009F31DC" w:rsidRPr="009F31DC" w:rsidRDefault="009F31DC" w:rsidP="009F31DC">
            <w:pPr>
              <w:pStyle w:val="Caption"/>
              <w:cnfStyle w:val="000000000000" w:firstRow="0" w:lastRow="0" w:firstColumn="0" w:lastColumn="0" w:oddVBand="0" w:evenVBand="0" w:oddHBand="0" w:evenHBand="0" w:firstRowFirstColumn="0" w:firstRowLastColumn="0" w:lastRowFirstColumn="0" w:lastRowLastColumn="0"/>
              <w:rPr>
                <w:i w:val="0"/>
                <w:color w:val="auto"/>
                <w:sz w:val="20"/>
                <w:szCs w:val="20"/>
              </w:rPr>
            </w:pPr>
            <w:r w:rsidRPr="009F31DC">
              <w:rPr>
                <w:i w:val="0"/>
                <w:color w:val="auto"/>
                <w:sz w:val="20"/>
                <w:szCs w:val="20"/>
              </w:rPr>
              <w:t>26.66</w:t>
            </w:r>
            <w:r w:rsidR="00CA0B90">
              <w:rPr>
                <w:i w:val="0"/>
                <w:color w:val="auto"/>
                <w:sz w:val="20"/>
                <w:szCs w:val="20"/>
              </w:rPr>
              <w:t>%</w:t>
            </w:r>
          </w:p>
        </w:tc>
        <w:tc>
          <w:tcPr>
            <w:tcW w:w="2255" w:type="dxa"/>
            <w:shd w:val="clear" w:color="auto" w:fill="FFFFFF" w:themeFill="background1"/>
          </w:tcPr>
          <w:p w14:paraId="704FEF29" w14:textId="77777777" w:rsidR="009F31DC" w:rsidRPr="009F31DC" w:rsidRDefault="009F31DC" w:rsidP="009F31DC">
            <w:pPr>
              <w:pStyle w:val="Caption"/>
              <w:cnfStyle w:val="000000000000" w:firstRow="0" w:lastRow="0" w:firstColumn="0" w:lastColumn="0" w:oddVBand="0" w:evenVBand="0" w:oddHBand="0" w:evenHBand="0" w:firstRowFirstColumn="0" w:firstRowLastColumn="0" w:lastRowFirstColumn="0" w:lastRowLastColumn="0"/>
              <w:rPr>
                <w:i w:val="0"/>
                <w:color w:val="auto"/>
                <w:sz w:val="20"/>
                <w:szCs w:val="20"/>
              </w:rPr>
            </w:pPr>
            <w:r w:rsidRPr="009F31DC">
              <w:rPr>
                <w:i w:val="0"/>
                <w:color w:val="auto"/>
                <w:sz w:val="20"/>
                <w:szCs w:val="20"/>
              </w:rPr>
              <w:t>42.41</w:t>
            </w:r>
            <w:r w:rsidR="00CA0B90">
              <w:rPr>
                <w:i w:val="0"/>
                <w:color w:val="auto"/>
                <w:sz w:val="20"/>
                <w:szCs w:val="20"/>
              </w:rPr>
              <w:t>%</w:t>
            </w:r>
          </w:p>
        </w:tc>
      </w:tr>
      <w:tr w:rsidR="009F31DC" w:rsidRPr="009F31DC" w14:paraId="48E89FE7" w14:textId="77777777" w:rsidTr="009F3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9E9E7B" w14:textId="77777777" w:rsidR="009F31DC" w:rsidRPr="009F31DC" w:rsidRDefault="009F31DC" w:rsidP="009F31DC">
            <w:pPr>
              <w:pStyle w:val="Caption"/>
              <w:rPr>
                <w:i/>
                <w:color w:val="auto"/>
                <w:sz w:val="20"/>
                <w:szCs w:val="20"/>
              </w:rPr>
            </w:pPr>
            <w:r w:rsidRPr="009F31DC">
              <w:rPr>
                <w:color w:val="auto"/>
                <w:sz w:val="20"/>
                <w:szCs w:val="20"/>
              </w:rPr>
              <w:t>sf</w:t>
            </w:r>
          </w:p>
        </w:tc>
        <w:tc>
          <w:tcPr>
            <w:tcW w:w="2254" w:type="dxa"/>
            <w:shd w:val="clear" w:color="auto" w:fill="FFFFFF" w:themeFill="background1"/>
          </w:tcPr>
          <w:p w14:paraId="7C32C4A0"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r w:rsidRPr="009F31DC">
              <w:rPr>
                <w:i w:val="0"/>
                <w:color w:val="auto"/>
                <w:sz w:val="20"/>
                <w:szCs w:val="20"/>
              </w:rPr>
              <w:t>958</w:t>
            </w:r>
          </w:p>
        </w:tc>
        <w:tc>
          <w:tcPr>
            <w:tcW w:w="2254" w:type="dxa"/>
            <w:shd w:val="clear" w:color="auto" w:fill="FFFFFF" w:themeFill="background1"/>
          </w:tcPr>
          <w:p w14:paraId="42AE1633"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r w:rsidRPr="009F31DC">
              <w:rPr>
                <w:i w:val="0"/>
                <w:color w:val="auto"/>
                <w:sz w:val="20"/>
                <w:szCs w:val="20"/>
              </w:rPr>
              <w:t>23.26</w:t>
            </w:r>
            <w:r w:rsidR="00CA0B90">
              <w:rPr>
                <w:i w:val="0"/>
                <w:color w:val="auto"/>
                <w:sz w:val="20"/>
                <w:szCs w:val="20"/>
              </w:rPr>
              <w:t>%</w:t>
            </w:r>
          </w:p>
        </w:tc>
        <w:tc>
          <w:tcPr>
            <w:tcW w:w="2255" w:type="dxa"/>
            <w:shd w:val="clear" w:color="auto" w:fill="FFFFFF" w:themeFill="background1"/>
          </w:tcPr>
          <w:p w14:paraId="2B9687E8"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r w:rsidRPr="009F31DC">
              <w:rPr>
                <w:i w:val="0"/>
                <w:color w:val="auto"/>
                <w:sz w:val="20"/>
                <w:szCs w:val="20"/>
              </w:rPr>
              <w:t>65.67</w:t>
            </w:r>
            <w:r w:rsidR="00CA0B90">
              <w:rPr>
                <w:i w:val="0"/>
                <w:color w:val="auto"/>
                <w:sz w:val="20"/>
                <w:szCs w:val="20"/>
              </w:rPr>
              <w:t>%</w:t>
            </w:r>
          </w:p>
        </w:tc>
      </w:tr>
      <w:tr w:rsidR="009F31DC" w:rsidRPr="009F31DC" w14:paraId="41E32536" w14:textId="77777777" w:rsidTr="00CA0B90">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auto"/>
            </w:tcBorders>
          </w:tcPr>
          <w:p w14:paraId="1F4B4BD8" w14:textId="77777777" w:rsidR="009F31DC" w:rsidRPr="009F31DC" w:rsidRDefault="009F31DC" w:rsidP="009F31DC">
            <w:pPr>
              <w:pStyle w:val="Caption"/>
              <w:rPr>
                <w:i/>
                <w:color w:val="auto"/>
                <w:sz w:val="20"/>
                <w:szCs w:val="20"/>
              </w:rPr>
            </w:pPr>
            <w:r w:rsidRPr="009F31DC">
              <w:rPr>
                <w:color w:val="auto"/>
                <w:sz w:val="20"/>
                <w:szCs w:val="20"/>
              </w:rPr>
              <w:t>ss</w:t>
            </w:r>
          </w:p>
        </w:tc>
        <w:tc>
          <w:tcPr>
            <w:tcW w:w="2254" w:type="dxa"/>
            <w:tcBorders>
              <w:bottom w:val="single" w:sz="4" w:space="0" w:color="auto"/>
            </w:tcBorders>
            <w:shd w:val="clear" w:color="auto" w:fill="FFFFFF" w:themeFill="background1"/>
          </w:tcPr>
          <w:p w14:paraId="26A958AA" w14:textId="77777777" w:rsidR="009F31DC" w:rsidRPr="009F31DC" w:rsidRDefault="009F31DC" w:rsidP="009F31DC">
            <w:pPr>
              <w:pStyle w:val="Caption"/>
              <w:cnfStyle w:val="000000000000" w:firstRow="0" w:lastRow="0" w:firstColumn="0" w:lastColumn="0" w:oddVBand="0" w:evenVBand="0" w:oddHBand="0" w:evenHBand="0" w:firstRowFirstColumn="0" w:firstRowLastColumn="0" w:lastRowFirstColumn="0" w:lastRowLastColumn="0"/>
              <w:rPr>
                <w:i w:val="0"/>
                <w:color w:val="auto"/>
                <w:sz w:val="20"/>
                <w:szCs w:val="20"/>
              </w:rPr>
            </w:pPr>
            <w:r w:rsidRPr="009F31DC">
              <w:rPr>
                <w:i w:val="0"/>
                <w:color w:val="auto"/>
                <w:sz w:val="20"/>
                <w:szCs w:val="20"/>
              </w:rPr>
              <w:t>1,414</w:t>
            </w:r>
          </w:p>
        </w:tc>
        <w:tc>
          <w:tcPr>
            <w:tcW w:w="2254" w:type="dxa"/>
            <w:tcBorders>
              <w:bottom w:val="single" w:sz="4" w:space="0" w:color="auto"/>
            </w:tcBorders>
            <w:shd w:val="clear" w:color="auto" w:fill="FFFFFF" w:themeFill="background1"/>
          </w:tcPr>
          <w:p w14:paraId="49BB3844" w14:textId="77777777" w:rsidR="009F31DC" w:rsidRPr="009F31DC" w:rsidRDefault="009F31DC" w:rsidP="009F31DC">
            <w:pPr>
              <w:pStyle w:val="Caption"/>
              <w:cnfStyle w:val="000000000000" w:firstRow="0" w:lastRow="0" w:firstColumn="0" w:lastColumn="0" w:oddVBand="0" w:evenVBand="0" w:oddHBand="0" w:evenHBand="0" w:firstRowFirstColumn="0" w:firstRowLastColumn="0" w:lastRowFirstColumn="0" w:lastRowLastColumn="0"/>
              <w:rPr>
                <w:i w:val="0"/>
                <w:color w:val="auto"/>
                <w:sz w:val="20"/>
                <w:szCs w:val="20"/>
              </w:rPr>
            </w:pPr>
            <w:r w:rsidRPr="009F31DC">
              <w:rPr>
                <w:i w:val="0"/>
                <w:color w:val="auto"/>
                <w:sz w:val="20"/>
                <w:szCs w:val="20"/>
              </w:rPr>
              <w:t>34.33</w:t>
            </w:r>
            <w:r w:rsidR="00CA0B90">
              <w:rPr>
                <w:i w:val="0"/>
                <w:color w:val="auto"/>
                <w:sz w:val="20"/>
                <w:szCs w:val="20"/>
              </w:rPr>
              <w:t>%</w:t>
            </w:r>
          </w:p>
        </w:tc>
        <w:tc>
          <w:tcPr>
            <w:tcW w:w="2255" w:type="dxa"/>
            <w:tcBorders>
              <w:bottom w:val="single" w:sz="4" w:space="0" w:color="auto"/>
            </w:tcBorders>
            <w:shd w:val="clear" w:color="auto" w:fill="FFFFFF" w:themeFill="background1"/>
          </w:tcPr>
          <w:p w14:paraId="2E6A5F9F" w14:textId="77777777" w:rsidR="009F31DC" w:rsidRPr="009F31DC" w:rsidRDefault="009F31DC" w:rsidP="009F31DC">
            <w:pPr>
              <w:pStyle w:val="Caption"/>
              <w:cnfStyle w:val="000000000000" w:firstRow="0" w:lastRow="0" w:firstColumn="0" w:lastColumn="0" w:oddVBand="0" w:evenVBand="0" w:oddHBand="0" w:evenHBand="0" w:firstRowFirstColumn="0" w:firstRowLastColumn="0" w:lastRowFirstColumn="0" w:lastRowLastColumn="0"/>
              <w:rPr>
                <w:i w:val="0"/>
                <w:color w:val="auto"/>
                <w:sz w:val="20"/>
                <w:szCs w:val="20"/>
              </w:rPr>
            </w:pPr>
            <w:r w:rsidRPr="009F31DC">
              <w:rPr>
                <w:i w:val="0"/>
                <w:color w:val="auto"/>
                <w:sz w:val="20"/>
                <w:szCs w:val="20"/>
              </w:rPr>
              <w:t>100.00</w:t>
            </w:r>
            <w:r w:rsidR="00CA0B90">
              <w:rPr>
                <w:i w:val="0"/>
                <w:color w:val="auto"/>
                <w:sz w:val="20"/>
                <w:szCs w:val="20"/>
              </w:rPr>
              <w:t>%</w:t>
            </w:r>
          </w:p>
        </w:tc>
      </w:tr>
      <w:tr w:rsidR="009F31DC" w:rsidRPr="009F31DC" w14:paraId="5A5551DF" w14:textId="77777777" w:rsidTr="00CA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bottom w:val="single" w:sz="4" w:space="0" w:color="auto"/>
            </w:tcBorders>
          </w:tcPr>
          <w:p w14:paraId="42176946" w14:textId="77777777" w:rsidR="009F31DC" w:rsidRPr="009F31DC" w:rsidRDefault="009F31DC" w:rsidP="009F31DC">
            <w:pPr>
              <w:pStyle w:val="Caption"/>
              <w:rPr>
                <w:i/>
                <w:color w:val="auto"/>
                <w:sz w:val="20"/>
                <w:szCs w:val="20"/>
              </w:rPr>
            </w:pPr>
            <w:r w:rsidRPr="009F31DC">
              <w:rPr>
                <w:color w:val="auto"/>
                <w:sz w:val="20"/>
                <w:szCs w:val="20"/>
              </w:rPr>
              <w:t>Total</w:t>
            </w:r>
          </w:p>
        </w:tc>
        <w:tc>
          <w:tcPr>
            <w:tcW w:w="2254" w:type="dxa"/>
            <w:tcBorders>
              <w:top w:val="single" w:sz="4" w:space="0" w:color="auto"/>
              <w:bottom w:val="single" w:sz="4" w:space="0" w:color="auto"/>
            </w:tcBorders>
            <w:shd w:val="clear" w:color="auto" w:fill="FFFFFF" w:themeFill="background1"/>
          </w:tcPr>
          <w:p w14:paraId="172E8869"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r w:rsidRPr="009F31DC">
              <w:rPr>
                <w:i w:val="0"/>
                <w:color w:val="auto"/>
                <w:sz w:val="20"/>
                <w:szCs w:val="20"/>
              </w:rPr>
              <w:t>4,119</w:t>
            </w:r>
          </w:p>
        </w:tc>
        <w:tc>
          <w:tcPr>
            <w:tcW w:w="2254" w:type="dxa"/>
            <w:tcBorders>
              <w:top w:val="single" w:sz="4" w:space="0" w:color="auto"/>
              <w:bottom w:val="single" w:sz="4" w:space="0" w:color="auto"/>
            </w:tcBorders>
            <w:shd w:val="clear" w:color="auto" w:fill="FFFFFF" w:themeFill="background1"/>
          </w:tcPr>
          <w:p w14:paraId="6F33DFC9"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r w:rsidRPr="009F31DC">
              <w:rPr>
                <w:i w:val="0"/>
                <w:color w:val="auto"/>
                <w:sz w:val="20"/>
                <w:szCs w:val="20"/>
              </w:rPr>
              <w:t>100.00</w:t>
            </w:r>
            <w:r w:rsidR="00CA0B90">
              <w:rPr>
                <w:i w:val="0"/>
                <w:color w:val="auto"/>
                <w:sz w:val="20"/>
                <w:szCs w:val="20"/>
              </w:rPr>
              <w:t>%</w:t>
            </w:r>
          </w:p>
        </w:tc>
        <w:tc>
          <w:tcPr>
            <w:tcW w:w="2255" w:type="dxa"/>
            <w:tcBorders>
              <w:top w:val="single" w:sz="4" w:space="0" w:color="auto"/>
              <w:bottom w:val="single" w:sz="4" w:space="0" w:color="auto"/>
            </w:tcBorders>
            <w:shd w:val="clear" w:color="auto" w:fill="FFFFFF" w:themeFill="background1"/>
          </w:tcPr>
          <w:p w14:paraId="341D1257" w14:textId="77777777" w:rsidR="009F31DC" w:rsidRPr="009F31DC" w:rsidRDefault="009F31DC" w:rsidP="009F31DC">
            <w:pPr>
              <w:pStyle w:val="Caption"/>
              <w:cnfStyle w:val="000000100000" w:firstRow="0" w:lastRow="0" w:firstColumn="0" w:lastColumn="0" w:oddVBand="0" w:evenVBand="0" w:oddHBand="1" w:evenHBand="0" w:firstRowFirstColumn="0" w:firstRowLastColumn="0" w:lastRowFirstColumn="0" w:lastRowLastColumn="0"/>
              <w:rPr>
                <w:i w:val="0"/>
                <w:color w:val="auto"/>
                <w:sz w:val="20"/>
                <w:szCs w:val="20"/>
              </w:rPr>
            </w:pPr>
          </w:p>
        </w:tc>
      </w:tr>
      <w:tr w:rsidR="009F31DC" w:rsidRPr="009F31DC" w14:paraId="318A6D9E" w14:textId="77777777" w:rsidTr="00CA0B90">
        <w:tc>
          <w:tcPr>
            <w:cnfStyle w:val="001000000000" w:firstRow="0" w:lastRow="0" w:firstColumn="1" w:lastColumn="0" w:oddVBand="0" w:evenVBand="0" w:oddHBand="0" w:evenHBand="0" w:firstRowFirstColumn="0" w:firstRowLastColumn="0" w:lastRowFirstColumn="0" w:lastRowLastColumn="0"/>
            <w:tcW w:w="9017" w:type="dxa"/>
            <w:gridSpan w:val="4"/>
            <w:tcBorders>
              <w:top w:val="single" w:sz="4" w:space="0" w:color="auto"/>
              <w:bottom w:val="single" w:sz="4" w:space="0" w:color="auto"/>
              <w:right w:val="none" w:sz="0" w:space="0" w:color="auto"/>
            </w:tcBorders>
          </w:tcPr>
          <w:p w14:paraId="1632AFAE" w14:textId="77777777" w:rsidR="009F31DC" w:rsidRPr="00B94909" w:rsidRDefault="00B26DBE" w:rsidP="00B26DBE">
            <w:pPr>
              <w:pStyle w:val="Caption"/>
              <w:spacing w:line="360" w:lineRule="auto"/>
              <w:rPr>
                <w:color w:val="auto"/>
                <w:sz w:val="20"/>
                <w:szCs w:val="20"/>
              </w:rPr>
            </w:pPr>
            <w:r w:rsidRPr="00B26DBE">
              <w:rPr>
                <w:b/>
                <w:color w:val="auto"/>
                <w:sz w:val="20"/>
                <w:szCs w:val="20"/>
              </w:rPr>
              <w:t>Note:</w:t>
            </w:r>
            <w:r>
              <w:rPr>
                <w:color w:val="auto"/>
                <w:sz w:val="20"/>
                <w:szCs w:val="20"/>
              </w:rPr>
              <w:t xml:space="preserve">  </w:t>
            </w:r>
            <w:r w:rsidR="009F31DC" w:rsidRPr="00B94909">
              <w:rPr>
                <w:color w:val="auto"/>
                <w:sz w:val="20"/>
                <w:szCs w:val="20"/>
              </w:rPr>
              <w:t xml:space="preserve">The coding for the financial- social performance (finsoc1) starts with the financial performance followed by social performance. </w:t>
            </w:r>
            <w:r w:rsidR="00ED426E">
              <w:rPr>
                <w:color w:val="auto"/>
                <w:sz w:val="20"/>
                <w:szCs w:val="20"/>
              </w:rPr>
              <w:t xml:space="preserve">F stands for failure while S denotes success. </w:t>
            </w:r>
            <w:r w:rsidR="009F31DC" w:rsidRPr="00B94909">
              <w:rPr>
                <w:color w:val="auto"/>
                <w:sz w:val="20"/>
                <w:szCs w:val="20"/>
              </w:rPr>
              <w:t xml:space="preserve">For instance, </w:t>
            </w:r>
            <w:r w:rsidR="00ED426E">
              <w:rPr>
                <w:color w:val="auto"/>
                <w:sz w:val="20"/>
                <w:szCs w:val="20"/>
              </w:rPr>
              <w:t xml:space="preserve">the code </w:t>
            </w:r>
            <w:r w:rsidR="009F31DC" w:rsidRPr="00B94909">
              <w:rPr>
                <w:color w:val="auto"/>
                <w:sz w:val="20"/>
                <w:szCs w:val="20"/>
              </w:rPr>
              <w:t xml:space="preserve">ff means that the MFI fails both financially and socially in that order. On the other hand, sf means the MFI succeeds financially but fails socially. </w:t>
            </w:r>
          </w:p>
        </w:tc>
      </w:tr>
    </w:tbl>
    <w:p w14:paraId="269C2436" w14:textId="77777777" w:rsidR="009F31DC" w:rsidRPr="00443F91" w:rsidRDefault="00443F91" w:rsidP="00443F91">
      <w:pPr>
        <w:pStyle w:val="Caption"/>
        <w:rPr>
          <w:b/>
          <w:color w:val="auto"/>
          <w:sz w:val="24"/>
          <w:szCs w:val="24"/>
        </w:rPr>
      </w:pPr>
      <w:r w:rsidRPr="00443F91">
        <w:rPr>
          <w:b/>
          <w:color w:val="auto"/>
          <w:sz w:val="24"/>
          <w:szCs w:val="24"/>
        </w:rPr>
        <w:t xml:space="preserve">Table </w:t>
      </w:r>
      <w:r w:rsidRPr="00443F91">
        <w:rPr>
          <w:b/>
          <w:color w:val="auto"/>
          <w:sz w:val="24"/>
          <w:szCs w:val="24"/>
        </w:rPr>
        <w:fldChar w:fldCharType="begin"/>
      </w:r>
      <w:r w:rsidRPr="00443F91">
        <w:rPr>
          <w:b/>
          <w:color w:val="auto"/>
          <w:sz w:val="24"/>
          <w:szCs w:val="24"/>
        </w:rPr>
        <w:instrText xml:space="preserve"> SEQ Table \* ARABIC </w:instrText>
      </w:r>
      <w:r w:rsidRPr="00443F91">
        <w:rPr>
          <w:b/>
          <w:color w:val="auto"/>
          <w:sz w:val="24"/>
          <w:szCs w:val="24"/>
        </w:rPr>
        <w:fldChar w:fldCharType="separate"/>
      </w:r>
      <w:r w:rsidR="0022605C">
        <w:rPr>
          <w:b/>
          <w:noProof/>
          <w:color w:val="auto"/>
          <w:sz w:val="24"/>
          <w:szCs w:val="24"/>
        </w:rPr>
        <w:t>5</w:t>
      </w:r>
      <w:r w:rsidRPr="00443F91">
        <w:rPr>
          <w:b/>
          <w:color w:val="auto"/>
          <w:sz w:val="24"/>
          <w:szCs w:val="24"/>
        </w:rPr>
        <w:fldChar w:fldCharType="end"/>
      </w:r>
      <w:r w:rsidRPr="00443F91">
        <w:rPr>
          <w:b/>
          <w:color w:val="auto"/>
          <w:sz w:val="24"/>
          <w:szCs w:val="24"/>
        </w:rPr>
        <w:t xml:space="preserve">: </w:t>
      </w:r>
      <w:r w:rsidR="009F31DC" w:rsidRPr="00443F91">
        <w:rPr>
          <w:b/>
          <w:color w:val="auto"/>
          <w:sz w:val="24"/>
          <w:szCs w:val="24"/>
        </w:rPr>
        <w:t xml:space="preserve"> Summary figures by levels of Financial and Social Performance </w:t>
      </w:r>
    </w:p>
    <w:p w14:paraId="4F25EEFA" w14:textId="77777777" w:rsidR="009F31DC" w:rsidRDefault="009F31DC" w:rsidP="00F73273">
      <w:pPr>
        <w:pStyle w:val="Caption"/>
        <w:spacing w:line="360" w:lineRule="auto"/>
        <w:rPr>
          <w:i w:val="0"/>
          <w:color w:val="auto"/>
          <w:sz w:val="24"/>
          <w:szCs w:val="24"/>
        </w:rPr>
      </w:pPr>
    </w:p>
    <w:p w14:paraId="7D4DD1F8" w14:textId="77777777" w:rsidR="006C093B" w:rsidRDefault="00DE0097" w:rsidP="0085184E">
      <w:pPr>
        <w:spacing w:line="360" w:lineRule="auto"/>
        <w:rPr>
          <w:rFonts w:ascii="Garamond" w:hAnsi="Garamond"/>
          <w:iCs/>
          <w:sz w:val="24"/>
          <w:szCs w:val="24"/>
        </w:rPr>
      </w:pPr>
      <w:r>
        <w:rPr>
          <w:rFonts w:ascii="Garamond" w:hAnsi="Garamond"/>
          <w:iCs/>
          <w:sz w:val="24"/>
          <w:szCs w:val="24"/>
        </w:rPr>
        <w:t>Table 3</w:t>
      </w:r>
      <w:r w:rsidR="00D94FCB" w:rsidRPr="00D94FCB">
        <w:rPr>
          <w:rFonts w:ascii="Garamond" w:hAnsi="Garamond"/>
          <w:iCs/>
          <w:sz w:val="24"/>
          <w:szCs w:val="24"/>
        </w:rPr>
        <w:t xml:space="preserve"> </w:t>
      </w:r>
      <w:r w:rsidR="00703D33">
        <w:rPr>
          <w:rFonts w:ascii="Garamond" w:hAnsi="Garamond"/>
          <w:iCs/>
          <w:sz w:val="24"/>
          <w:szCs w:val="24"/>
        </w:rPr>
        <w:t>shows that, at 34</w:t>
      </w:r>
      <w:r w:rsidR="00D94FCB">
        <w:rPr>
          <w:rFonts w:ascii="Garamond" w:hAnsi="Garamond"/>
          <w:iCs/>
          <w:sz w:val="24"/>
          <w:szCs w:val="24"/>
        </w:rPr>
        <w:t xml:space="preserve">%, most MFIs in Africa that submit data to the MIX pooled database tend to succeed </w:t>
      </w:r>
      <w:r w:rsidR="002E5CB7">
        <w:rPr>
          <w:rFonts w:ascii="Garamond" w:hAnsi="Garamond"/>
          <w:iCs/>
          <w:sz w:val="24"/>
          <w:szCs w:val="24"/>
        </w:rPr>
        <w:t xml:space="preserve">both financially and </w:t>
      </w:r>
      <w:r w:rsidR="00D94FCB">
        <w:rPr>
          <w:rFonts w:ascii="Garamond" w:hAnsi="Garamond"/>
          <w:iCs/>
          <w:sz w:val="24"/>
          <w:szCs w:val="24"/>
        </w:rPr>
        <w:t>socially.</w:t>
      </w:r>
      <w:r w:rsidR="002E5CB7">
        <w:rPr>
          <w:rFonts w:ascii="Garamond" w:hAnsi="Garamond"/>
          <w:iCs/>
          <w:sz w:val="24"/>
          <w:szCs w:val="24"/>
        </w:rPr>
        <w:t xml:space="preserve"> </w:t>
      </w:r>
      <w:r w:rsidR="00703D33">
        <w:rPr>
          <w:rFonts w:ascii="Garamond" w:hAnsi="Garamond"/>
          <w:iCs/>
          <w:sz w:val="24"/>
          <w:szCs w:val="24"/>
        </w:rPr>
        <w:t>23</w:t>
      </w:r>
      <w:r w:rsidR="0022095B">
        <w:rPr>
          <w:rFonts w:ascii="Garamond" w:hAnsi="Garamond"/>
          <w:iCs/>
          <w:sz w:val="24"/>
          <w:szCs w:val="24"/>
        </w:rPr>
        <w:t xml:space="preserve">% succeed </w:t>
      </w:r>
      <w:r w:rsidR="00703D33">
        <w:rPr>
          <w:rFonts w:ascii="Garamond" w:hAnsi="Garamond"/>
          <w:iCs/>
          <w:sz w:val="24"/>
          <w:szCs w:val="24"/>
        </w:rPr>
        <w:t>financially but fail socially</w:t>
      </w:r>
      <w:r w:rsidR="0022095B">
        <w:rPr>
          <w:rFonts w:ascii="Garamond" w:hAnsi="Garamond"/>
          <w:iCs/>
          <w:sz w:val="24"/>
          <w:szCs w:val="24"/>
        </w:rPr>
        <w:t>, while 27% emphasi</w:t>
      </w:r>
      <w:r w:rsidR="006F10F5">
        <w:rPr>
          <w:rFonts w:ascii="Garamond" w:hAnsi="Garamond"/>
          <w:iCs/>
          <w:sz w:val="24"/>
          <w:szCs w:val="24"/>
        </w:rPr>
        <w:t>s</w:t>
      </w:r>
      <w:r w:rsidR="0022095B">
        <w:rPr>
          <w:rFonts w:ascii="Garamond" w:hAnsi="Garamond"/>
          <w:iCs/>
          <w:sz w:val="24"/>
          <w:szCs w:val="24"/>
        </w:rPr>
        <w:t xml:space="preserve">e the social mission while failing financially. </w:t>
      </w:r>
    </w:p>
    <w:p w14:paraId="2D7D1F8A" w14:textId="77777777" w:rsidR="005C5FA1" w:rsidRDefault="005C5FA1" w:rsidP="005C5FA1">
      <w:pPr>
        <w:pStyle w:val="Caption"/>
        <w:rPr>
          <w:iCs w:val="0"/>
          <w:sz w:val="24"/>
          <w:szCs w:val="24"/>
        </w:rPr>
      </w:pPr>
      <w:r>
        <w:t xml:space="preserve">Figure </w:t>
      </w:r>
      <w:r w:rsidR="006B7194">
        <w:rPr>
          <w:noProof/>
        </w:rPr>
        <w:fldChar w:fldCharType="begin"/>
      </w:r>
      <w:r w:rsidR="006B7194">
        <w:rPr>
          <w:noProof/>
        </w:rPr>
        <w:instrText xml:space="preserve"> SEQ Figure \* ARABIC </w:instrText>
      </w:r>
      <w:r w:rsidR="006B7194">
        <w:rPr>
          <w:noProof/>
        </w:rPr>
        <w:fldChar w:fldCharType="separate"/>
      </w:r>
      <w:r w:rsidR="00514604">
        <w:rPr>
          <w:noProof/>
        </w:rPr>
        <w:t>1</w:t>
      </w:r>
      <w:r w:rsidR="006B7194">
        <w:rPr>
          <w:noProof/>
        </w:rPr>
        <w:fldChar w:fldCharType="end"/>
      </w:r>
      <w:r>
        <w:t xml:space="preserve">: </w:t>
      </w:r>
      <w:r w:rsidRPr="001159BC">
        <w:rPr>
          <w:i w:val="0"/>
          <w:color w:val="auto"/>
        </w:rPr>
        <w:t>Financial and Social Performance of MFIs b</w:t>
      </w:r>
      <w:r>
        <w:rPr>
          <w:i w:val="0"/>
          <w:color w:val="auto"/>
        </w:rPr>
        <w:t>y legal Status of MFI</w:t>
      </w:r>
    </w:p>
    <w:p w14:paraId="342FC222" w14:textId="77777777" w:rsidR="00270F8B" w:rsidRDefault="00270F8B" w:rsidP="00270F8B">
      <w:pPr>
        <w:spacing w:line="360" w:lineRule="auto"/>
        <w:jc w:val="center"/>
        <w:rPr>
          <w:rFonts w:ascii="Garamond" w:hAnsi="Garamond"/>
          <w:iCs/>
          <w:sz w:val="24"/>
          <w:szCs w:val="24"/>
        </w:rPr>
      </w:pPr>
      <w:r>
        <w:rPr>
          <w:noProof/>
          <w:lang w:eastAsia="en-GB"/>
        </w:rPr>
        <w:drawing>
          <wp:inline distT="0" distB="0" distL="0" distR="0" wp14:anchorId="33FBCA33" wp14:editId="5D88CFE1">
            <wp:extent cx="5537200" cy="2940050"/>
            <wp:effectExtent l="0" t="0" r="635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375364" w14:textId="77777777" w:rsidR="00270F8B" w:rsidRPr="00D94FCB" w:rsidRDefault="006C093B" w:rsidP="006C093B">
      <w:pPr>
        <w:spacing w:line="360" w:lineRule="auto"/>
        <w:jc w:val="both"/>
        <w:rPr>
          <w:rFonts w:ascii="Garamond" w:hAnsi="Garamond"/>
          <w:iCs/>
          <w:sz w:val="24"/>
          <w:szCs w:val="24"/>
        </w:rPr>
      </w:pPr>
      <w:r>
        <w:rPr>
          <w:rFonts w:ascii="Garamond" w:hAnsi="Garamond"/>
          <w:iCs/>
          <w:sz w:val="24"/>
          <w:szCs w:val="24"/>
        </w:rPr>
        <w:t xml:space="preserve">As figure 1 shows, for MFIs in Africa that fail both socially and financially, most are credit unions/ cooperatives followed by Non-Bank-Financial Institutions (NBFIs). Credit unions/ Cooperatives are also the most likely to succeed financially but fail socially, again followed by NBFIs. The pattern probably shows the business model of MFIs that focuses on members of groups with common </w:t>
      </w:r>
      <w:r>
        <w:rPr>
          <w:rFonts w:ascii="Garamond" w:hAnsi="Garamond"/>
          <w:iCs/>
          <w:sz w:val="24"/>
          <w:szCs w:val="24"/>
        </w:rPr>
        <w:lastRenderedPageBreak/>
        <w:t xml:space="preserve">interests, like sharing employers, and hence where </w:t>
      </w:r>
      <w:r w:rsidR="00315717">
        <w:rPr>
          <w:rFonts w:ascii="Garamond" w:hAnsi="Garamond"/>
          <w:iCs/>
          <w:sz w:val="24"/>
          <w:szCs w:val="24"/>
        </w:rPr>
        <w:t xml:space="preserve">the </w:t>
      </w:r>
      <w:r>
        <w:rPr>
          <w:rFonts w:ascii="Garamond" w:hAnsi="Garamond"/>
          <w:iCs/>
          <w:sz w:val="24"/>
          <w:szCs w:val="24"/>
        </w:rPr>
        <w:t>emphasis on social performance comes second to serving members. NGOs have the highest incidence of achieving the twin objectives of financial and social performance</w:t>
      </w:r>
      <w:r w:rsidR="00062B21">
        <w:rPr>
          <w:rFonts w:ascii="Garamond" w:hAnsi="Garamond"/>
          <w:iCs/>
          <w:sz w:val="24"/>
          <w:szCs w:val="24"/>
        </w:rPr>
        <w:t>,</w:t>
      </w:r>
      <w:r>
        <w:rPr>
          <w:rFonts w:ascii="Garamond" w:hAnsi="Garamond"/>
          <w:iCs/>
          <w:sz w:val="24"/>
          <w:szCs w:val="24"/>
        </w:rPr>
        <w:t xml:space="preserve"> followed by, ironically, NBFIs and credit unions/ cooperatives. Also</w:t>
      </w:r>
      <w:r w:rsidR="0017663A">
        <w:rPr>
          <w:rFonts w:ascii="Garamond" w:hAnsi="Garamond"/>
          <w:iCs/>
          <w:sz w:val="24"/>
          <w:szCs w:val="24"/>
        </w:rPr>
        <w:t>,</w:t>
      </w:r>
      <w:r>
        <w:rPr>
          <w:rFonts w:ascii="Garamond" w:hAnsi="Garamond"/>
          <w:iCs/>
          <w:sz w:val="24"/>
          <w:szCs w:val="24"/>
        </w:rPr>
        <w:t xml:space="preserve"> NGOs have a higher frequency of failing socially but </w:t>
      </w:r>
      <w:r w:rsidR="00542E2B">
        <w:rPr>
          <w:rFonts w:ascii="Garamond" w:hAnsi="Garamond"/>
          <w:iCs/>
          <w:sz w:val="24"/>
          <w:szCs w:val="24"/>
        </w:rPr>
        <w:t>tend to succeed</w:t>
      </w:r>
      <w:r w:rsidR="00542E2B" w:rsidRPr="00542E2B">
        <w:rPr>
          <w:rFonts w:ascii="Garamond" w:hAnsi="Garamond"/>
          <w:iCs/>
          <w:sz w:val="24"/>
          <w:szCs w:val="24"/>
        </w:rPr>
        <w:t xml:space="preserve"> </w:t>
      </w:r>
      <w:r w:rsidR="00542E2B">
        <w:rPr>
          <w:rFonts w:ascii="Garamond" w:hAnsi="Garamond"/>
          <w:iCs/>
          <w:sz w:val="24"/>
          <w:szCs w:val="24"/>
        </w:rPr>
        <w:t xml:space="preserve">financially, and hence </w:t>
      </w:r>
      <w:r w:rsidR="00DE0097">
        <w:rPr>
          <w:rFonts w:ascii="Garamond" w:hAnsi="Garamond"/>
          <w:iCs/>
          <w:sz w:val="24"/>
          <w:szCs w:val="24"/>
        </w:rPr>
        <w:t>reflecting their subscription to the welfare school</w:t>
      </w:r>
      <w:r>
        <w:rPr>
          <w:rFonts w:ascii="Garamond" w:hAnsi="Garamond"/>
          <w:iCs/>
          <w:sz w:val="24"/>
          <w:szCs w:val="24"/>
        </w:rPr>
        <w:t xml:space="preserve">. </w:t>
      </w:r>
    </w:p>
    <w:p w14:paraId="1086F048" w14:textId="2EDAA851" w:rsidR="0085184E" w:rsidRPr="001A570E" w:rsidRDefault="00BF3C1F" w:rsidP="001A570E">
      <w:pPr>
        <w:spacing w:line="360" w:lineRule="auto"/>
        <w:jc w:val="both"/>
        <w:rPr>
          <w:rFonts w:ascii="Garamond" w:hAnsi="Garamond"/>
          <w:iCs/>
          <w:sz w:val="24"/>
          <w:szCs w:val="24"/>
        </w:rPr>
      </w:pPr>
      <w:r>
        <w:rPr>
          <w:rFonts w:ascii="Garamond" w:hAnsi="Garamond"/>
          <w:iCs/>
          <w:sz w:val="24"/>
          <w:szCs w:val="24"/>
        </w:rPr>
        <w:t>Figure 2 below shows the performance of MFIs by region.</w:t>
      </w:r>
      <w:r w:rsidR="0085184E" w:rsidRPr="0085184E">
        <w:rPr>
          <w:rFonts w:ascii="Garamond" w:hAnsi="Garamond"/>
          <w:iCs/>
          <w:sz w:val="24"/>
          <w:szCs w:val="24"/>
        </w:rPr>
        <w:t xml:space="preserve"> </w:t>
      </w:r>
      <w:r w:rsidR="00FD0AED">
        <w:rPr>
          <w:rFonts w:ascii="Garamond" w:hAnsi="Garamond"/>
          <w:iCs/>
          <w:sz w:val="24"/>
          <w:szCs w:val="24"/>
        </w:rPr>
        <w:t>In North Africa, 64% of MFIs meet both financial and social performance</w:t>
      </w:r>
      <w:r w:rsidR="00F8699B">
        <w:rPr>
          <w:rFonts w:ascii="Garamond" w:hAnsi="Garamond"/>
          <w:iCs/>
          <w:sz w:val="24"/>
          <w:szCs w:val="24"/>
        </w:rPr>
        <w:t xml:space="preserve"> objectives</w:t>
      </w:r>
      <w:r w:rsidR="00FD0AED">
        <w:rPr>
          <w:rFonts w:ascii="Garamond" w:hAnsi="Garamond"/>
          <w:iCs/>
          <w:sz w:val="24"/>
          <w:szCs w:val="24"/>
        </w:rPr>
        <w:t>, the highes</w:t>
      </w:r>
      <w:r>
        <w:rPr>
          <w:rFonts w:ascii="Garamond" w:hAnsi="Garamond"/>
          <w:iCs/>
          <w:sz w:val="24"/>
          <w:szCs w:val="24"/>
        </w:rPr>
        <w:t xml:space="preserve">t rate, followed by West Africa, </w:t>
      </w:r>
      <w:r w:rsidR="00FD0AED">
        <w:rPr>
          <w:rFonts w:ascii="Garamond" w:hAnsi="Garamond"/>
          <w:iCs/>
          <w:sz w:val="24"/>
          <w:szCs w:val="24"/>
        </w:rPr>
        <w:t>Eastern Africa</w:t>
      </w:r>
      <w:r w:rsidR="006010A7">
        <w:rPr>
          <w:rFonts w:ascii="Garamond" w:hAnsi="Garamond"/>
          <w:iCs/>
          <w:sz w:val="24"/>
          <w:szCs w:val="24"/>
        </w:rPr>
        <w:t>,</w:t>
      </w:r>
      <w:r w:rsidR="00FD0AED">
        <w:rPr>
          <w:rFonts w:ascii="Garamond" w:hAnsi="Garamond"/>
          <w:iCs/>
          <w:sz w:val="24"/>
          <w:szCs w:val="24"/>
        </w:rPr>
        <w:t xml:space="preserve"> and Central Africa. </w:t>
      </w:r>
      <w:r w:rsidR="00265289">
        <w:rPr>
          <w:rFonts w:ascii="Garamond" w:hAnsi="Garamond"/>
          <w:iCs/>
          <w:sz w:val="24"/>
          <w:szCs w:val="24"/>
        </w:rPr>
        <w:t xml:space="preserve">It is notable that data for North Africa has NGOs only, perhaps due to the cultural and religious background. </w:t>
      </w:r>
      <w:r w:rsidR="00FD0AED">
        <w:rPr>
          <w:rFonts w:ascii="Garamond" w:hAnsi="Garamond"/>
          <w:iCs/>
          <w:sz w:val="24"/>
          <w:szCs w:val="24"/>
        </w:rPr>
        <w:t xml:space="preserve">At 49.6%, MFIs in Southern Africa have the highest rate of meeting social performance </w:t>
      </w:r>
      <w:r>
        <w:rPr>
          <w:rFonts w:ascii="Garamond" w:hAnsi="Garamond"/>
          <w:iCs/>
          <w:sz w:val="24"/>
          <w:szCs w:val="24"/>
        </w:rPr>
        <w:t>while failing financially</w:t>
      </w:r>
      <w:r w:rsidR="00FD0AED">
        <w:rPr>
          <w:rFonts w:ascii="Garamond" w:hAnsi="Garamond"/>
          <w:iCs/>
          <w:sz w:val="24"/>
          <w:szCs w:val="24"/>
        </w:rPr>
        <w:t>, a rate twice as high as that of West</w:t>
      </w:r>
      <w:r>
        <w:rPr>
          <w:rFonts w:ascii="Garamond" w:hAnsi="Garamond"/>
          <w:iCs/>
          <w:sz w:val="24"/>
          <w:szCs w:val="24"/>
        </w:rPr>
        <w:t xml:space="preserve"> Africa. It means that most MFIs in Southern Africa follow the welfare approach. For MFIs that fail financially but succeed socially, MFIs in Central Africa lead followed by Eastern Africa while Southern Africa comes last. Finally</w:t>
      </w:r>
      <w:r w:rsidR="00062B21">
        <w:rPr>
          <w:rFonts w:ascii="Garamond" w:hAnsi="Garamond"/>
          <w:iCs/>
          <w:sz w:val="24"/>
          <w:szCs w:val="24"/>
        </w:rPr>
        <w:t>,</w:t>
      </w:r>
      <w:r>
        <w:rPr>
          <w:rFonts w:ascii="Garamond" w:hAnsi="Garamond"/>
          <w:iCs/>
          <w:sz w:val="24"/>
          <w:szCs w:val="24"/>
        </w:rPr>
        <w:t xml:space="preserve"> </w:t>
      </w:r>
      <w:r w:rsidR="00FD0AED">
        <w:rPr>
          <w:rFonts w:ascii="Garamond" w:hAnsi="Garamond"/>
          <w:iCs/>
          <w:sz w:val="24"/>
          <w:szCs w:val="24"/>
        </w:rPr>
        <w:t xml:space="preserve">MFIs in central Africa have the highest rate of social and financial failure at 24% followed by West Africa at 17%. </w:t>
      </w:r>
      <w:r w:rsidR="002D138B">
        <w:rPr>
          <w:rFonts w:ascii="Garamond" w:hAnsi="Garamond"/>
          <w:iCs/>
          <w:sz w:val="24"/>
          <w:szCs w:val="24"/>
        </w:rPr>
        <w:t>North Afric</w:t>
      </w:r>
      <w:r w:rsidR="001A570E">
        <w:rPr>
          <w:rFonts w:ascii="Garamond" w:hAnsi="Garamond"/>
          <w:iCs/>
          <w:sz w:val="24"/>
          <w:szCs w:val="24"/>
        </w:rPr>
        <w:t xml:space="preserve">a has the lowest rate of 4.76%. Overall MFIs in North Africa operate as NGOs </w:t>
      </w:r>
      <w:r w:rsidR="00062B21">
        <w:rPr>
          <w:rFonts w:ascii="Garamond" w:hAnsi="Garamond"/>
          <w:iCs/>
          <w:sz w:val="24"/>
          <w:szCs w:val="24"/>
        </w:rPr>
        <w:t xml:space="preserve">exclusively </w:t>
      </w:r>
      <w:r>
        <w:rPr>
          <w:rFonts w:ascii="Garamond" w:hAnsi="Garamond"/>
          <w:iCs/>
          <w:sz w:val="24"/>
          <w:szCs w:val="24"/>
        </w:rPr>
        <w:t xml:space="preserve">do better- with </w:t>
      </w:r>
      <w:r w:rsidR="00542E2B">
        <w:rPr>
          <w:rFonts w:ascii="Garamond" w:hAnsi="Garamond"/>
          <w:iCs/>
          <w:sz w:val="24"/>
          <w:szCs w:val="24"/>
        </w:rPr>
        <w:t xml:space="preserve">the </w:t>
      </w:r>
      <w:r>
        <w:rPr>
          <w:rFonts w:ascii="Garamond" w:hAnsi="Garamond"/>
          <w:iCs/>
          <w:sz w:val="24"/>
          <w:szCs w:val="24"/>
        </w:rPr>
        <w:t>highest rates of meeting both financial and social performance while having the lowest rates of meeting both targets</w:t>
      </w:r>
      <w:r w:rsidR="001A570E">
        <w:rPr>
          <w:rFonts w:ascii="Garamond" w:hAnsi="Garamond"/>
          <w:iCs/>
          <w:sz w:val="24"/>
          <w:szCs w:val="24"/>
        </w:rPr>
        <w:t xml:space="preserve">. </w:t>
      </w:r>
    </w:p>
    <w:p w14:paraId="23BCC28A" w14:textId="77777777" w:rsidR="00287AA2" w:rsidRPr="00287AA2" w:rsidRDefault="00A52FAC" w:rsidP="00A52FAC">
      <w:pPr>
        <w:pStyle w:val="Caption"/>
        <w:rPr>
          <w:i w:val="0"/>
          <w:color w:val="auto"/>
        </w:rPr>
      </w:pPr>
      <w:r>
        <w:t xml:space="preserve">Figure </w:t>
      </w:r>
      <w:r w:rsidR="006B7194">
        <w:rPr>
          <w:noProof/>
        </w:rPr>
        <w:fldChar w:fldCharType="begin"/>
      </w:r>
      <w:r w:rsidR="006B7194">
        <w:rPr>
          <w:noProof/>
        </w:rPr>
        <w:instrText xml:space="preserve"> SEQ Figure \* ARABIC </w:instrText>
      </w:r>
      <w:r w:rsidR="006B7194">
        <w:rPr>
          <w:noProof/>
        </w:rPr>
        <w:fldChar w:fldCharType="separate"/>
      </w:r>
      <w:r w:rsidR="00514604">
        <w:rPr>
          <w:noProof/>
        </w:rPr>
        <w:t>2</w:t>
      </w:r>
      <w:r w:rsidR="006B7194">
        <w:rPr>
          <w:noProof/>
        </w:rPr>
        <w:fldChar w:fldCharType="end"/>
      </w:r>
      <w:r>
        <w:t xml:space="preserve">: </w:t>
      </w:r>
      <w:r w:rsidR="00287AA2" w:rsidRPr="001159BC">
        <w:rPr>
          <w:i w:val="0"/>
          <w:color w:val="auto"/>
        </w:rPr>
        <w:t>Financial and Social Performance of MFIs by Region</w:t>
      </w:r>
      <w:r w:rsidR="00287AA2">
        <w:rPr>
          <w:i w:val="0"/>
          <w:color w:val="auto"/>
        </w:rPr>
        <w:t>- Columnar</w:t>
      </w:r>
    </w:p>
    <w:p w14:paraId="1B7FED72" w14:textId="77777777" w:rsidR="00CA0B90" w:rsidRDefault="00287AA2" w:rsidP="00CA0B90">
      <w:pPr>
        <w:tabs>
          <w:tab w:val="left" w:pos="910"/>
        </w:tabs>
      </w:pPr>
      <w:r>
        <w:rPr>
          <w:noProof/>
          <w:lang w:eastAsia="en-GB"/>
        </w:rPr>
        <w:drawing>
          <wp:inline distT="0" distB="0" distL="0" distR="0" wp14:anchorId="649BE445" wp14:editId="4B911CBB">
            <wp:extent cx="5601970" cy="3045656"/>
            <wp:effectExtent l="0" t="0" r="1778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C4E291" w14:textId="77777777" w:rsidR="00866617" w:rsidRPr="00764538" w:rsidRDefault="00A82B7A" w:rsidP="00764538">
      <w:pPr>
        <w:pStyle w:val="Caption"/>
        <w:spacing w:line="360" w:lineRule="auto"/>
        <w:rPr>
          <w:i w:val="0"/>
          <w:color w:val="auto"/>
          <w:sz w:val="24"/>
          <w:szCs w:val="24"/>
        </w:rPr>
      </w:pPr>
      <w:r w:rsidRPr="00A82B7A">
        <w:rPr>
          <w:i w:val="0"/>
          <w:color w:val="auto"/>
          <w:sz w:val="24"/>
          <w:szCs w:val="24"/>
        </w:rPr>
        <w:t xml:space="preserve">We also break down the data by legal tradition in Table 3 below. The analysis shows that it is MFIs located in civil law countries that have the highest frequency of concurrent financial and social failure while those in common law countries have the least. </w:t>
      </w:r>
      <w:r>
        <w:rPr>
          <w:i w:val="0"/>
          <w:color w:val="auto"/>
          <w:sz w:val="24"/>
          <w:szCs w:val="24"/>
        </w:rPr>
        <w:t xml:space="preserve">On the other hand, MFIs in common </w:t>
      </w:r>
      <w:r>
        <w:rPr>
          <w:i w:val="0"/>
          <w:color w:val="auto"/>
          <w:sz w:val="24"/>
          <w:szCs w:val="24"/>
        </w:rPr>
        <w:lastRenderedPageBreak/>
        <w:t>law countries have the highest instance of simultaneous financial and social success</w:t>
      </w:r>
      <w:r w:rsidR="006010A7">
        <w:rPr>
          <w:i w:val="0"/>
          <w:color w:val="auto"/>
          <w:sz w:val="24"/>
          <w:szCs w:val="24"/>
        </w:rPr>
        <w:t>,</w:t>
      </w:r>
      <w:r>
        <w:rPr>
          <w:i w:val="0"/>
          <w:color w:val="auto"/>
          <w:sz w:val="24"/>
          <w:szCs w:val="24"/>
        </w:rPr>
        <w:t xml:space="preserve"> while those in the civil law countries have the least. MFIs located in countries with other legal traditions sit in the middle with the distribution of performance distributed almost evenly. </w:t>
      </w:r>
      <w:r w:rsidR="002A0E32">
        <w:rPr>
          <w:i w:val="0"/>
          <w:color w:val="auto"/>
          <w:sz w:val="24"/>
          <w:szCs w:val="24"/>
        </w:rPr>
        <w:t>However, for common law countries, there is a higher frequency of financial failure with social success. Civil law countries exhibit higher rates of mission drift- financial success with social failure.</w:t>
      </w:r>
    </w:p>
    <w:p w14:paraId="3D349856" w14:textId="77777777" w:rsidR="00CA0B90" w:rsidRDefault="00801D42" w:rsidP="00801D42">
      <w:pPr>
        <w:pStyle w:val="Caption"/>
      </w:pPr>
      <w:r>
        <w:t xml:space="preserve">Figure </w:t>
      </w:r>
      <w:r w:rsidR="006B7194">
        <w:rPr>
          <w:noProof/>
        </w:rPr>
        <w:fldChar w:fldCharType="begin"/>
      </w:r>
      <w:r w:rsidR="006B7194">
        <w:rPr>
          <w:noProof/>
        </w:rPr>
        <w:instrText xml:space="preserve"> SEQ Figure \* ARABIC </w:instrText>
      </w:r>
      <w:r w:rsidR="006B7194">
        <w:rPr>
          <w:noProof/>
        </w:rPr>
        <w:fldChar w:fldCharType="separate"/>
      </w:r>
      <w:r w:rsidR="00514604">
        <w:rPr>
          <w:noProof/>
        </w:rPr>
        <w:t>3</w:t>
      </w:r>
      <w:r w:rsidR="006B7194">
        <w:rPr>
          <w:noProof/>
        </w:rPr>
        <w:fldChar w:fldCharType="end"/>
      </w:r>
      <w:r>
        <w:t xml:space="preserve">: </w:t>
      </w:r>
      <w:r w:rsidRPr="001159BC">
        <w:rPr>
          <w:i w:val="0"/>
          <w:color w:val="auto"/>
        </w:rPr>
        <w:t>Financial and Soci</w:t>
      </w:r>
      <w:r>
        <w:rPr>
          <w:i w:val="0"/>
          <w:color w:val="auto"/>
        </w:rPr>
        <w:t>al Performance of MFIs by Legal Tradition</w:t>
      </w:r>
    </w:p>
    <w:p w14:paraId="25C4F5E8" w14:textId="77777777" w:rsidR="00CA0B90" w:rsidRDefault="00CA0B90" w:rsidP="00776172">
      <w:r>
        <w:rPr>
          <w:noProof/>
          <w:lang w:eastAsia="en-GB"/>
        </w:rPr>
        <w:drawing>
          <wp:inline distT="0" distB="0" distL="0" distR="0" wp14:anchorId="190820D5" wp14:editId="67E03842">
            <wp:extent cx="5706110" cy="2841585"/>
            <wp:effectExtent l="0" t="0" r="8890"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1A96E2" w14:textId="77777777" w:rsidR="00D37757" w:rsidRDefault="00417FAB" w:rsidP="00417FAB">
      <w:pPr>
        <w:spacing w:line="360" w:lineRule="auto"/>
        <w:rPr>
          <w:rFonts w:ascii="Garamond" w:hAnsi="Garamond"/>
          <w:iCs/>
          <w:sz w:val="24"/>
          <w:szCs w:val="24"/>
        </w:rPr>
      </w:pPr>
      <w:r w:rsidRPr="00417FAB">
        <w:rPr>
          <w:rFonts w:ascii="Garamond" w:hAnsi="Garamond"/>
          <w:iCs/>
          <w:sz w:val="24"/>
          <w:szCs w:val="24"/>
        </w:rPr>
        <w:t xml:space="preserve">The source of the disparity between </w:t>
      </w:r>
      <w:r w:rsidR="003A76C0">
        <w:rPr>
          <w:rFonts w:ascii="Garamond" w:hAnsi="Garamond"/>
          <w:iCs/>
          <w:sz w:val="24"/>
          <w:szCs w:val="24"/>
        </w:rPr>
        <w:t xml:space="preserve">the </w:t>
      </w:r>
      <w:r w:rsidRPr="00417FAB">
        <w:rPr>
          <w:rFonts w:ascii="Garamond" w:hAnsi="Garamond"/>
          <w:iCs/>
          <w:sz w:val="24"/>
          <w:szCs w:val="24"/>
        </w:rPr>
        <w:t xml:space="preserve">financial and social performance of MFIs by legal tradition is not </w:t>
      </w:r>
      <w:r>
        <w:rPr>
          <w:rFonts w:ascii="Garamond" w:hAnsi="Garamond"/>
          <w:iCs/>
          <w:sz w:val="24"/>
          <w:szCs w:val="24"/>
        </w:rPr>
        <w:t>apparent</w:t>
      </w:r>
      <w:r w:rsidRPr="00417FAB">
        <w:rPr>
          <w:rFonts w:ascii="Garamond" w:hAnsi="Garamond"/>
          <w:iCs/>
          <w:sz w:val="24"/>
          <w:szCs w:val="24"/>
        </w:rPr>
        <w:t xml:space="preserve">. </w:t>
      </w:r>
      <w:r>
        <w:rPr>
          <w:rFonts w:ascii="Garamond" w:hAnsi="Garamond"/>
          <w:iCs/>
          <w:sz w:val="24"/>
          <w:szCs w:val="24"/>
        </w:rPr>
        <w:t xml:space="preserve"> </w:t>
      </w:r>
      <w:r w:rsidR="00DC7B96">
        <w:rPr>
          <w:rFonts w:ascii="Garamond" w:hAnsi="Garamond"/>
          <w:iCs/>
          <w:sz w:val="24"/>
          <w:szCs w:val="24"/>
        </w:rPr>
        <w:t xml:space="preserve"> The next section shows the results of the regression</w:t>
      </w:r>
      <w:r w:rsidR="00AF4605">
        <w:rPr>
          <w:rFonts w:ascii="Garamond" w:hAnsi="Garamond"/>
          <w:iCs/>
          <w:sz w:val="24"/>
          <w:szCs w:val="24"/>
        </w:rPr>
        <w:t>,</w:t>
      </w:r>
      <w:r w:rsidR="00DC7B96">
        <w:rPr>
          <w:rFonts w:ascii="Garamond" w:hAnsi="Garamond"/>
          <w:iCs/>
          <w:sz w:val="24"/>
          <w:szCs w:val="24"/>
        </w:rPr>
        <w:t xml:space="preserve"> which could uncover some of these insights. </w:t>
      </w:r>
    </w:p>
    <w:p w14:paraId="671B0828" w14:textId="77777777" w:rsidR="00D3100C" w:rsidRPr="00B2579A" w:rsidRDefault="00D37757" w:rsidP="00B2579A">
      <w:pPr>
        <w:pStyle w:val="Heading3"/>
        <w:spacing w:line="360" w:lineRule="auto"/>
      </w:pPr>
      <w:r w:rsidRPr="00B2579A">
        <w:t>The output of the Regression Model</w:t>
      </w:r>
    </w:p>
    <w:p w14:paraId="1314DF3E" w14:textId="6BC3CD76" w:rsidR="003F5E4A" w:rsidRPr="00B2579A" w:rsidRDefault="00D3100C" w:rsidP="00B2579A">
      <w:pPr>
        <w:spacing w:line="360" w:lineRule="auto"/>
        <w:rPr>
          <w:rFonts w:ascii="Garamond" w:hAnsi="Garamond"/>
          <w:sz w:val="24"/>
          <w:szCs w:val="24"/>
        </w:rPr>
      </w:pPr>
      <w:r w:rsidRPr="00B2579A">
        <w:rPr>
          <w:rFonts w:ascii="Garamond" w:hAnsi="Garamond"/>
          <w:sz w:val="24"/>
          <w:szCs w:val="24"/>
        </w:rPr>
        <w:t>Appendix 5 shows the output from the regression.</w:t>
      </w:r>
      <w:r w:rsidR="009616DA" w:rsidRPr="00B2579A">
        <w:rPr>
          <w:rFonts w:ascii="Garamond" w:hAnsi="Garamond"/>
          <w:sz w:val="24"/>
          <w:szCs w:val="24"/>
        </w:rPr>
        <w:t xml:space="preserve"> Age, size, region, GDP growth, </w:t>
      </w:r>
      <w:r w:rsidR="009545E8" w:rsidRPr="00B2579A">
        <w:rPr>
          <w:rFonts w:ascii="Garamond" w:hAnsi="Garamond"/>
          <w:sz w:val="24"/>
          <w:szCs w:val="24"/>
        </w:rPr>
        <w:t>l</w:t>
      </w:r>
      <w:r w:rsidR="009616DA" w:rsidRPr="00B2579A">
        <w:rPr>
          <w:rFonts w:ascii="Garamond" w:hAnsi="Garamond"/>
          <w:sz w:val="24"/>
          <w:szCs w:val="24"/>
        </w:rPr>
        <w:t xml:space="preserve">egal tradition, and legal status of an </w:t>
      </w:r>
      <w:r w:rsidR="00C87C4B" w:rsidRPr="00B2579A">
        <w:rPr>
          <w:rFonts w:ascii="Garamond" w:hAnsi="Garamond"/>
          <w:sz w:val="24"/>
          <w:szCs w:val="24"/>
        </w:rPr>
        <w:t>MFI are</w:t>
      </w:r>
      <w:r w:rsidR="009616DA" w:rsidRPr="00B2579A">
        <w:rPr>
          <w:rFonts w:ascii="Garamond" w:hAnsi="Garamond"/>
          <w:sz w:val="24"/>
          <w:szCs w:val="24"/>
        </w:rPr>
        <w:t xml:space="preserve"> significant determinants of </w:t>
      </w:r>
      <w:r w:rsidR="009545E8" w:rsidRPr="00B2579A">
        <w:rPr>
          <w:rFonts w:ascii="Garamond" w:hAnsi="Garamond"/>
          <w:sz w:val="24"/>
          <w:szCs w:val="24"/>
        </w:rPr>
        <w:t xml:space="preserve">the likelihood of </w:t>
      </w:r>
      <w:r w:rsidR="009616DA" w:rsidRPr="00B2579A">
        <w:rPr>
          <w:rFonts w:ascii="Garamond" w:hAnsi="Garamond"/>
          <w:sz w:val="24"/>
          <w:szCs w:val="24"/>
        </w:rPr>
        <w:t xml:space="preserve">MFIs meeting financial and social objectives. </w:t>
      </w:r>
      <w:r w:rsidR="008F331A" w:rsidRPr="00B2579A">
        <w:rPr>
          <w:rFonts w:ascii="Garamond" w:hAnsi="Garamond"/>
          <w:sz w:val="24"/>
          <w:szCs w:val="24"/>
        </w:rPr>
        <w:t>Note that we have used MFIs that succeed both financially and socially (SS) as the base</w:t>
      </w:r>
      <w:r w:rsidR="009545E8" w:rsidRPr="00B2579A">
        <w:rPr>
          <w:rFonts w:ascii="Garamond" w:hAnsi="Garamond"/>
          <w:sz w:val="24"/>
          <w:szCs w:val="24"/>
        </w:rPr>
        <w:t>, which is an arbitrary choice as any other category would do</w:t>
      </w:r>
      <w:r w:rsidR="008F331A" w:rsidRPr="00B2579A">
        <w:rPr>
          <w:rFonts w:ascii="Garamond" w:hAnsi="Garamond"/>
          <w:sz w:val="24"/>
          <w:szCs w:val="24"/>
        </w:rPr>
        <w:t xml:space="preserve">. </w:t>
      </w:r>
    </w:p>
    <w:p w14:paraId="22C518E7" w14:textId="77777777" w:rsidR="00E70B14" w:rsidRPr="00B2579A" w:rsidRDefault="003F5E4A" w:rsidP="00B2579A">
      <w:pPr>
        <w:pStyle w:val="ListParagraph"/>
        <w:numPr>
          <w:ilvl w:val="0"/>
          <w:numId w:val="10"/>
        </w:numPr>
        <w:spacing w:line="360" w:lineRule="auto"/>
        <w:rPr>
          <w:rFonts w:ascii="Garamond" w:hAnsi="Garamond"/>
          <w:sz w:val="24"/>
          <w:szCs w:val="24"/>
        </w:rPr>
      </w:pPr>
      <w:r w:rsidRPr="00B2579A">
        <w:rPr>
          <w:rFonts w:ascii="Garamond" w:hAnsi="Garamond"/>
          <w:sz w:val="24"/>
          <w:szCs w:val="24"/>
        </w:rPr>
        <w:t>MFIs that fail both financially and socially</w:t>
      </w:r>
      <w:r w:rsidR="00DB2906" w:rsidRPr="00B2579A">
        <w:rPr>
          <w:rFonts w:ascii="Garamond" w:hAnsi="Garamond"/>
          <w:sz w:val="24"/>
          <w:szCs w:val="24"/>
        </w:rPr>
        <w:t xml:space="preserve"> (ff)</w:t>
      </w:r>
      <w:r w:rsidRPr="00B2579A">
        <w:rPr>
          <w:rFonts w:ascii="Garamond" w:hAnsi="Garamond"/>
          <w:sz w:val="24"/>
          <w:szCs w:val="24"/>
        </w:rPr>
        <w:t xml:space="preserve">: </w:t>
      </w:r>
      <w:r w:rsidR="008F331A" w:rsidRPr="00B2579A">
        <w:rPr>
          <w:rFonts w:ascii="Garamond" w:hAnsi="Garamond"/>
          <w:sz w:val="24"/>
          <w:szCs w:val="24"/>
        </w:rPr>
        <w:t xml:space="preserve">   The older the MFIs, the lower the chance of failing to meet both objectives</w:t>
      </w:r>
      <w:r w:rsidR="00517A17" w:rsidRPr="00B2579A">
        <w:rPr>
          <w:rFonts w:ascii="Garamond" w:hAnsi="Garamond"/>
          <w:sz w:val="24"/>
          <w:szCs w:val="24"/>
        </w:rPr>
        <w:t xml:space="preserve"> compared to the younger ones</w:t>
      </w:r>
      <w:r w:rsidR="008F331A" w:rsidRPr="00B2579A">
        <w:rPr>
          <w:rFonts w:ascii="Garamond" w:hAnsi="Garamond"/>
          <w:sz w:val="24"/>
          <w:szCs w:val="24"/>
        </w:rPr>
        <w:t xml:space="preserve">.  </w:t>
      </w:r>
      <w:r w:rsidR="00517A17" w:rsidRPr="00B2579A">
        <w:rPr>
          <w:rFonts w:ascii="Garamond" w:hAnsi="Garamond"/>
          <w:sz w:val="24"/>
          <w:szCs w:val="24"/>
        </w:rPr>
        <w:t>In statistical te</w:t>
      </w:r>
      <w:r w:rsidR="006F10F5" w:rsidRPr="00B2579A">
        <w:rPr>
          <w:rFonts w:ascii="Garamond" w:hAnsi="Garamond"/>
          <w:sz w:val="24"/>
          <w:szCs w:val="24"/>
        </w:rPr>
        <w:t xml:space="preserve">rms, an increase in age lowers </w:t>
      </w:r>
      <w:r w:rsidR="00517A17" w:rsidRPr="00B2579A">
        <w:rPr>
          <w:rFonts w:ascii="Garamond" w:hAnsi="Garamond"/>
          <w:sz w:val="24"/>
          <w:szCs w:val="24"/>
        </w:rPr>
        <w:t xml:space="preserve">(due to the negative sign) the odds of being in the ff category as compared to the ss category (the base).  </w:t>
      </w:r>
      <w:r w:rsidR="008F331A" w:rsidRPr="00B2579A">
        <w:rPr>
          <w:rFonts w:ascii="Garamond" w:hAnsi="Garamond"/>
          <w:sz w:val="24"/>
          <w:szCs w:val="24"/>
        </w:rPr>
        <w:t>Also</w:t>
      </w:r>
      <w:r w:rsidR="00517A17" w:rsidRPr="00B2579A">
        <w:rPr>
          <w:rFonts w:ascii="Garamond" w:hAnsi="Garamond"/>
          <w:sz w:val="24"/>
          <w:szCs w:val="24"/>
        </w:rPr>
        <w:t>,</w:t>
      </w:r>
      <w:r w:rsidR="008F331A" w:rsidRPr="00B2579A">
        <w:rPr>
          <w:rFonts w:ascii="Garamond" w:hAnsi="Garamond"/>
          <w:sz w:val="24"/>
          <w:szCs w:val="24"/>
        </w:rPr>
        <w:t xml:space="preserve"> MFIs in Southern Africa are more likely to fail to meet both objectives</w:t>
      </w:r>
      <w:r w:rsidR="00517A17" w:rsidRPr="00B2579A">
        <w:rPr>
          <w:rFonts w:ascii="Garamond" w:hAnsi="Garamond"/>
          <w:sz w:val="24"/>
          <w:szCs w:val="24"/>
        </w:rPr>
        <w:t xml:space="preserve"> (ff)</w:t>
      </w:r>
      <w:r w:rsidR="008F331A" w:rsidRPr="00B2579A">
        <w:rPr>
          <w:rFonts w:ascii="Garamond" w:hAnsi="Garamond"/>
          <w:sz w:val="24"/>
          <w:szCs w:val="24"/>
        </w:rPr>
        <w:t xml:space="preserve"> than to meet them</w:t>
      </w:r>
      <w:r w:rsidR="00517A17" w:rsidRPr="00B2579A">
        <w:rPr>
          <w:rFonts w:ascii="Garamond" w:hAnsi="Garamond"/>
          <w:sz w:val="24"/>
          <w:szCs w:val="24"/>
        </w:rPr>
        <w:t xml:space="preserve"> (ss) compared to other regions</w:t>
      </w:r>
      <w:r w:rsidR="008F331A" w:rsidRPr="00B2579A">
        <w:rPr>
          <w:rFonts w:ascii="Garamond" w:hAnsi="Garamond"/>
          <w:sz w:val="24"/>
          <w:szCs w:val="24"/>
        </w:rPr>
        <w:t>.  The opposite is the case for West Africa</w:t>
      </w:r>
      <w:r w:rsidR="00E70B14" w:rsidRPr="00B2579A">
        <w:rPr>
          <w:rFonts w:ascii="Garamond" w:hAnsi="Garamond"/>
          <w:sz w:val="24"/>
          <w:szCs w:val="24"/>
        </w:rPr>
        <w:t xml:space="preserve"> and North Africa</w:t>
      </w:r>
      <w:r w:rsidR="008F331A" w:rsidRPr="00B2579A">
        <w:rPr>
          <w:rFonts w:ascii="Garamond" w:hAnsi="Garamond"/>
          <w:sz w:val="24"/>
          <w:szCs w:val="24"/>
        </w:rPr>
        <w:t>.</w:t>
      </w:r>
      <w:r w:rsidR="00E70B14" w:rsidRPr="00B2579A">
        <w:rPr>
          <w:rFonts w:ascii="Garamond" w:hAnsi="Garamond"/>
          <w:sz w:val="24"/>
          <w:szCs w:val="24"/>
        </w:rPr>
        <w:t xml:space="preserve"> Although not </w:t>
      </w:r>
      <w:r w:rsidR="00E70B14" w:rsidRPr="00B2579A">
        <w:rPr>
          <w:rFonts w:ascii="Garamond" w:hAnsi="Garamond"/>
          <w:sz w:val="24"/>
          <w:szCs w:val="24"/>
        </w:rPr>
        <w:lastRenderedPageBreak/>
        <w:t>significant, MFIs in Central Africa are more likely to fa</w:t>
      </w:r>
      <w:r w:rsidR="00EC40F4" w:rsidRPr="00B2579A">
        <w:rPr>
          <w:rFonts w:ascii="Garamond" w:hAnsi="Garamond"/>
          <w:sz w:val="24"/>
          <w:szCs w:val="24"/>
        </w:rPr>
        <w:t>il financially, and socially tha</w:t>
      </w:r>
      <w:r w:rsidR="00E70B14" w:rsidRPr="00B2579A">
        <w:rPr>
          <w:rFonts w:ascii="Garamond" w:hAnsi="Garamond"/>
          <w:sz w:val="24"/>
          <w:szCs w:val="24"/>
        </w:rPr>
        <w:t xml:space="preserve">n they are to succeed. </w:t>
      </w:r>
      <w:r w:rsidR="008F331A" w:rsidRPr="00B2579A">
        <w:rPr>
          <w:rFonts w:ascii="Garamond" w:hAnsi="Garamond"/>
          <w:sz w:val="24"/>
          <w:szCs w:val="24"/>
        </w:rPr>
        <w:t xml:space="preserve">  MFIs operating in countries with high growth rates have a </w:t>
      </w:r>
      <w:r w:rsidR="00517A17" w:rsidRPr="00B2579A">
        <w:rPr>
          <w:rFonts w:ascii="Garamond" w:hAnsi="Garamond"/>
          <w:sz w:val="24"/>
          <w:szCs w:val="24"/>
        </w:rPr>
        <w:t xml:space="preserve">lower </w:t>
      </w:r>
      <w:r w:rsidR="008F331A" w:rsidRPr="00B2579A">
        <w:rPr>
          <w:rFonts w:ascii="Garamond" w:hAnsi="Garamond"/>
          <w:sz w:val="24"/>
          <w:szCs w:val="24"/>
        </w:rPr>
        <w:t>chance of failing to meet both objectives</w:t>
      </w:r>
      <w:r w:rsidR="00517A17" w:rsidRPr="00B2579A">
        <w:rPr>
          <w:rFonts w:ascii="Garamond" w:hAnsi="Garamond"/>
          <w:sz w:val="24"/>
          <w:szCs w:val="24"/>
        </w:rPr>
        <w:t xml:space="preserve"> than to meet both</w:t>
      </w:r>
      <w:r w:rsidR="008F331A" w:rsidRPr="00B2579A">
        <w:rPr>
          <w:rFonts w:ascii="Garamond" w:hAnsi="Garamond"/>
          <w:sz w:val="24"/>
          <w:szCs w:val="24"/>
        </w:rPr>
        <w:t xml:space="preserve">.  Also, countries in civil law countries are more likely to fail in meeting both objectives </w:t>
      </w:r>
      <w:r w:rsidR="00E70B14" w:rsidRPr="00B2579A">
        <w:rPr>
          <w:rFonts w:ascii="Garamond" w:hAnsi="Garamond"/>
          <w:sz w:val="24"/>
          <w:szCs w:val="24"/>
        </w:rPr>
        <w:t>than to meet them. MFIs in</w:t>
      </w:r>
      <w:r w:rsidR="008F331A" w:rsidRPr="00B2579A">
        <w:rPr>
          <w:rFonts w:ascii="Garamond" w:hAnsi="Garamond"/>
          <w:sz w:val="24"/>
          <w:szCs w:val="24"/>
        </w:rPr>
        <w:t xml:space="preserve"> other legal traditions</w:t>
      </w:r>
      <w:r w:rsidR="00E70B14" w:rsidRPr="00B2579A">
        <w:rPr>
          <w:rFonts w:ascii="Garamond" w:hAnsi="Garamond"/>
          <w:sz w:val="24"/>
          <w:szCs w:val="24"/>
        </w:rPr>
        <w:t xml:space="preserve"> are more likely to fail financially and socially, although the relationship is not significant</w:t>
      </w:r>
      <w:r w:rsidR="008F331A" w:rsidRPr="00B2579A">
        <w:rPr>
          <w:rFonts w:ascii="Garamond" w:hAnsi="Garamond"/>
          <w:sz w:val="24"/>
          <w:szCs w:val="24"/>
        </w:rPr>
        <w:t>.  Lastly, NGOs are less likely to fail in both objectives than</w:t>
      </w:r>
      <w:r w:rsidR="00E70B14" w:rsidRPr="00B2579A">
        <w:rPr>
          <w:rFonts w:ascii="Garamond" w:hAnsi="Garamond"/>
          <w:sz w:val="24"/>
          <w:szCs w:val="24"/>
        </w:rPr>
        <w:t xml:space="preserve"> to meet them. The same is true for rural banks although the relationship is not statistically significant. NBFIs, Credit Unions/ Cooperatives, and other legal forms are all more likely to fail in both objectives, but the relationship is not significant. </w:t>
      </w:r>
    </w:p>
    <w:p w14:paraId="7E59256A" w14:textId="77777777" w:rsidR="00E70B14" w:rsidRPr="00B2579A" w:rsidRDefault="00E70B14" w:rsidP="00B2579A">
      <w:pPr>
        <w:pStyle w:val="ListParagraph"/>
        <w:spacing w:line="360" w:lineRule="auto"/>
        <w:rPr>
          <w:rFonts w:ascii="Garamond" w:hAnsi="Garamond"/>
          <w:sz w:val="24"/>
          <w:szCs w:val="24"/>
        </w:rPr>
      </w:pPr>
    </w:p>
    <w:p w14:paraId="3CFD48FF" w14:textId="77777777" w:rsidR="00E70B14" w:rsidRPr="00B2579A" w:rsidRDefault="00E70B14" w:rsidP="00B2579A">
      <w:pPr>
        <w:pStyle w:val="ListParagraph"/>
        <w:spacing w:line="360" w:lineRule="auto"/>
        <w:rPr>
          <w:rFonts w:ascii="Garamond" w:hAnsi="Garamond"/>
          <w:sz w:val="24"/>
          <w:szCs w:val="24"/>
        </w:rPr>
      </w:pPr>
      <w:r w:rsidRPr="00B2579A">
        <w:rPr>
          <w:rFonts w:ascii="Garamond" w:hAnsi="Garamond"/>
          <w:sz w:val="24"/>
          <w:szCs w:val="24"/>
        </w:rPr>
        <w:t>Institutional quality</w:t>
      </w:r>
      <w:r w:rsidR="00FC3C12" w:rsidRPr="00B2579A">
        <w:rPr>
          <w:rFonts w:ascii="Garamond" w:hAnsi="Garamond"/>
          <w:sz w:val="24"/>
          <w:szCs w:val="24"/>
        </w:rPr>
        <w:t xml:space="preserve"> (KKM)</w:t>
      </w:r>
      <w:r w:rsidRPr="00B2579A">
        <w:rPr>
          <w:rFonts w:ascii="Garamond" w:hAnsi="Garamond"/>
          <w:sz w:val="24"/>
          <w:szCs w:val="24"/>
        </w:rPr>
        <w:t>, financial development</w:t>
      </w:r>
      <w:r w:rsidR="00FC3C12" w:rsidRPr="00B2579A">
        <w:rPr>
          <w:rFonts w:ascii="Garamond" w:hAnsi="Garamond"/>
          <w:sz w:val="24"/>
          <w:szCs w:val="24"/>
        </w:rPr>
        <w:t xml:space="preserve"> (FD)</w:t>
      </w:r>
      <w:r w:rsidRPr="00B2579A">
        <w:rPr>
          <w:rFonts w:ascii="Garamond" w:hAnsi="Garamond"/>
          <w:sz w:val="24"/>
          <w:szCs w:val="24"/>
        </w:rPr>
        <w:t xml:space="preserve">, and education are not significant in determining the degree of meeting financial and social objectives. </w:t>
      </w:r>
      <w:r w:rsidR="00FC3C12" w:rsidRPr="00B2579A">
        <w:rPr>
          <w:rFonts w:ascii="Garamond" w:hAnsi="Garamond"/>
          <w:sz w:val="24"/>
          <w:szCs w:val="24"/>
        </w:rPr>
        <w:t xml:space="preserve">Both KKM and FD are positively related to the possibility of MFIs failing financially and socially. The result could be due to the competition that MFIs face from </w:t>
      </w:r>
      <w:r w:rsidR="00EC40F4" w:rsidRPr="00B2579A">
        <w:rPr>
          <w:rFonts w:ascii="Garamond" w:hAnsi="Garamond"/>
          <w:sz w:val="24"/>
          <w:szCs w:val="24"/>
        </w:rPr>
        <w:t xml:space="preserve">the </w:t>
      </w:r>
      <w:r w:rsidR="00FC3C12" w:rsidRPr="00B2579A">
        <w:rPr>
          <w:rFonts w:ascii="Garamond" w:hAnsi="Garamond"/>
          <w:sz w:val="24"/>
          <w:szCs w:val="24"/>
        </w:rPr>
        <w:t xml:space="preserve">mainstream financial sector. Education lowers the probability of failing. </w:t>
      </w:r>
    </w:p>
    <w:p w14:paraId="5BE63148" w14:textId="10E69FA9" w:rsidR="007A498D" w:rsidRPr="00B2579A" w:rsidRDefault="00BA0F78" w:rsidP="00B2579A">
      <w:pPr>
        <w:pStyle w:val="ListParagraph"/>
        <w:numPr>
          <w:ilvl w:val="0"/>
          <w:numId w:val="10"/>
        </w:numPr>
        <w:spacing w:line="360" w:lineRule="auto"/>
        <w:rPr>
          <w:rFonts w:ascii="Garamond" w:hAnsi="Garamond"/>
          <w:sz w:val="24"/>
          <w:szCs w:val="24"/>
        </w:rPr>
      </w:pPr>
      <w:r w:rsidRPr="00B2579A">
        <w:rPr>
          <w:rFonts w:ascii="Garamond" w:hAnsi="Garamond"/>
          <w:sz w:val="24"/>
          <w:szCs w:val="24"/>
        </w:rPr>
        <w:t>MFIs that fail financially but succeed socially</w:t>
      </w:r>
      <w:r w:rsidR="00DA5EDB" w:rsidRPr="00B2579A">
        <w:rPr>
          <w:rFonts w:ascii="Garamond" w:hAnsi="Garamond"/>
          <w:sz w:val="24"/>
          <w:szCs w:val="24"/>
        </w:rPr>
        <w:t xml:space="preserve"> (fs)</w:t>
      </w:r>
      <w:r w:rsidR="00E70B14" w:rsidRPr="00B2579A">
        <w:rPr>
          <w:rFonts w:ascii="Garamond" w:hAnsi="Garamond"/>
          <w:sz w:val="24"/>
          <w:szCs w:val="24"/>
        </w:rPr>
        <w:t>:</w:t>
      </w:r>
      <w:r w:rsidR="007A498D" w:rsidRPr="00B2579A">
        <w:rPr>
          <w:rFonts w:ascii="Garamond" w:hAnsi="Garamond"/>
          <w:sz w:val="24"/>
          <w:szCs w:val="24"/>
        </w:rPr>
        <w:t xml:space="preserve">  The following variables positively and significantly raise the probability that an MFI fails financially but socially succeeds instead of succeeding in both: MFIs operating in Southern </w:t>
      </w:r>
      <w:r w:rsidR="00C87C4B" w:rsidRPr="00B2579A">
        <w:rPr>
          <w:rFonts w:ascii="Garamond" w:hAnsi="Garamond"/>
          <w:sz w:val="24"/>
          <w:szCs w:val="24"/>
        </w:rPr>
        <w:t>Africa, MFIs</w:t>
      </w:r>
      <w:r w:rsidR="007A498D" w:rsidRPr="00B2579A">
        <w:rPr>
          <w:rFonts w:ascii="Garamond" w:hAnsi="Garamond"/>
          <w:sz w:val="24"/>
          <w:szCs w:val="24"/>
        </w:rPr>
        <w:t xml:space="preserve"> operating in civil law </w:t>
      </w:r>
      <w:r w:rsidR="00637E27" w:rsidRPr="00B2579A">
        <w:rPr>
          <w:rFonts w:ascii="Garamond" w:hAnsi="Garamond"/>
          <w:sz w:val="24"/>
          <w:szCs w:val="24"/>
        </w:rPr>
        <w:t>countries, and</w:t>
      </w:r>
      <w:r w:rsidR="007A498D" w:rsidRPr="00B2579A">
        <w:rPr>
          <w:rFonts w:ascii="Garamond" w:hAnsi="Garamond"/>
          <w:sz w:val="24"/>
          <w:szCs w:val="24"/>
        </w:rPr>
        <w:t xml:space="preserve"> MF</w:t>
      </w:r>
      <w:r w:rsidR="00EC40F4" w:rsidRPr="00B2579A">
        <w:rPr>
          <w:rFonts w:ascii="Garamond" w:hAnsi="Garamond"/>
          <w:sz w:val="24"/>
          <w:szCs w:val="24"/>
        </w:rPr>
        <w:t>Is that are NBFIs.  However, other</w:t>
      </w:r>
      <w:r w:rsidR="007A498D" w:rsidRPr="00B2579A">
        <w:rPr>
          <w:rFonts w:ascii="Garamond" w:hAnsi="Garamond"/>
          <w:sz w:val="24"/>
          <w:szCs w:val="24"/>
        </w:rPr>
        <w:t xml:space="preserve"> factors that raise the probability of an MFI being in this category but are not statistically significant.   These are financial development and MFIs that operate as credit unions/ cooperatives, </w:t>
      </w:r>
      <w:proofErr w:type="gramStart"/>
      <w:r w:rsidR="007A498D" w:rsidRPr="00B2579A">
        <w:rPr>
          <w:rFonts w:ascii="Garamond" w:hAnsi="Garamond"/>
          <w:sz w:val="24"/>
          <w:szCs w:val="24"/>
        </w:rPr>
        <w:t xml:space="preserve">NGOs,   </w:t>
      </w:r>
      <w:proofErr w:type="gramEnd"/>
      <w:r w:rsidR="007A498D" w:rsidRPr="00B2579A">
        <w:rPr>
          <w:rFonts w:ascii="Garamond" w:hAnsi="Garamond"/>
          <w:sz w:val="24"/>
          <w:szCs w:val="24"/>
        </w:rPr>
        <w:t xml:space="preserve">and others. On the other hand, the following factors negatively and significantly lower the probability of an MFI failing financially but succeeding socially: Age, MFIs in central and North Africa, size, MFIs in countries with other legal traditions, and MFIs operating as rural banks. Although not </w:t>
      </w:r>
      <w:proofErr w:type="gramStart"/>
      <w:r w:rsidR="007A498D" w:rsidRPr="00B2579A">
        <w:rPr>
          <w:rFonts w:ascii="Garamond" w:hAnsi="Garamond"/>
          <w:sz w:val="24"/>
          <w:szCs w:val="24"/>
        </w:rPr>
        <w:t xml:space="preserve">significant,   </w:t>
      </w:r>
      <w:proofErr w:type="gramEnd"/>
      <w:r w:rsidR="007A498D" w:rsidRPr="00B2579A">
        <w:rPr>
          <w:rFonts w:ascii="Garamond" w:hAnsi="Garamond"/>
          <w:sz w:val="24"/>
          <w:szCs w:val="24"/>
        </w:rPr>
        <w:t xml:space="preserve">the following factors also </w:t>
      </w:r>
      <w:r w:rsidR="00F710B4">
        <w:rPr>
          <w:rFonts w:ascii="Garamond" w:hAnsi="Garamond"/>
          <w:sz w:val="24"/>
          <w:szCs w:val="24"/>
        </w:rPr>
        <w:t>lower the probability of an MFI</w:t>
      </w:r>
      <w:r w:rsidR="007A498D" w:rsidRPr="00B2579A">
        <w:rPr>
          <w:rFonts w:ascii="Garamond" w:hAnsi="Garamond"/>
          <w:sz w:val="24"/>
          <w:szCs w:val="24"/>
        </w:rPr>
        <w:t xml:space="preserve"> being fs as opposed to ss:  MFIs operating in West Africa, institutional quality and education. </w:t>
      </w:r>
      <w:r w:rsidR="00BF180A" w:rsidRPr="00B2579A">
        <w:rPr>
          <w:rFonts w:ascii="Garamond" w:hAnsi="Garamond"/>
          <w:sz w:val="24"/>
          <w:szCs w:val="24"/>
        </w:rPr>
        <w:t xml:space="preserve">This category is indicative of mission drift. </w:t>
      </w:r>
    </w:p>
    <w:p w14:paraId="28FD7E69" w14:textId="45C5A847" w:rsidR="006F7728" w:rsidRPr="00B2579A" w:rsidRDefault="00CF678E" w:rsidP="00B2579A">
      <w:pPr>
        <w:pStyle w:val="ListParagraph"/>
        <w:numPr>
          <w:ilvl w:val="0"/>
          <w:numId w:val="10"/>
        </w:numPr>
        <w:spacing w:line="360" w:lineRule="auto"/>
        <w:rPr>
          <w:rFonts w:ascii="Garamond" w:hAnsi="Garamond"/>
          <w:sz w:val="24"/>
          <w:szCs w:val="24"/>
        </w:rPr>
      </w:pPr>
      <w:r w:rsidRPr="00B2579A">
        <w:rPr>
          <w:rFonts w:ascii="Garamond" w:hAnsi="Garamond"/>
          <w:sz w:val="24"/>
          <w:szCs w:val="24"/>
        </w:rPr>
        <w:t>MFIs that succee</w:t>
      </w:r>
      <w:r w:rsidR="00F710B4">
        <w:rPr>
          <w:rFonts w:ascii="Garamond" w:hAnsi="Garamond"/>
          <w:sz w:val="24"/>
          <w:szCs w:val="24"/>
        </w:rPr>
        <w:t>d financially but fail socially</w:t>
      </w:r>
      <w:r w:rsidRPr="00B2579A">
        <w:rPr>
          <w:rFonts w:ascii="Garamond" w:hAnsi="Garamond"/>
          <w:sz w:val="24"/>
          <w:szCs w:val="24"/>
        </w:rPr>
        <w:t xml:space="preserve"> (sf): </w:t>
      </w:r>
      <w:r w:rsidR="00BF180A" w:rsidRPr="00B2579A">
        <w:rPr>
          <w:rFonts w:ascii="Garamond" w:hAnsi="Garamond"/>
          <w:sz w:val="24"/>
          <w:szCs w:val="24"/>
        </w:rPr>
        <w:t xml:space="preserve">  The following factors significantly raise the probability that an MFI will succeed financially but fail socially:  MFIs located in Central Africa and civil law countries, size of an MFI,  and MF</w:t>
      </w:r>
      <w:r w:rsidR="008632B4">
        <w:rPr>
          <w:rFonts w:ascii="Garamond" w:hAnsi="Garamond"/>
          <w:sz w:val="24"/>
          <w:szCs w:val="24"/>
        </w:rPr>
        <w:t>I</w:t>
      </w:r>
      <w:r w:rsidR="00BF180A" w:rsidRPr="00B2579A">
        <w:rPr>
          <w:rFonts w:ascii="Garamond" w:hAnsi="Garamond"/>
          <w:sz w:val="24"/>
          <w:szCs w:val="24"/>
        </w:rPr>
        <w:t>s operating as credit unions and rural banks. The following factors also raise this probability but not signif</w:t>
      </w:r>
      <w:r w:rsidR="00F710B4">
        <w:rPr>
          <w:rFonts w:ascii="Garamond" w:hAnsi="Garamond"/>
          <w:sz w:val="24"/>
          <w:szCs w:val="24"/>
        </w:rPr>
        <w:t xml:space="preserve">icantly so:  age (young MFIs), </w:t>
      </w:r>
      <w:r w:rsidR="00BF180A" w:rsidRPr="00B2579A">
        <w:rPr>
          <w:rFonts w:ascii="Garamond" w:hAnsi="Garamond"/>
          <w:sz w:val="24"/>
          <w:szCs w:val="24"/>
        </w:rPr>
        <w:t>edu</w:t>
      </w:r>
      <w:r w:rsidR="00F710B4">
        <w:rPr>
          <w:rFonts w:ascii="Garamond" w:hAnsi="Garamond"/>
          <w:sz w:val="24"/>
          <w:szCs w:val="24"/>
        </w:rPr>
        <w:t xml:space="preserve">cation, financial development, </w:t>
      </w:r>
      <w:r w:rsidR="00BF180A" w:rsidRPr="00B2579A">
        <w:rPr>
          <w:rFonts w:ascii="Garamond" w:hAnsi="Garamond"/>
          <w:sz w:val="24"/>
          <w:szCs w:val="24"/>
        </w:rPr>
        <w:t>MFIs in countries with other legal traditions and Non</w:t>
      </w:r>
      <w:r w:rsidR="008632B4">
        <w:rPr>
          <w:rFonts w:ascii="Garamond" w:hAnsi="Garamond"/>
          <w:sz w:val="24"/>
          <w:szCs w:val="24"/>
        </w:rPr>
        <w:t>-</w:t>
      </w:r>
      <w:r w:rsidR="00BF180A" w:rsidRPr="00B2579A">
        <w:rPr>
          <w:rFonts w:ascii="Garamond" w:hAnsi="Garamond"/>
          <w:sz w:val="24"/>
          <w:szCs w:val="24"/>
        </w:rPr>
        <w:t xml:space="preserve">Bank Financial Institutions (NBFIs). </w:t>
      </w:r>
      <w:r w:rsidR="00E671FF" w:rsidRPr="00B2579A">
        <w:rPr>
          <w:rFonts w:ascii="Garamond" w:hAnsi="Garamond"/>
          <w:sz w:val="24"/>
          <w:szCs w:val="24"/>
        </w:rPr>
        <w:t xml:space="preserve"> On the other hand, the following factors lower the probability of an MFI being in the sf category </w:t>
      </w:r>
      <w:r w:rsidR="00E671FF" w:rsidRPr="00B2579A">
        <w:rPr>
          <w:rFonts w:ascii="Garamond" w:hAnsi="Garamond"/>
          <w:sz w:val="24"/>
          <w:szCs w:val="24"/>
        </w:rPr>
        <w:lastRenderedPageBreak/>
        <w:t>(failing financially, succeeding socially) as opposed to the ss category significantly:   MFIs in West Africa, NGOs and rural banks.  The following factors lower the probability of an MFI being in the sf category instead of ss category but not significantly: age (mature MFIs</w:t>
      </w:r>
      <w:r w:rsidR="008632B4" w:rsidRPr="00B2579A">
        <w:rPr>
          <w:rFonts w:ascii="Garamond" w:hAnsi="Garamond"/>
          <w:sz w:val="24"/>
          <w:szCs w:val="24"/>
        </w:rPr>
        <w:t>), MFIs</w:t>
      </w:r>
      <w:r w:rsidR="00E671FF" w:rsidRPr="00B2579A">
        <w:rPr>
          <w:rFonts w:ascii="Garamond" w:hAnsi="Garamond"/>
          <w:sz w:val="24"/>
          <w:szCs w:val="24"/>
        </w:rPr>
        <w:t xml:space="preserve"> in North and Southern Africa, GDP growth, Institutional quality, and MFIs operating other organisational structures. </w:t>
      </w:r>
    </w:p>
    <w:p w14:paraId="1FE74129" w14:textId="77777777" w:rsidR="0096466A" w:rsidRPr="00B2579A" w:rsidRDefault="0096466A" w:rsidP="00B2579A">
      <w:pPr>
        <w:spacing w:line="360" w:lineRule="auto"/>
        <w:rPr>
          <w:rFonts w:ascii="Garamond" w:hAnsi="Garamond"/>
          <w:sz w:val="24"/>
          <w:szCs w:val="24"/>
        </w:rPr>
        <w:sectPr w:rsidR="0096466A" w:rsidRPr="00B2579A" w:rsidSect="00485121">
          <w:pgSz w:w="11907" w:h="16839" w:code="9"/>
          <w:pgMar w:top="1440" w:right="1440" w:bottom="1440" w:left="1440" w:header="720" w:footer="720" w:gutter="0"/>
          <w:cols w:space="720"/>
          <w:docGrid w:linePitch="360"/>
        </w:sectPr>
      </w:pPr>
      <w:r w:rsidRPr="00B2579A">
        <w:rPr>
          <w:rFonts w:ascii="Garamond" w:hAnsi="Garamond"/>
          <w:sz w:val="24"/>
          <w:szCs w:val="24"/>
        </w:rPr>
        <w:t xml:space="preserve">In the </w:t>
      </w:r>
      <w:proofErr w:type="spellStart"/>
      <w:r w:rsidRPr="00B2579A">
        <w:rPr>
          <w:rFonts w:ascii="Garamond" w:hAnsi="Garamond"/>
          <w:sz w:val="24"/>
          <w:szCs w:val="24"/>
        </w:rPr>
        <w:t>marginsplots</w:t>
      </w:r>
      <w:proofErr w:type="spellEnd"/>
      <w:r w:rsidRPr="00B2579A">
        <w:rPr>
          <w:rFonts w:ascii="Garamond" w:hAnsi="Garamond"/>
          <w:sz w:val="24"/>
          <w:szCs w:val="24"/>
        </w:rPr>
        <w:t xml:space="preserve"> that follow, we show how the significant variables affect the probability for each outcome. For instance, figure 1 shows how each of the key variables affects the probability of an MFI failing both financially and socially. Subsequent graphs show outcomes for the other scenarios as described above. </w:t>
      </w:r>
    </w:p>
    <w:p w14:paraId="05BB9285" w14:textId="77777777" w:rsidR="006F7728" w:rsidRPr="008A6DA1" w:rsidRDefault="00514604" w:rsidP="00514604">
      <w:pPr>
        <w:pStyle w:val="Caption"/>
        <w:rPr>
          <w:color w:val="auto"/>
          <w:sz w:val="24"/>
          <w:szCs w:val="24"/>
        </w:rPr>
      </w:pPr>
      <w:r w:rsidRPr="008A6DA1">
        <w:rPr>
          <w:color w:val="auto"/>
          <w:sz w:val="24"/>
          <w:szCs w:val="24"/>
        </w:rPr>
        <w:lastRenderedPageBreak/>
        <w:t xml:space="preserve">Figure </w:t>
      </w:r>
      <w:r w:rsidRPr="008A6DA1">
        <w:rPr>
          <w:color w:val="auto"/>
          <w:sz w:val="24"/>
          <w:szCs w:val="24"/>
        </w:rPr>
        <w:fldChar w:fldCharType="begin"/>
      </w:r>
      <w:r w:rsidRPr="008A6DA1">
        <w:rPr>
          <w:color w:val="auto"/>
          <w:sz w:val="24"/>
          <w:szCs w:val="24"/>
        </w:rPr>
        <w:instrText xml:space="preserve"> SEQ Figure \* ARABIC </w:instrText>
      </w:r>
      <w:r w:rsidRPr="008A6DA1">
        <w:rPr>
          <w:color w:val="auto"/>
          <w:sz w:val="24"/>
          <w:szCs w:val="24"/>
        </w:rPr>
        <w:fldChar w:fldCharType="separate"/>
      </w:r>
      <w:r w:rsidRPr="008A6DA1">
        <w:rPr>
          <w:noProof/>
          <w:color w:val="auto"/>
          <w:sz w:val="24"/>
          <w:szCs w:val="24"/>
        </w:rPr>
        <w:t>4</w:t>
      </w:r>
      <w:r w:rsidRPr="008A6DA1">
        <w:rPr>
          <w:color w:val="auto"/>
          <w:sz w:val="24"/>
          <w:szCs w:val="24"/>
        </w:rPr>
        <w:fldChar w:fldCharType="end"/>
      </w:r>
      <w:r w:rsidRPr="008A6DA1">
        <w:rPr>
          <w:color w:val="auto"/>
          <w:sz w:val="24"/>
          <w:szCs w:val="24"/>
        </w:rPr>
        <w:t xml:space="preserve">: </w:t>
      </w:r>
      <w:r w:rsidR="006F7728" w:rsidRPr="008A6DA1">
        <w:rPr>
          <w:color w:val="auto"/>
          <w:sz w:val="24"/>
          <w:szCs w:val="24"/>
        </w:rPr>
        <w:t xml:space="preserve">Adjusted </w:t>
      </w:r>
      <w:r w:rsidR="00B2579A" w:rsidRPr="008A6DA1">
        <w:rPr>
          <w:color w:val="auto"/>
          <w:sz w:val="24"/>
          <w:szCs w:val="24"/>
        </w:rPr>
        <w:t>Predictions at</w:t>
      </w:r>
      <w:r w:rsidR="006F7728" w:rsidRPr="008A6DA1">
        <w:rPr>
          <w:color w:val="auto"/>
          <w:sz w:val="24"/>
          <w:szCs w:val="24"/>
        </w:rPr>
        <w:t xml:space="preserve"> 95% Confidence Intervals for category ff (</w:t>
      </w:r>
      <w:r w:rsidR="00AA4A29">
        <w:rPr>
          <w:color w:val="auto"/>
          <w:sz w:val="24"/>
          <w:szCs w:val="24"/>
        </w:rPr>
        <w:t xml:space="preserve">FF- </w:t>
      </w:r>
      <w:r w:rsidR="006F7728" w:rsidRPr="008A6DA1">
        <w:rPr>
          <w:color w:val="auto"/>
          <w:sz w:val="24"/>
          <w:szCs w:val="24"/>
        </w:rPr>
        <w:t>MFIs that fail both financially and socially)</w:t>
      </w:r>
    </w:p>
    <w:p w14:paraId="07F0BCE1" w14:textId="77777777" w:rsidR="006F7728" w:rsidRDefault="006F7728" w:rsidP="006F7728">
      <w:pPr>
        <w:spacing w:line="360" w:lineRule="auto"/>
        <w:ind w:firstLine="720"/>
        <w:rPr>
          <w:rFonts w:ascii="Garamond" w:hAnsi="Garamond"/>
        </w:rPr>
      </w:pPr>
      <w:r w:rsidRPr="006F7728">
        <w:rPr>
          <w:rFonts w:ascii="Garamond" w:hAnsi="Garamond"/>
          <w:noProof/>
          <w:lang w:eastAsia="en-GB"/>
        </w:rPr>
        <w:drawing>
          <wp:inline distT="0" distB="0" distL="0" distR="0" wp14:anchorId="1FDB349D" wp14:editId="377E2F72">
            <wp:extent cx="8863346" cy="5303520"/>
            <wp:effectExtent l="0" t="0" r="0" b="0"/>
            <wp:docPr id="1" name="Picture 1" descr="C:\Users\John Karuitha\OneDrive - University of Witwatersrand\Documents\My Thesis\Karuitha and Ojah Data\THESIS\Dissertation\Stata_output\Objective 2 Graph, FF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Karuitha\OneDrive - University of Witwatersrand\Documents\My Thesis\Karuitha and Ojah Data\THESIS\Dissertation\Stata_output\Objective 2 Graph, FF P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9665" cy="5307301"/>
                    </a:xfrm>
                    <a:prstGeom prst="rect">
                      <a:avLst/>
                    </a:prstGeom>
                    <a:noFill/>
                    <a:ln>
                      <a:noFill/>
                    </a:ln>
                  </pic:spPr>
                </pic:pic>
              </a:graphicData>
            </a:graphic>
          </wp:inline>
        </w:drawing>
      </w:r>
    </w:p>
    <w:p w14:paraId="398ABEEF" w14:textId="06655531" w:rsidR="006F7728" w:rsidRPr="008A6DA1" w:rsidRDefault="00514604" w:rsidP="00514604">
      <w:pPr>
        <w:pStyle w:val="Caption"/>
        <w:rPr>
          <w:color w:val="auto"/>
          <w:sz w:val="24"/>
          <w:szCs w:val="24"/>
        </w:rPr>
      </w:pPr>
      <w:r w:rsidRPr="008A6DA1">
        <w:rPr>
          <w:color w:val="auto"/>
          <w:sz w:val="24"/>
          <w:szCs w:val="24"/>
        </w:rPr>
        <w:lastRenderedPageBreak/>
        <w:t xml:space="preserve">Figure </w:t>
      </w:r>
      <w:r w:rsidRPr="008A6DA1">
        <w:rPr>
          <w:color w:val="auto"/>
          <w:sz w:val="24"/>
          <w:szCs w:val="24"/>
        </w:rPr>
        <w:fldChar w:fldCharType="begin"/>
      </w:r>
      <w:r w:rsidRPr="008A6DA1">
        <w:rPr>
          <w:color w:val="auto"/>
          <w:sz w:val="24"/>
          <w:szCs w:val="24"/>
        </w:rPr>
        <w:instrText xml:space="preserve"> SEQ Figure \* ARABIC </w:instrText>
      </w:r>
      <w:r w:rsidRPr="008A6DA1">
        <w:rPr>
          <w:color w:val="auto"/>
          <w:sz w:val="24"/>
          <w:szCs w:val="24"/>
        </w:rPr>
        <w:fldChar w:fldCharType="separate"/>
      </w:r>
      <w:r w:rsidRPr="008A6DA1">
        <w:rPr>
          <w:color w:val="auto"/>
          <w:sz w:val="24"/>
          <w:szCs w:val="24"/>
        </w:rPr>
        <w:t>5</w:t>
      </w:r>
      <w:r w:rsidRPr="008A6DA1">
        <w:rPr>
          <w:color w:val="auto"/>
          <w:sz w:val="24"/>
          <w:szCs w:val="24"/>
        </w:rPr>
        <w:fldChar w:fldCharType="end"/>
      </w:r>
      <w:r w:rsidRPr="008A6DA1">
        <w:rPr>
          <w:color w:val="auto"/>
          <w:sz w:val="24"/>
          <w:szCs w:val="24"/>
        </w:rPr>
        <w:t xml:space="preserve">: </w:t>
      </w:r>
      <w:r w:rsidR="006F7728" w:rsidRPr="008A6DA1">
        <w:rPr>
          <w:color w:val="auto"/>
          <w:sz w:val="24"/>
          <w:szCs w:val="24"/>
        </w:rPr>
        <w:t xml:space="preserve">Adjusted </w:t>
      </w:r>
      <w:r w:rsidR="009937A9" w:rsidRPr="008A6DA1">
        <w:rPr>
          <w:color w:val="auto"/>
          <w:sz w:val="24"/>
          <w:szCs w:val="24"/>
        </w:rPr>
        <w:t>Predictions at</w:t>
      </w:r>
      <w:r w:rsidR="006F7728" w:rsidRPr="008A6DA1">
        <w:rPr>
          <w:color w:val="auto"/>
          <w:sz w:val="24"/>
          <w:szCs w:val="24"/>
        </w:rPr>
        <w:t xml:space="preserve"> 95% Confidence Intervals for category fs (</w:t>
      </w:r>
      <w:r w:rsidR="00AA4A29">
        <w:rPr>
          <w:color w:val="auto"/>
          <w:sz w:val="24"/>
          <w:szCs w:val="24"/>
        </w:rPr>
        <w:t xml:space="preserve">FS- </w:t>
      </w:r>
      <w:r w:rsidR="006F7728" w:rsidRPr="008A6DA1">
        <w:rPr>
          <w:color w:val="auto"/>
          <w:sz w:val="24"/>
          <w:szCs w:val="24"/>
        </w:rPr>
        <w:t>MFIs that fail financially and succeed socially)</w:t>
      </w:r>
    </w:p>
    <w:p w14:paraId="1ACB9D56" w14:textId="77777777" w:rsidR="006F7728" w:rsidRDefault="006F7728" w:rsidP="006F7728">
      <w:pPr>
        <w:tabs>
          <w:tab w:val="left" w:pos="798"/>
        </w:tabs>
        <w:rPr>
          <w:rFonts w:ascii="Garamond" w:hAnsi="Garamond"/>
        </w:rPr>
      </w:pPr>
      <w:r w:rsidRPr="006F7728">
        <w:rPr>
          <w:rFonts w:ascii="Garamond" w:hAnsi="Garamond"/>
          <w:noProof/>
          <w:lang w:eastAsia="en-GB"/>
        </w:rPr>
        <w:drawing>
          <wp:inline distT="0" distB="0" distL="0" distR="0" wp14:anchorId="7EEEFC08" wp14:editId="3147B405">
            <wp:extent cx="8862205" cy="4965895"/>
            <wp:effectExtent l="0" t="0" r="0" b="6350"/>
            <wp:docPr id="3" name="Picture 3" descr="C:\Users\John Karuitha\OneDrive - University of Witwatersrand\Documents\My Thesis\Karuitha and Ojah Data\THESIS\Dissertation\Stata_output\Objective 2 Graph, FS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 Karuitha\OneDrive - University of Witwatersrand\Documents\My Thesis\Karuitha and Ojah Data\THESIS\Dissertation\Stata_output\Objective 2 Graph, FS P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5333" cy="4973251"/>
                    </a:xfrm>
                    <a:prstGeom prst="rect">
                      <a:avLst/>
                    </a:prstGeom>
                    <a:noFill/>
                    <a:ln>
                      <a:noFill/>
                    </a:ln>
                  </pic:spPr>
                </pic:pic>
              </a:graphicData>
            </a:graphic>
          </wp:inline>
        </w:drawing>
      </w:r>
    </w:p>
    <w:p w14:paraId="105F9CCD" w14:textId="77777777" w:rsidR="006F7728" w:rsidRDefault="006F7728" w:rsidP="006F7728">
      <w:pPr>
        <w:tabs>
          <w:tab w:val="left" w:pos="6314"/>
        </w:tabs>
        <w:rPr>
          <w:rFonts w:ascii="Garamond" w:hAnsi="Garamond"/>
        </w:rPr>
      </w:pPr>
      <w:r>
        <w:rPr>
          <w:rFonts w:ascii="Garamond" w:hAnsi="Garamond"/>
        </w:rPr>
        <w:tab/>
      </w:r>
    </w:p>
    <w:p w14:paraId="3F0F0C8F" w14:textId="77777777" w:rsidR="00CC7799" w:rsidRPr="008A6DA1" w:rsidRDefault="00514604" w:rsidP="00514604">
      <w:pPr>
        <w:pStyle w:val="Caption"/>
        <w:rPr>
          <w:color w:val="auto"/>
          <w:sz w:val="24"/>
          <w:szCs w:val="24"/>
        </w:rPr>
      </w:pPr>
      <w:r w:rsidRPr="008A6DA1">
        <w:rPr>
          <w:color w:val="auto"/>
          <w:sz w:val="24"/>
          <w:szCs w:val="24"/>
        </w:rPr>
        <w:lastRenderedPageBreak/>
        <w:t xml:space="preserve">Figure </w:t>
      </w:r>
      <w:r w:rsidRPr="008A6DA1">
        <w:rPr>
          <w:color w:val="auto"/>
          <w:sz w:val="24"/>
          <w:szCs w:val="24"/>
        </w:rPr>
        <w:fldChar w:fldCharType="begin"/>
      </w:r>
      <w:r w:rsidRPr="008A6DA1">
        <w:rPr>
          <w:color w:val="auto"/>
          <w:sz w:val="24"/>
          <w:szCs w:val="24"/>
        </w:rPr>
        <w:instrText xml:space="preserve"> SEQ Figure \* ARABIC </w:instrText>
      </w:r>
      <w:r w:rsidRPr="008A6DA1">
        <w:rPr>
          <w:color w:val="auto"/>
          <w:sz w:val="24"/>
          <w:szCs w:val="24"/>
        </w:rPr>
        <w:fldChar w:fldCharType="separate"/>
      </w:r>
      <w:r w:rsidRPr="008A6DA1">
        <w:rPr>
          <w:color w:val="auto"/>
          <w:sz w:val="24"/>
          <w:szCs w:val="24"/>
        </w:rPr>
        <w:t>6</w:t>
      </w:r>
      <w:r w:rsidRPr="008A6DA1">
        <w:rPr>
          <w:color w:val="auto"/>
          <w:sz w:val="24"/>
          <w:szCs w:val="24"/>
        </w:rPr>
        <w:fldChar w:fldCharType="end"/>
      </w:r>
      <w:r w:rsidRPr="008A6DA1">
        <w:rPr>
          <w:color w:val="auto"/>
          <w:sz w:val="24"/>
          <w:szCs w:val="24"/>
        </w:rPr>
        <w:t xml:space="preserve">: </w:t>
      </w:r>
      <w:r w:rsidR="00CC7799" w:rsidRPr="008A6DA1">
        <w:rPr>
          <w:color w:val="auto"/>
          <w:sz w:val="24"/>
          <w:szCs w:val="24"/>
        </w:rPr>
        <w:t xml:space="preserve">Adjusted </w:t>
      </w:r>
      <w:proofErr w:type="gramStart"/>
      <w:r w:rsidR="00CC7799" w:rsidRPr="008A6DA1">
        <w:rPr>
          <w:color w:val="auto"/>
          <w:sz w:val="24"/>
          <w:szCs w:val="24"/>
        </w:rPr>
        <w:t>Predictions  at</w:t>
      </w:r>
      <w:proofErr w:type="gramEnd"/>
      <w:r w:rsidR="00CC7799" w:rsidRPr="008A6DA1">
        <w:rPr>
          <w:color w:val="auto"/>
          <w:sz w:val="24"/>
          <w:szCs w:val="24"/>
        </w:rPr>
        <w:t xml:space="preserve"> 95% Confidence Intervals for category </w:t>
      </w:r>
      <w:r w:rsidR="00AA4A29">
        <w:rPr>
          <w:color w:val="auto"/>
          <w:sz w:val="24"/>
          <w:szCs w:val="24"/>
        </w:rPr>
        <w:t>sf</w:t>
      </w:r>
      <w:r w:rsidR="00CC7799" w:rsidRPr="008A6DA1">
        <w:rPr>
          <w:color w:val="auto"/>
          <w:sz w:val="24"/>
          <w:szCs w:val="24"/>
        </w:rPr>
        <w:t xml:space="preserve"> (</w:t>
      </w:r>
      <w:r w:rsidR="00AA4A29">
        <w:rPr>
          <w:color w:val="auto"/>
          <w:sz w:val="24"/>
          <w:szCs w:val="24"/>
        </w:rPr>
        <w:t xml:space="preserve">SF- </w:t>
      </w:r>
      <w:r w:rsidR="00CC7799" w:rsidRPr="008A6DA1">
        <w:rPr>
          <w:color w:val="auto"/>
          <w:sz w:val="24"/>
          <w:szCs w:val="24"/>
        </w:rPr>
        <w:t>MFIs that succeed financially and fail socially)</w:t>
      </w:r>
    </w:p>
    <w:p w14:paraId="3F61AA9B" w14:textId="77777777" w:rsidR="00514604" w:rsidRDefault="00CC7799" w:rsidP="008A6DA1">
      <w:pPr>
        <w:tabs>
          <w:tab w:val="left" w:pos="6314"/>
        </w:tabs>
        <w:rPr>
          <w:rFonts w:ascii="Garamond" w:hAnsi="Garamond"/>
        </w:rPr>
      </w:pPr>
      <w:r w:rsidRPr="00CC7799">
        <w:rPr>
          <w:rFonts w:ascii="Garamond" w:hAnsi="Garamond"/>
          <w:noProof/>
          <w:lang w:eastAsia="en-GB"/>
        </w:rPr>
        <w:drawing>
          <wp:inline distT="0" distB="0" distL="0" distR="0" wp14:anchorId="26D1FA10" wp14:editId="6072EDE9">
            <wp:extent cx="8863234" cy="5198012"/>
            <wp:effectExtent l="0" t="0" r="0" b="3175"/>
            <wp:docPr id="4" name="Picture 4" descr="C:\Users\John Karuitha\OneDrive - University of Witwatersrand\Documents\My Thesis\Karuitha and Ojah Data\THESIS\Dissertation\Stata_output\Objective 2 Graph, SF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 Karuitha\OneDrive - University of Witwatersrand\Documents\My Thesis\Karuitha and Ojah Data\THESIS\Dissertation\Stata_output\Objective 2 Graph, SF P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5282" cy="5205078"/>
                    </a:xfrm>
                    <a:prstGeom prst="rect">
                      <a:avLst/>
                    </a:prstGeom>
                    <a:noFill/>
                    <a:ln>
                      <a:noFill/>
                    </a:ln>
                  </pic:spPr>
                </pic:pic>
              </a:graphicData>
            </a:graphic>
          </wp:inline>
        </w:drawing>
      </w:r>
    </w:p>
    <w:p w14:paraId="20DAE24A" w14:textId="77777777" w:rsidR="007F14AA" w:rsidRPr="008A6DA1" w:rsidRDefault="00514604" w:rsidP="00514604">
      <w:pPr>
        <w:pStyle w:val="Caption"/>
        <w:rPr>
          <w:color w:val="auto"/>
          <w:sz w:val="24"/>
          <w:szCs w:val="24"/>
        </w:rPr>
      </w:pPr>
      <w:r w:rsidRPr="008A6DA1">
        <w:rPr>
          <w:color w:val="auto"/>
          <w:sz w:val="24"/>
          <w:szCs w:val="24"/>
        </w:rPr>
        <w:lastRenderedPageBreak/>
        <w:t xml:space="preserve">Figure </w:t>
      </w:r>
      <w:r w:rsidRPr="008A6DA1">
        <w:rPr>
          <w:color w:val="auto"/>
          <w:sz w:val="24"/>
          <w:szCs w:val="24"/>
        </w:rPr>
        <w:fldChar w:fldCharType="begin"/>
      </w:r>
      <w:r w:rsidRPr="008A6DA1">
        <w:rPr>
          <w:color w:val="auto"/>
          <w:sz w:val="24"/>
          <w:szCs w:val="24"/>
        </w:rPr>
        <w:instrText xml:space="preserve"> SEQ Figure \* ARABIC </w:instrText>
      </w:r>
      <w:r w:rsidRPr="008A6DA1">
        <w:rPr>
          <w:color w:val="auto"/>
          <w:sz w:val="24"/>
          <w:szCs w:val="24"/>
        </w:rPr>
        <w:fldChar w:fldCharType="separate"/>
      </w:r>
      <w:r w:rsidRPr="008A6DA1">
        <w:rPr>
          <w:color w:val="auto"/>
          <w:sz w:val="24"/>
          <w:szCs w:val="24"/>
        </w:rPr>
        <w:t>7</w:t>
      </w:r>
      <w:r w:rsidRPr="008A6DA1">
        <w:rPr>
          <w:color w:val="auto"/>
          <w:sz w:val="24"/>
          <w:szCs w:val="24"/>
        </w:rPr>
        <w:fldChar w:fldCharType="end"/>
      </w:r>
      <w:r w:rsidRPr="008A6DA1">
        <w:rPr>
          <w:color w:val="auto"/>
          <w:sz w:val="24"/>
          <w:szCs w:val="24"/>
        </w:rPr>
        <w:t xml:space="preserve">: </w:t>
      </w:r>
      <w:r w:rsidR="007F14AA" w:rsidRPr="008A6DA1">
        <w:rPr>
          <w:color w:val="auto"/>
          <w:sz w:val="24"/>
          <w:szCs w:val="24"/>
        </w:rPr>
        <w:t xml:space="preserve">Adjusted </w:t>
      </w:r>
      <w:proofErr w:type="gramStart"/>
      <w:r w:rsidR="007F14AA" w:rsidRPr="008A6DA1">
        <w:rPr>
          <w:color w:val="auto"/>
          <w:sz w:val="24"/>
          <w:szCs w:val="24"/>
        </w:rPr>
        <w:t>Predictions  at</w:t>
      </w:r>
      <w:proofErr w:type="gramEnd"/>
      <w:r w:rsidR="007F14AA" w:rsidRPr="008A6DA1">
        <w:rPr>
          <w:color w:val="auto"/>
          <w:sz w:val="24"/>
          <w:szCs w:val="24"/>
        </w:rPr>
        <w:t xml:space="preserve"> 95% Confidence Intervals for category </w:t>
      </w:r>
      <w:r w:rsidR="00AA4A29">
        <w:rPr>
          <w:color w:val="auto"/>
          <w:sz w:val="24"/>
          <w:szCs w:val="24"/>
        </w:rPr>
        <w:t>ss</w:t>
      </w:r>
      <w:r w:rsidR="007F14AA" w:rsidRPr="008A6DA1">
        <w:rPr>
          <w:color w:val="auto"/>
          <w:sz w:val="24"/>
          <w:szCs w:val="24"/>
        </w:rPr>
        <w:t xml:space="preserve"> (</w:t>
      </w:r>
      <w:r w:rsidR="00AA4A29">
        <w:rPr>
          <w:color w:val="auto"/>
          <w:sz w:val="24"/>
          <w:szCs w:val="24"/>
        </w:rPr>
        <w:t xml:space="preserve">SS- </w:t>
      </w:r>
      <w:r w:rsidR="007F14AA" w:rsidRPr="008A6DA1">
        <w:rPr>
          <w:color w:val="auto"/>
          <w:sz w:val="24"/>
          <w:szCs w:val="24"/>
        </w:rPr>
        <w:t>MFIs that succeed both financially and socially)</w:t>
      </w:r>
    </w:p>
    <w:p w14:paraId="0827EC88" w14:textId="77777777" w:rsidR="007F14AA" w:rsidRDefault="007F14AA" w:rsidP="007F14AA">
      <w:pPr>
        <w:spacing w:line="360" w:lineRule="auto"/>
        <w:rPr>
          <w:rFonts w:ascii="Garamond" w:hAnsi="Garamond"/>
        </w:rPr>
      </w:pPr>
      <w:r w:rsidRPr="007F14AA">
        <w:rPr>
          <w:rFonts w:ascii="Garamond" w:hAnsi="Garamond"/>
          <w:noProof/>
          <w:lang w:eastAsia="en-GB"/>
        </w:rPr>
        <w:drawing>
          <wp:inline distT="0" distB="0" distL="0" distR="0" wp14:anchorId="341DE308" wp14:editId="799B6625">
            <wp:extent cx="8862873" cy="4951828"/>
            <wp:effectExtent l="0" t="0" r="0" b="1270"/>
            <wp:docPr id="5" name="Picture 5" descr="C:\Users\John Karuitha\OneDrive - University of Witwatersrand\Documents\My Thesis\Karuitha and Ojah Data\THESIS\Dissertation\Stata_output\Objective 2 Graph, SS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 Karuitha\OneDrive - University of Witwatersrand\Documents\My Thesis\Karuitha and Ojah Data\THESIS\Dissertation\Stata_output\Objective 2 Graph, SS P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76002" cy="4959164"/>
                    </a:xfrm>
                    <a:prstGeom prst="rect">
                      <a:avLst/>
                    </a:prstGeom>
                    <a:noFill/>
                    <a:ln>
                      <a:noFill/>
                    </a:ln>
                  </pic:spPr>
                </pic:pic>
              </a:graphicData>
            </a:graphic>
          </wp:inline>
        </w:drawing>
      </w:r>
    </w:p>
    <w:p w14:paraId="7EA9C0FE" w14:textId="77777777" w:rsidR="006F7728" w:rsidRPr="006F7728" w:rsidRDefault="006F7728" w:rsidP="006F7728">
      <w:pPr>
        <w:tabs>
          <w:tab w:val="left" w:pos="6314"/>
        </w:tabs>
        <w:rPr>
          <w:rFonts w:ascii="Garamond" w:hAnsi="Garamond"/>
        </w:rPr>
        <w:sectPr w:rsidR="006F7728" w:rsidRPr="006F7728" w:rsidSect="006F7728">
          <w:pgSz w:w="16839" w:h="11907" w:orient="landscape" w:code="9"/>
          <w:pgMar w:top="1440" w:right="1440" w:bottom="1440" w:left="1440" w:header="720" w:footer="720" w:gutter="0"/>
          <w:cols w:space="720"/>
          <w:docGrid w:linePitch="360"/>
        </w:sectPr>
      </w:pPr>
      <w:r>
        <w:rPr>
          <w:rFonts w:ascii="Garamond" w:hAnsi="Garamond"/>
        </w:rPr>
        <w:tab/>
      </w:r>
    </w:p>
    <w:p w14:paraId="515DDB31" w14:textId="77777777" w:rsidR="004B71CF" w:rsidRPr="00F22946" w:rsidRDefault="006010A7" w:rsidP="006A76FD">
      <w:pPr>
        <w:pStyle w:val="Heading1"/>
        <w:rPr>
          <w:sz w:val="24"/>
          <w:szCs w:val="24"/>
        </w:rPr>
      </w:pPr>
      <w:r w:rsidRPr="00F22946">
        <w:rPr>
          <w:sz w:val="24"/>
          <w:szCs w:val="24"/>
        </w:rPr>
        <w:lastRenderedPageBreak/>
        <w:t>References</w:t>
      </w:r>
    </w:p>
    <w:p w14:paraId="2AA2DDB8" w14:textId="77777777" w:rsidR="00DC5153" w:rsidRPr="00DC5153" w:rsidRDefault="004B71CF" w:rsidP="00DC5153">
      <w:pPr>
        <w:pStyle w:val="EndNoteBibliography"/>
        <w:spacing w:after="0"/>
        <w:ind w:left="720" w:hanging="720"/>
        <w:jc w:val="both"/>
      </w:pPr>
      <w:r w:rsidRPr="00F22946">
        <w:rPr>
          <w:rFonts w:ascii="Garamond" w:hAnsi="Garamond"/>
          <w:sz w:val="24"/>
          <w:szCs w:val="24"/>
        </w:rPr>
        <w:fldChar w:fldCharType="begin"/>
      </w:r>
      <w:r w:rsidRPr="00F22946">
        <w:rPr>
          <w:rFonts w:ascii="Garamond" w:hAnsi="Garamond"/>
          <w:sz w:val="24"/>
          <w:szCs w:val="24"/>
        </w:rPr>
        <w:instrText xml:space="preserve"> ADDIN EN.REFLIST </w:instrText>
      </w:r>
      <w:r w:rsidRPr="00F22946">
        <w:rPr>
          <w:rFonts w:ascii="Garamond" w:hAnsi="Garamond"/>
          <w:sz w:val="24"/>
          <w:szCs w:val="24"/>
        </w:rPr>
        <w:fldChar w:fldCharType="separate"/>
      </w:r>
      <w:r w:rsidR="00DC5153" w:rsidRPr="00DC5153">
        <w:t xml:space="preserve">ABEYSEKERA, S., OGUZOGLU, U. &amp; LE, T. 2014. Sustainability and mission drift: Do microfinance institutions in Vietnam reach the poor? </w:t>
      </w:r>
      <w:r w:rsidR="00DC5153" w:rsidRPr="00DC5153">
        <w:rPr>
          <w:i/>
        </w:rPr>
        <w:t>In:</w:t>
      </w:r>
      <w:r w:rsidR="00DC5153" w:rsidRPr="00DC5153">
        <w:t xml:space="preserve"> MERSLAND, R. &amp; STRØM, R. Ø. (eds.) </w:t>
      </w:r>
      <w:r w:rsidR="00DC5153" w:rsidRPr="00DC5153">
        <w:rPr>
          <w:i/>
        </w:rPr>
        <w:t>Microfinance institutions: Financial and social performance.</w:t>
      </w:r>
      <w:r w:rsidR="00DC5153" w:rsidRPr="00DC5153">
        <w:t xml:space="preserve"> London: Palgrave Macmillan UK.</w:t>
      </w:r>
    </w:p>
    <w:p w14:paraId="11F2773E" w14:textId="77777777" w:rsidR="00DC5153" w:rsidRPr="00DC5153" w:rsidRDefault="00DC5153" w:rsidP="00DC5153">
      <w:pPr>
        <w:pStyle w:val="EndNoteBibliography"/>
        <w:spacing w:after="0"/>
        <w:ind w:left="720" w:hanging="720"/>
        <w:jc w:val="both"/>
      </w:pPr>
      <w:r w:rsidRPr="00DC5153">
        <w:t xml:space="preserve">ADAMS, D. W. &amp; VOGEL, R. C. 2016. Microfinance dreams. </w:t>
      </w:r>
      <w:r w:rsidRPr="00DC5153">
        <w:rPr>
          <w:i/>
        </w:rPr>
        <w:t>Enterprise Development and Microfinance,</w:t>
      </w:r>
      <w:r w:rsidRPr="00DC5153">
        <w:t xml:space="preserve"> 27</w:t>
      </w:r>
      <w:r w:rsidRPr="00DC5153">
        <w:rPr>
          <w:b/>
        </w:rPr>
        <w:t>,</w:t>
      </w:r>
      <w:r w:rsidRPr="00DC5153">
        <w:t xml:space="preserve"> 142-154.</w:t>
      </w:r>
    </w:p>
    <w:p w14:paraId="7B1A8933" w14:textId="77777777" w:rsidR="00DC5153" w:rsidRPr="00DC5153" w:rsidRDefault="00DC5153" w:rsidP="00DC5153">
      <w:pPr>
        <w:pStyle w:val="EndNoteBibliography"/>
        <w:spacing w:after="0"/>
        <w:ind w:left="720" w:hanging="720"/>
        <w:jc w:val="both"/>
      </w:pPr>
      <w:r w:rsidRPr="00DC5153">
        <w:t xml:space="preserve">ALLEN, F., CARLETTI, E., CULL, R., QIAN, J. Q., SENBET, L. &amp; VALENZUELA, P. 2013. </w:t>
      </w:r>
      <w:r w:rsidRPr="00DC5153">
        <w:rPr>
          <w:i/>
        </w:rPr>
        <w:t xml:space="preserve">Resolving the African financial development gap: Cross-country comparisons and a within-country study of Kenya, </w:t>
      </w:r>
      <w:r w:rsidRPr="00DC5153">
        <w:t>New York, The World Bank.</w:t>
      </w:r>
    </w:p>
    <w:p w14:paraId="0FFE8B2C" w14:textId="77777777" w:rsidR="00DC5153" w:rsidRPr="00DC5153" w:rsidRDefault="00DC5153" w:rsidP="00DC5153">
      <w:pPr>
        <w:pStyle w:val="EndNoteBibliography"/>
        <w:spacing w:after="0"/>
        <w:ind w:left="720" w:hanging="720"/>
        <w:jc w:val="both"/>
      </w:pPr>
      <w:r w:rsidRPr="00DC5153">
        <w:t xml:space="preserve">ALLEN, F., CARLETTI, E., CULL, R., QIAN, J. Q., SENBET, L. &amp; VALENZUELA, P. 2014. The African financial development and financial inclusion gaps. </w:t>
      </w:r>
      <w:r w:rsidRPr="00DC5153">
        <w:rPr>
          <w:i/>
        </w:rPr>
        <w:t>Journal of African economies,</w:t>
      </w:r>
      <w:r w:rsidRPr="00DC5153">
        <w:t xml:space="preserve"> 23</w:t>
      </w:r>
      <w:r w:rsidRPr="00DC5153">
        <w:rPr>
          <w:b/>
        </w:rPr>
        <w:t>,</w:t>
      </w:r>
      <w:r w:rsidRPr="00DC5153">
        <w:t xml:space="preserve"> 614-642.</w:t>
      </w:r>
    </w:p>
    <w:p w14:paraId="7F0D5EEA" w14:textId="77777777" w:rsidR="00DC5153" w:rsidRPr="00DC5153" w:rsidRDefault="00DC5153" w:rsidP="00DC5153">
      <w:pPr>
        <w:pStyle w:val="EndNoteBibliography"/>
        <w:spacing w:after="0"/>
        <w:ind w:left="720" w:hanging="720"/>
        <w:jc w:val="both"/>
      </w:pPr>
      <w:r w:rsidRPr="00DC5153">
        <w:t xml:space="preserve">AWAWORYI CHURCHILL, S. 2018. Sustainability and depth of outreach: Evidence from microfinance institutions in sub‐Saharan Africa. </w:t>
      </w:r>
      <w:r w:rsidRPr="00DC5153">
        <w:rPr>
          <w:i/>
        </w:rPr>
        <w:t>Development Policy Review,</w:t>
      </w:r>
      <w:r w:rsidRPr="00DC5153">
        <w:t xml:space="preserve"> 36</w:t>
      </w:r>
      <w:r w:rsidRPr="00DC5153">
        <w:rPr>
          <w:b/>
        </w:rPr>
        <w:t>,</w:t>
      </w:r>
      <w:r w:rsidRPr="00DC5153">
        <w:t xml:space="preserve"> O676-O695.</w:t>
      </w:r>
    </w:p>
    <w:p w14:paraId="2886813D" w14:textId="77777777" w:rsidR="00DC5153" w:rsidRPr="00DC5153" w:rsidRDefault="00DC5153" w:rsidP="00DC5153">
      <w:pPr>
        <w:pStyle w:val="EndNoteBibliography"/>
        <w:spacing w:after="0"/>
        <w:ind w:left="720" w:hanging="720"/>
        <w:jc w:val="both"/>
      </w:pPr>
      <w:r w:rsidRPr="00DC5153">
        <w:t xml:space="preserve">BEISLAND, L. A., D’ESPALLIER, B. &amp; MERSLAND, R. 2017. The Commercialization of the Microfinance Industry: Is There a ‘Personal Mission Drift’ Among Credit Officers? </w:t>
      </w:r>
      <w:r w:rsidRPr="00DC5153">
        <w:rPr>
          <w:i/>
        </w:rPr>
        <w:t>Journal of Business Ethics,</w:t>
      </w:r>
      <w:r w:rsidRPr="00DC5153">
        <w:t xml:space="preserve"> 146</w:t>
      </w:r>
      <w:r w:rsidRPr="00DC5153">
        <w:rPr>
          <w:b/>
        </w:rPr>
        <w:t>,</w:t>
      </w:r>
      <w:r w:rsidRPr="00DC5153">
        <w:t xml:space="preserve"> 22-40.</w:t>
      </w:r>
    </w:p>
    <w:p w14:paraId="0B83F44E" w14:textId="77777777" w:rsidR="00DC5153" w:rsidRPr="00DC5153" w:rsidRDefault="00DC5153" w:rsidP="00DC5153">
      <w:pPr>
        <w:pStyle w:val="EndNoteBibliography"/>
        <w:spacing w:after="0"/>
        <w:ind w:left="720" w:hanging="720"/>
        <w:jc w:val="both"/>
      </w:pPr>
      <w:r w:rsidRPr="00DC5153">
        <w:t xml:space="preserve">BOS, J. W. &amp; MILLONE, M. 2015. Practice what you preach: Microfinance business models and operational efficiency. </w:t>
      </w:r>
      <w:r w:rsidRPr="00DC5153">
        <w:rPr>
          <w:i/>
        </w:rPr>
        <w:t>World Development,</w:t>
      </w:r>
      <w:r w:rsidRPr="00DC5153">
        <w:t xml:space="preserve"> 70</w:t>
      </w:r>
      <w:r w:rsidRPr="00DC5153">
        <w:rPr>
          <w:b/>
        </w:rPr>
        <w:t>,</w:t>
      </w:r>
      <w:r w:rsidRPr="00DC5153">
        <w:t xml:space="preserve"> 28-42.</w:t>
      </w:r>
    </w:p>
    <w:p w14:paraId="7656C054" w14:textId="77777777" w:rsidR="00DC5153" w:rsidRPr="00DC5153" w:rsidRDefault="00DC5153" w:rsidP="00DC5153">
      <w:pPr>
        <w:pStyle w:val="EndNoteBibliography"/>
        <w:spacing w:after="0"/>
        <w:ind w:left="720" w:hanging="720"/>
        <w:jc w:val="both"/>
      </w:pPr>
      <w:r w:rsidRPr="00DC5153">
        <w:t xml:space="preserve">CHATTOPADHYAY, M. &amp; MITRA, S. 2017. Applicability and effectiveness of classifications models for achieving the twin objectives of growth and outreach of microfinance institutions. </w:t>
      </w:r>
      <w:r w:rsidRPr="00DC5153">
        <w:rPr>
          <w:i/>
        </w:rPr>
        <w:t>Computational Math and Organization Theory,</w:t>
      </w:r>
      <w:r w:rsidRPr="00DC5153">
        <w:t xml:space="preserve"> 23</w:t>
      </w:r>
      <w:r w:rsidRPr="00DC5153">
        <w:rPr>
          <w:b/>
        </w:rPr>
        <w:t>,</w:t>
      </w:r>
      <w:r w:rsidRPr="00DC5153">
        <w:t xml:space="preserve"> 451–474.</w:t>
      </w:r>
    </w:p>
    <w:p w14:paraId="72A38479" w14:textId="77777777" w:rsidR="00DC5153" w:rsidRPr="00DC5153" w:rsidRDefault="00DC5153" w:rsidP="00DC5153">
      <w:pPr>
        <w:pStyle w:val="EndNoteBibliography"/>
        <w:spacing w:after="0"/>
        <w:ind w:left="720" w:hanging="720"/>
        <w:jc w:val="both"/>
      </w:pPr>
      <w:r w:rsidRPr="00DC5153">
        <w:t xml:space="preserve">CHENG, S. &amp; LONG, J. S. 2007. Testing for IIA in the multinomial logit model. </w:t>
      </w:r>
      <w:r w:rsidRPr="00DC5153">
        <w:rPr>
          <w:i/>
        </w:rPr>
        <w:t>Sociological methods &amp; research,</w:t>
      </w:r>
      <w:r w:rsidRPr="00DC5153">
        <w:t xml:space="preserve"> 35</w:t>
      </w:r>
      <w:r w:rsidRPr="00DC5153">
        <w:rPr>
          <w:b/>
        </w:rPr>
        <w:t>,</w:t>
      </w:r>
      <w:r w:rsidRPr="00DC5153">
        <w:t xml:space="preserve"> 583-600.</w:t>
      </w:r>
    </w:p>
    <w:p w14:paraId="6B255234" w14:textId="77777777" w:rsidR="00DC5153" w:rsidRPr="00DC5153" w:rsidRDefault="00DC5153" w:rsidP="00DC5153">
      <w:pPr>
        <w:pStyle w:val="EndNoteBibliography"/>
        <w:spacing w:after="0"/>
        <w:ind w:left="720" w:hanging="720"/>
        <w:jc w:val="both"/>
      </w:pPr>
      <w:r w:rsidRPr="00DC5153">
        <w:t xml:space="preserve">D’ESPALLIER, B., GOEDECKE, J., HUDON, M. &amp; MERSLAND, R. 2017. From NGOs to banks: Does institutional transformation alter the business model of microfinance institutions? </w:t>
      </w:r>
      <w:r w:rsidRPr="00DC5153">
        <w:rPr>
          <w:i/>
        </w:rPr>
        <w:t>World Development,</w:t>
      </w:r>
      <w:r w:rsidRPr="00DC5153">
        <w:t xml:space="preserve"> 89</w:t>
      </w:r>
      <w:r w:rsidRPr="00DC5153">
        <w:rPr>
          <w:b/>
        </w:rPr>
        <w:t>,</w:t>
      </w:r>
      <w:r w:rsidRPr="00DC5153">
        <w:t xml:space="preserve"> 19-33.</w:t>
      </w:r>
    </w:p>
    <w:p w14:paraId="232ED2F3" w14:textId="77777777" w:rsidR="00DC5153" w:rsidRPr="00DC5153" w:rsidRDefault="00DC5153" w:rsidP="00DC5153">
      <w:pPr>
        <w:pStyle w:val="EndNoteBibliography"/>
        <w:spacing w:after="0"/>
        <w:ind w:left="720" w:hanging="720"/>
        <w:jc w:val="both"/>
      </w:pPr>
      <w:r w:rsidRPr="00DC5153">
        <w:t xml:space="preserve">FORKUSAM, A. N. 2014. Does financial globalization affect microfinance mission drift? </w:t>
      </w:r>
      <w:r w:rsidRPr="00DC5153">
        <w:rPr>
          <w:i/>
        </w:rPr>
        <w:t>In:</w:t>
      </w:r>
      <w:r w:rsidRPr="00DC5153">
        <w:t xml:space="preserve"> MERSLAND, R. &amp; STRØM, R. Ø. (eds.) </w:t>
      </w:r>
      <w:r w:rsidRPr="00DC5153">
        <w:rPr>
          <w:i/>
        </w:rPr>
        <w:t>Microfinance institutions: Financial and social performance.</w:t>
      </w:r>
      <w:r w:rsidRPr="00DC5153">
        <w:t xml:space="preserve"> London: Palgrave Macmillan UK.</w:t>
      </w:r>
    </w:p>
    <w:p w14:paraId="27B14B0B" w14:textId="77777777" w:rsidR="00DC5153" w:rsidRPr="00DC5153" w:rsidRDefault="00DC5153" w:rsidP="00DC5153">
      <w:pPr>
        <w:pStyle w:val="EndNoteBibliography"/>
        <w:spacing w:after="0"/>
        <w:ind w:left="720" w:hanging="720"/>
        <w:jc w:val="both"/>
      </w:pPr>
      <w:r w:rsidRPr="00DC5153">
        <w:t xml:space="preserve">HARTARSKA, V. &amp; MERSLAND, R. 2012. Which governance mechanisms promote efficiency in reaching poor clients? Evidence from rated microfinance institutions. </w:t>
      </w:r>
      <w:r w:rsidRPr="00DC5153">
        <w:rPr>
          <w:i/>
        </w:rPr>
        <w:t>European Financial Management,</w:t>
      </w:r>
      <w:r w:rsidRPr="00DC5153">
        <w:t xml:space="preserve"> 18</w:t>
      </w:r>
      <w:r w:rsidRPr="00DC5153">
        <w:rPr>
          <w:b/>
        </w:rPr>
        <w:t>,</w:t>
      </w:r>
      <w:r w:rsidRPr="00DC5153">
        <w:t xml:space="preserve"> 218-239.</w:t>
      </w:r>
    </w:p>
    <w:p w14:paraId="6C182922" w14:textId="77777777" w:rsidR="00DC5153" w:rsidRPr="00DC5153" w:rsidRDefault="00DC5153" w:rsidP="00DC5153">
      <w:pPr>
        <w:pStyle w:val="EndNoteBibliography"/>
        <w:spacing w:after="0"/>
        <w:ind w:left="720" w:hanging="720"/>
        <w:jc w:val="both"/>
      </w:pPr>
      <w:r w:rsidRPr="00DC5153">
        <w:t xml:space="preserve">ITO, H. &amp; KAWAI, M. 2018. Quantity and Quality Measures of Financial Development: Implications for Macroeconomic Performance. </w:t>
      </w:r>
      <w:r w:rsidRPr="00DC5153">
        <w:rPr>
          <w:i/>
        </w:rPr>
        <w:t>Public Policy Review,</w:t>
      </w:r>
      <w:r w:rsidRPr="00DC5153">
        <w:t xml:space="preserve"> 14</w:t>
      </w:r>
      <w:r w:rsidRPr="00DC5153">
        <w:rPr>
          <w:b/>
        </w:rPr>
        <w:t>,</w:t>
      </w:r>
      <w:r w:rsidRPr="00DC5153">
        <w:t xml:space="preserve"> 803-834.</w:t>
      </w:r>
    </w:p>
    <w:p w14:paraId="1A5D9BA1" w14:textId="77777777" w:rsidR="00DC5153" w:rsidRPr="00DC5153" w:rsidRDefault="00DC5153" w:rsidP="00DC5153">
      <w:pPr>
        <w:pStyle w:val="EndNoteBibliography"/>
        <w:spacing w:after="0"/>
        <w:ind w:left="720" w:hanging="720"/>
        <w:jc w:val="both"/>
      </w:pPr>
      <w:r w:rsidRPr="00DC5153">
        <w:t xml:space="preserve">KODONGO, O. &amp; KENDI, L. G. 2013. Individual lending versus group lending: An evaluation with Kenya's microfinance data. </w:t>
      </w:r>
      <w:r w:rsidRPr="00DC5153">
        <w:rPr>
          <w:i/>
        </w:rPr>
        <w:t>Review of Development Finance,</w:t>
      </w:r>
      <w:r w:rsidRPr="00DC5153">
        <w:t xml:space="preserve"> 3</w:t>
      </w:r>
      <w:r w:rsidRPr="00DC5153">
        <w:rPr>
          <w:b/>
        </w:rPr>
        <w:t>,</w:t>
      </w:r>
      <w:r w:rsidRPr="00DC5153">
        <w:t xml:space="preserve"> 99-108.</w:t>
      </w:r>
    </w:p>
    <w:p w14:paraId="6519B526" w14:textId="77777777" w:rsidR="00DC5153" w:rsidRPr="00DC5153" w:rsidRDefault="00DC5153" w:rsidP="00DC5153">
      <w:pPr>
        <w:pStyle w:val="EndNoteBibliography"/>
        <w:spacing w:after="0"/>
        <w:ind w:left="720" w:hanging="720"/>
        <w:jc w:val="both"/>
      </w:pPr>
      <w:r w:rsidRPr="00DC5153">
        <w:t xml:space="preserve">LEDGERWOOD, J. &amp; WHITE, V. 2006. </w:t>
      </w:r>
      <w:r w:rsidRPr="00DC5153">
        <w:rPr>
          <w:i/>
        </w:rPr>
        <w:t xml:space="preserve">Transforming microfinance institutions: providing full financial services to the poor, </w:t>
      </w:r>
      <w:r w:rsidRPr="00DC5153">
        <w:t>New York, World Bank Publications.</w:t>
      </w:r>
    </w:p>
    <w:p w14:paraId="7F150341" w14:textId="77777777" w:rsidR="00DC5153" w:rsidRPr="00DC5153" w:rsidRDefault="00DC5153" w:rsidP="00DC5153">
      <w:pPr>
        <w:pStyle w:val="EndNoteBibliography"/>
        <w:spacing w:after="0"/>
        <w:ind w:left="720" w:hanging="720"/>
        <w:jc w:val="both"/>
      </w:pPr>
      <w:r w:rsidRPr="00DC5153">
        <w:t xml:space="preserve">LOUIS, P. &amp; BAESENS, B. 2013. Do for-profit microfinance institutions achieve better financial efficiency and social impact? A generalised estimating equations panel data approach. </w:t>
      </w:r>
      <w:r w:rsidRPr="00DC5153">
        <w:rPr>
          <w:i/>
        </w:rPr>
        <w:t>Journal of Development Effectiveness,</w:t>
      </w:r>
      <w:r w:rsidRPr="00DC5153">
        <w:t xml:space="preserve"> 5</w:t>
      </w:r>
      <w:r w:rsidRPr="00DC5153">
        <w:rPr>
          <w:b/>
        </w:rPr>
        <w:t>,</w:t>
      </w:r>
      <w:r w:rsidRPr="00DC5153">
        <w:t xml:space="preserve"> 359-380.</w:t>
      </w:r>
    </w:p>
    <w:p w14:paraId="73F643ED" w14:textId="77777777" w:rsidR="00DC5153" w:rsidRPr="00DC5153" w:rsidRDefault="00DC5153" w:rsidP="00DC5153">
      <w:pPr>
        <w:pStyle w:val="EndNoteBibliography"/>
        <w:spacing w:after="0"/>
        <w:ind w:left="720" w:hanging="720"/>
        <w:jc w:val="both"/>
      </w:pPr>
      <w:r w:rsidRPr="00DC5153">
        <w:t xml:space="preserve">MERSLAND, R. &amp; STRØM, R. Ø. 2010. Microfinance mission drift? </w:t>
      </w:r>
      <w:r w:rsidRPr="00DC5153">
        <w:rPr>
          <w:i/>
        </w:rPr>
        <w:t>World Development,</w:t>
      </w:r>
      <w:r w:rsidRPr="00DC5153">
        <w:t xml:space="preserve"> 38</w:t>
      </w:r>
      <w:r w:rsidRPr="00DC5153">
        <w:rPr>
          <w:b/>
        </w:rPr>
        <w:t>,</w:t>
      </w:r>
      <w:r w:rsidRPr="00DC5153">
        <w:t xml:space="preserve"> 28-36.</w:t>
      </w:r>
    </w:p>
    <w:p w14:paraId="05EE8412" w14:textId="77777777" w:rsidR="00DC5153" w:rsidRPr="00DC5153" w:rsidRDefault="00DC5153" w:rsidP="00DC5153">
      <w:pPr>
        <w:pStyle w:val="EndNoteBibliography"/>
        <w:spacing w:after="0"/>
        <w:ind w:left="720" w:hanging="720"/>
        <w:jc w:val="both"/>
      </w:pPr>
      <w:r w:rsidRPr="00DC5153">
        <w:t xml:space="preserve">MORDUCH, J. 1999. The microfinance promise. </w:t>
      </w:r>
      <w:r w:rsidRPr="00DC5153">
        <w:rPr>
          <w:i/>
        </w:rPr>
        <w:t>Journal of economic literature,</w:t>
      </w:r>
      <w:r w:rsidRPr="00DC5153">
        <w:t xml:space="preserve"> 37</w:t>
      </w:r>
      <w:r w:rsidRPr="00DC5153">
        <w:rPr>
          <w:b/>
        </w:rPr>
        <w:t>,</w:t>
      </w:r>
      <w:r w:rsidRPr="00DC5153">
        <w:t xml:space="preserve"> 1569-1614.</w:t>
      </w:r>
    </w:p>
    <w:p w14:paraId="75CDAE40" w14:textId="77777777" w:rsidR="00DC5153" w:rsidRPr="00DC5153" w:rsidRDefault="00DC5153" w:rsidP="00DC5153">
      <w:pPr>
        <w:pStyle w:val="EndNoteBibliography"/>
        <w:spacing w:after="0"/>
        <w:ind w:left="720" w:hanging="720"/>
        <w:jc w:val="both"/>
      </w:pPr>
      <w:r w:rsidRPr="00DC5153">
        <w:t xml:space="preserve">MORDUCH, J. 2000. The microfinance schism. </w:t>
      </w:r>
      <w:r w:rsidRPr="00DC5153">
        <w:rPr>
          <w:i/>
        </w:rPr>
        <w:t>World development,</w:t>
      </w:r>
      <w:r w:rsidRPr="00DC5153">
        <w:t xml:space="preserve"> 28</w:t>
      </w:r>
      <w:r w:rsidRPr="00DC5153">
        <w:rPr>
          <w:b/>
        </w:rPr>
        <w:t>,</w:t>
      </w:r>
      <w:r w:rsidRPr="00DC5153">
        <w:t xml:space="preserve"> 617-629.</w:t>
      </w:r>
    </w:p>
    <w:p w14:paraId="65732779" w14:textId="77777777" w:rsidR="00DC5153" w:rsidRPr="00DC5153" w:rsidRDefault="00DC5153" w:rsidP="00DC5153">
      <w:pPr>
        <w:pStyle w:val="EndNoteBibliography"/>
        <w:spacing w:after="0"/>
        <w:ind w:left="720" w:hanging="720"/>
        <w:jc w:val="both"/>
      </w:pPr>
      <w:r w:rsidRPr="00DC5153">
        <w:t xml:space="preserve">MORDUCH, J. &amp; OGDEN, T. 2018. Social Investment Through the Lens of Microfinance. </w:t>
      </w:r>
      <w:r w:rsidRPr="00DC5153">
        <w:rPr>
          <w:i/>
        </w:rPr>
        <w:t>In:</w:t>
      </w:r>
      <w:r w:rsidRPr="00DC5153">
        <w:t xml:space="preserve"> HUDON, M., LABIE, M. &amp; SZAFARZ, A. (eds.) </w:t>
      </w:r>
      <w:r w:rsidRPr="00DC5153">
        <w:rPr>
          <w:i/>
        </w:rPr>
        <w:t>Research Agenda in Financial Inclusion and Microfinance.</w:t>
      </w:r>
      <w:r w:rsidRPr="00DC5153">
        <w:t xml:space="preserve"> New York: Routledge.</w:t>
      </w:r>
    </w:p>
    <w:p w14:paraId="00AD33FD" w14:textId="77777777" w:rsidR="00DC5153" w:rsidRPr="00DC5153" w:rsidRDefault="00DC5153" w:rsidP="00DC5153">
      <w:pPr>
        <w:pStyle w:val="EndNoteBibliography"/>
        <w:spacing w:after="0"/>
        <w:ind w:left="720" w:hanging="720"/>
        <w:jc w:val="both"/>
      </w:pPr>
      <w:r w:rsidRPr="00DC5153">
        <w:t xml:space="preserve">OTO-PERALÍAS, D. &amp; ROMERO-ÁVILA, D. 2014. The distribution of legal traditions around the world: a contribution to the legal-origins theory. </w:t>
      </w:r>
      <w:r w:rsidRPr="00DC5153">
        <w:rPr>
          <w:i/>
        </w:rPr>
        <w:t>The Journal of Law and Economics,</w:t>
      </w:r>
      <w:r w:rsidRPr="00DC5153">
        <w:t xml:space="preserve"> 57</w:t>
      </w:r>
      <w:r w:rsidRPr="00DC5153">
        <w:rPr>
          <w:b/>
        </w:rPr>
        <w:t>,</w:t>
      </w:r>
      <w:r w:rsidRPr="00DC5153">
        <w:t xml:space="preserve"> 561-628.</w:t>
      </w:r>
    </w:p>
    <w:p w14:paraId="73459D93" w14:textId="77777777" w:rsidR="00DC5153" w:rsidRPr="00DC5153" w:rsidRDefault="00DC5153" w:rsidP="00DC5153">
      <w:pPr>
        <w:pStyle w:val="EndNoteBibliography"/>
        <w:spacing w:after="0"/>
        <w:ind w:left="720" w:hanging="720"/>
        <w:jc w:val="both"/>
      </w:pPr>
      <w:r w:rsidRPr="00DC5153">
        <w:t xml:space="preserve">RAMUS, T. &amp; VACCARO, A. 2017. Stakeholders matter: How social enterprises address mission drift. </w:t>
      </w:r>
      <w:r w:rsidRPr="00DC5153">
        <w:rPr>
          <w:i/>
        </w:rPr>
        <w:t>Journal of Business Ethics,</w:t>
      </w:r>
      <w:r w:rsidRPr="00DC5153">
        <w:t xml:space="preserve"> 143</w:t>
      </w:r>
      <w:r w:rsidRPr="00DC5153">
        <w:rPr>
          <w:b/>
        </w:rPr>
        <w:t>,</w:t>
      </w:r>
      <w:r w:rsidRPr="00DC5153">
        <w:t xml:space="preserve"> 307-322.</w:t>
      </w:r>
    </w:p>
    <w:p w14:paraId="0F732824" w14:textId="77777777" w:rsidR="00DC5153" w:rsidRPr="00DC5153" w:rsidRDefault="00DC5153" w:rsidP="00DC5153">
      <w:pPr>
        <w:pStyle w:val="EndNoteBibliography"/>
        <w:ind w:left="720" w:hanging="720"/>
        <w:jc w:val="both"/>
      </w:pPr>
      <w:r w:rsidRPr="00DC5153">
        <w:lastRenderedPageBreak/>
        <w:t xml:space="preserve">RHYNE, E. &amp; CHRISTEN, R. 1999. </w:t>
      </w:r>
      <w:r w:rsidRPr="00DC5153">
        <w:rPr>
          <w:i/>
        </w:rPr>
        <w:t xml:space="preserve">Microfinance enters the marketplace, </w:t>
      </w:r>
      <w:r w:rsidRPr="00DC5153">
        <w:t>New York, USAID.</w:t>
      </w:r>
    </w:p>
    <w:p w14:paraId="540DA9B3" w14:textId="32E4D2AE" w:rsidR="00E91856" w:rsidRDefault="004B71CF" w:rsidP="00B52DA0">
      <w:pPr>
        <w:rPr>
          <w:rFonts w:ascii="Garamond" w:hAnsi="Garamond"/>
          <w:sz w:val="24"/>
          <w:szCs w:val="24"/>
        </w:rPr>
      </w:pPr>
      <w:r w:rsidRPr="00F22946">
        <w:rPr>
          <w:rFonts w:ascii="Garamond" w:hAnsi="Garamond"/>
          <w:sz w:val="24"/>
          <w:szCs w:val="24"/>
        </w:rPr>
        <w:fldChar w:fldCharType="end"/>
      </w:r>
    </w:p>
    <w:p w14:paraId="2B340D4C" w14:textId="77777777" w:rsidR="006A76FD" w:rsidRDefault="006A76FD" w:rsidP="00B52DA0">
      <w:pPr>
        <w:rPr>
          <w:rFonts w:ascii="Garamond" w:hAnsi="Garamond"/>
          <w:sz w:val="24"/>
          <w:szCs w:val="24"/>
        </w:rPr>
      </w:pPr>
    </w:p>
    <w:p w14:paraId="06EEEB37" w14:textId="77777777" w:rsidR="006A76FD" w:rsidRDefault="006A76FD" w:rsidP="00B52DA0">
      <w:pPr>
        <w:rPr>
          <w:rFonts w:ascii="Garamond" w:hAnsi="Garamond"/>
          <w:sz w:val="24"/>
          <w:szCs w:val="24"/>
        </w:rPr>
      </w:pPr>
    </w:p>
    <w:p w14:paraId="16C23EDA" w14:textId="77777777" w:rsidR="006A76FD" w:rsidRDefault="006A76FD" w:rsidP="00B52DA0">
      <w:pPr>
        <w:rPr>
          <w:rFonts w:ascii="Garamond" w:hAnsi="Garamond"/>
          <w:sz w:val="24"/>
          <w:szCs w:val="24"/>
        </w:rPr>
      </w:pPr>
    </w:p>
    <w:p w14:paraId="34F1E891" w14:textId="77777777" w:rsidR="006A76FD" w:rsidRDefault="006A76FD" w:rsidP="00B52DA0">
      <w:pPr>
        <w:rPr>
          <w:rFonts w:ascii="Garamond" w:hAnsi="Garamond"/>
          <w:sz w:val="24"/>
          <w:szCs w:val="24"/>
        </w:rPr>
      </w:pPr>
    </w:p>
    <w:p w14:paraId="3F73E56E" w14:textId="77777777" w:rsidR="006A76FD" w:rsidRDefault="006A76FD" w:rsidP="00B52DA0">
      <w:pPr>
        <w:rPr>
          <w:rFonts w:ascii="Garamond" w:hAnsi="Garamond"/>
          <w:sz w:val="24"/>
          <w:szCs w:val="24"/>
        </w:rPr>
      </w:pPr>
    </w:p>
    <w:p w14:paraId="5C35963C" w14:textId="77777777" w:rsidR="006A76FD" w:rsidRDefault="006A76FD" w:rsidP="00B52DA0">
      <w:pPr>
        <w:rPr>
          <w:rFonts w:ascii="Garamond" w:hAnsi="Garamond"/>
          <w:sz w:val="24"/>
          <w:szCs w:val="24"/>
        </w:rPr>
      </w:pPr>
    </w:p>
    <w:p w14:paraId="0ED15D82" w14:textId="77777777" w:rsidR="006A76FD" w:rsidRDefault="006A76FD" w:rsidP="00B52DA0">
      <w:pPr>
        <w:rPr>
          <w:rFonts w:ascii="Garamond" w:hAnsi="Garamond"/>
          <w:sz w:val="24"/>
          <w:szCs w:val="24"/>
        </w:rPr>
      </w:pPr>
    </w:p>
    <w:p w14:paraId="10FCF250" w14:textId="77777777" w:rsidR="006A76FD" w:rsidRDefault="006A76FD" w:rsidP="00B52DA0">
      <w:pPr>
        <w:rPr>
          <w:rFonts w:ascii="Garamond" w:hAnsi="Garamond"/>
          <w:sz w:val="24"/>
          <w:szCs w:val="24"/>
        </w:rPr>
      </w:pPr>
    </w:p>
    <w:p w14:paraId="52E88F60" w14:textId="77777777" w:rsidR="006A76FD" w:rsidRDefault="006A76FD" w:rsidP="00B52DA0">
      <w:pPr>
        <w:rPr>
          <w:rFonts w:ascii="Garamond" w:hAnsi="Garamond"/>
          <w:sz w:val="24"/>
          <w:szCs w:val="24"/>
        </w:rPr>
      </w:pPr>
    </w:p>
    <w:p w14:paraId="3ED12513" w14:textId="77777777" w:rsidR="006A76FD" w:rsidRDefault="006A76FD" w:rsidP="00B52DA0">
      <w:pPr>
        <w:rPr>
          <w:rFonts w:ascii="Garamond" w:hAnsi="Garamond"/>
          <w:sz w:val="24"/>
          <w:szCs w:val="24"/>
        </w:rPr>
      </w:pPr>
    </w:p>
    <w:p w14:paraId="78882383" w14:textId="77777777" w:rsidR="006A76FD" w:rsidRDefault="006A76FD" w:rsidP="00B52DA0">
      <w:pPr>
        <w:rPr>
          <w:rFonts w:ascii="Garamond" w:hAnsi="Garamond"/>
          <w:sz w:val="24"/>
          <w:szCs w:val="24"/>
        </w:rPr>
      </w:pPr>
    </w:p>
    <w:p w14:paraId="19C76216" w14:textId="77777777" w:rsidR="006A76FD" w:rsidRDefault="006A76FD" w:rsidP="00B52DA0">
      <w:pPr>
        <w:rPr>
          <w:rFonts w:ascii="Garamond" w:hAnsi="Garamond"/>
          <w:sz w:val="24"/>
          <w:szCs w:val="24"/>
        </w:rPr>
      </w:pPr>
    </w:p>
    <w:p w14:paraId="110AA576" w14:textId="77777777" w:rsidR="006A76FD" w:rsidRDefault="006A76FD" w:rsidP="00B52DA0">
      <w:pPr>
        <w:rPr>
          <w:rFonts w:ascii="Garamond" w:hAnsi="Garamond"/>
          <w:sz w:val="24"/>
          <w:szCs w:val="24"/>
        </w:rPr>
      </w:pPr>
    </w:p>
    <w:p w14:paraId="607A4D92" w14:textId="77777777" w:rsidR="006A76FD" w:rsidRDefault="006A76FD" w:rsidP="00B52DA0">
      <w:pPr>
        <w:rPr>
          <w:rFonts w:ascii="Garamond" w:hAnsi="Garamond"/>
          <w:sz w:val="24"/>
          <w:szCs w:val="24"/>
        </w:rPr>
      </w:pPr>
    </w:p>
    <w:p w14:paraId="4EFED299" w14:textId="77777777" w:rsidR="006A76FD" w:rsidRDefault="006A76FD" w:rsidP="00B52DA0">
      <w:pPr>
        <w:rPr>
          <w:rFonts w:ascii="Garamond" w:hAnsi="Garamond"/>
          <w:sz w:val="24"/>
          <w:szCs w:val="24"/>
        </w:rPr>
      </w:pPr>
    </w:p>
    <w:p w14:paraId="20E21B64" w14:textId="77777777" w:rsidR="006A76FD" w:rsidRDefault="006A76FD" w:rsidP="00B52DA0">
      <w:pPr>
        <w:rPr>
          <w:rFonts w:ascii="Garamond" w:hAnsi="Garamond"/>
          <w:sz w:val="24"/>
          <w:szCs w:val="24"/>
        </w:rPr>
      </w:pPr>
    </w:p>
    <w:p w14:paraId="1D417CB5" w14:textId="77777777" w:rsidR="006A76FD" w:rsidRDefault="006A76FD" w:rsidP="00B52DA0">
      <w:pPr>
        <w:rPr>
          <w:rFonts w:ascii="Garamond" w:hAnsi="Garamond"/>
          <w:sz w:val="24"/>
          <w:szCs w:val="24"/>
        </w:rPr>
      </w:pPr>
    </w:p>
    <w:p w14:paraId="7459FA20" w14:textId="77777777" w:rsidR="006A76FD" w:rsidRDefault="006A76FD" w:rsidP="00B52DA0">
      <w:pPr>
        <w:rPr>
          <w:rFonts w:ascii="Garamond" w:hAnsi="Garamond"/>
          <w:sz w:val="24"/>
          <w:szCs w:val="24"/>
        </w:rPr>
      </w:pPr>
    </w:p>
    <w:p w14:paraId="3ADD9DAE" w14:textId="77777777" w:rsidR="006A76FD" w:rsidRDefault="006A76FD" w:rsidP="00B52DA0">
      <w:pPr>
        <w:rPr>
          <w:rFonts w:ascii="Garamond" w:hAnsi="Garamond"/>
          <w:sz w:val="24"/>
          <w:szCs w:val="24"/>
        </w:rPr>
      </w:pPr>
    </w:p>
    <w:p w14:paraId="62F6E005" w14:textId="77777777" w:rsidR="006A76FD" w:rsidRDefault="006A76FD" w:rsidP="00B52DA0">
      <w:pPr>
        <w:rPr>
          <w:rFonts w:ascii="Garamond" w:hAnsi="Garamond"/>
          <w:sz w:val="24"/>
          <w:szCs w:val="24"/>
        </w:rPr>
      </w:pPr>
    </w:p>
    <w:p w14:paraId="33FD086B" w14:textId="77777777" w:rsidR="006A76FD" w:rsidRDefault="006A76FD" w:rsidP="00B52DA0">
      <w:pPr>
        <w:rPr>
          <w:rFonts w:ascii="Garamond" w:hAnsi="Garamond"/>
          <w:sz w:val="24"/>
          <w:szCs w:val="24"/>
        </w:rPr>
      </w:pPr>
    </w:p>
    <w:p w14:paraId="0D38BA3B" w14:textId="77777777" w:rsidR="006A76FD" w:rsidRDefault="006A76FD" w:rsidP="00B52DA0">
      <w:pPr>
        <w:rPr>
          <w:rFonts w:ascii="Garamond" w:hAnsi="Garamond"/>
          <w:sz w:val="24"/>
          <w:szCs w:val="24"/>
        </w:rPr>
      </w:pPr>
    </w:p>
    <w:p w14:paraId="544D163D" w14:textId="77777777" w:rsidR="00517A17" w:rsidRDefault="00517A17" w:rsidP="00B52DA0">
      <w:pPr>
        <w:rPr>
          <w:rFonts w:ascii="Garamond" w:hAnsi="Garamond"/>
          <w:sz w:val="24"/>
          <w:szCs w:val="24"/>
        </w:rPr>
      </w:pPr>
    </w:p>
    <w:p w14:paraId="2C5B13D4" w14:textId="52CD7B22" w:rsidR="006A76FD" w:rsidRDefault="006A76FD" w:rsidP="00B52DA0">
      <w:pPr>
        <w:rPr>
          <w:rFonts w:ascii="Garamond" w:hAnsi="Garamond"/>
          <w:sz w:val="24"/>
          <w:szCs w:val="24"/>
        </w:rPr>
      </w:pPr>
    </w:p>
    <w:p w14:paraId="2FF99C06" w14:textId="15E34F66" w:rsidR="00E20ACD" w:rsidRDefault="00E20ACD" w:rsidP="00B52DA0">
      <w:pPr>
        <w:rPr>
          <w:rFonts w:ascii="Garamond" w:hAnsi="Garamond"/>
          <w:sz w:val="24"/>
          <w:szCs w:val="24"/>
        </w:rPr>
      </w:pPr>
    </w:p>
    <w:p w14:paraId="4C69BEE4" w14:textId="0FCD0B92" w:rsidR="00E20ACD" w:rsidRDefault="00E20ACD" w:rsidP="00B52DA0">
      <w:pPr>
        <w:rPr>
          <w:rFonts w:ascii="Garamond" w:hAnsi="Garamond"/>
          <w:sz w:val="24"/>
          <w:szCs w:val="24"/>
        </w:rPr>
      </w:pPr>
    </w:p>
    <w:p w14:paraId="4841923E" w14:textId="77777777" w:rsidR="00E20ACD" w:rsidRDefault="00E20ACD" w:rsidP="00B52DA0">
      <w:pPr>
        <w:rPr>
          <w:rFonts w:ascii="Garamond" w:hAnsi="Garamond"/>
          <w:sz w:val="24"/>
          <w:szCs w:val="24"/>
        </w:rPr>
      </w:pPr>
    </w:p>
    <w:p w14:paraId="3D14748C" w14:textId="77777777" w:rsidR="006A76FD" w:rsidRDefault="006A76FD" w:rsidP="00B52DA0">
      <w:pPr>
        <w:rPr>
          <w:rFonts w:ascii="Garamond" w:hAnsi="Garamond"/>
          <w:sz w:val="24"/>
          <w:szCs w:val="24"/>
        </w:rPr>
      </w:pPr>
    </w:p>
    <w:p w14:paraId="54C7F21B" w14:textId="77777777" w:rsidR="006A76FD" w:rsidRDefault="006A76FD" w:rsidP="006A76FD">
      <w:pPr>
        <w:pStyle w:val="Heading1"/>
        <w:rPr>
          <w:bCs/>
          <w:sz w:val="20"/>
          <w:szCs w:val="20"/>
          <w:lang w:val="en-US"/>
        </w:rPr>
      </w:pPr>
      <w:r>
        <w:lastRenderedPageBreak/>
        <w:t>Appendices</w:t>
      </w:r>
      <w:r w:rsidRPr="00267F41">
        <w:rPr>
          <w:bCs/>
          <w:sz w:val="20"/>
          <w:szCs w:val="20"/>
          <w:lang w:val="en-US"/>
        </w:rPr>
        <w:t xml:space="preserve"> </w:t>
      </w:r>
    </w:p>
    <w:p w14:paraId="159FC815" w14:textId="77777777" w:rsidR="006A76FD" w:rsidRPr="00D3100C" w:rsidRDefault="00D3100C" w:rsidP="00D3100C">
      <w:pPr>
        <w:pStyle w:val="Caption"/>
        <w:rPr>
          <w:color w:val="auto"/>
          <w:sz w:val="24"/>
          <w:szCs w:val="24"/>
        </w:rPr>
      </w:pPr>
      <w:r w:rsidRPr="00D3100C">
        <w:rPr>
          <w:color w:val="auto"/>
        </w:rPr>
        <w:t xml:space="preserve">Appendix </w:t>
      </w:r>
      <w:r w:rsidRPr="00D3100C">
        <w:rPr>
          <w:color w:val="auto"/>
        </w:rPr>
        <w:fldChar w:fldCharType="begin"/>
      </w:r>
      <w:r w:rsidRPr="00D3100C">
        <w:rPr>
          <w:color w:val="auto"/>
        </w:rPr>
        <w:instrText xml:space="preserve"> SEQ Appendix \* ARABIC </w:instrText>
      </w:r>
      <w:r w:rsidRPr="00D3100C">
        <w:rPr>
          <w:color w:val="auto"/>
        </w:rPr>
        <w:fldChar w:fldCharType="separate"/>
      </w:r>
      <w:r>
        <w:rPr>
          <w:noProof/>
          <w:color w:val="auto"/>
        </w:rPr>
        <w:t>1</w:t>
      </w:r>
      <w:r w:rsidRPr="00D3100C">
        <w:rPr>
          <w:color w:val="auto"/>
        </w:rPr>
        <w:fldChar w:fldCharType="end"/>
      </w:r>
      <w:r w:rsidRPr="00D3100C">
        <w:rPr>
          <w:color w:val="auto"/>
        </w:rPr>
        <w:t xml:space="preserve">: </w:t>
      </w:r>
      <w:r w:rsidR="006A76FD" w:rsidRPr="00D3100C">
        <w:rPr>
          <w:bCs/>
          <w:color w:val="auto"/>
          <w:sz w:val="20"/>
          <w:szCs w:val="20"/>
          <w:lang w:val="en-US"/>
        </w:rPr>
        <w:t>Tabulation financial and social performance by region</w:t>
      </w:r>
    </w:p>
    <w:p w14:paraId="2DCB920A" w14:textId="77777777" w:rsidR="006A76FD" w:rsidRDefault="006A76FD" w:rsidP="006A76FD">
      <w:pPr>
        <w:rPr>
          <w:rFonts w:ascii="Garamond" w:hAnsi="Garamond"/>
          <w:b/>
          <w:bCs/>
          <w:sz w:val="20"/>
          <w:szCs w:val="20"/>
          <w:lang w:val="en-US"/>
        </w:rPr>
      </w:pPr>
    </w:p>
    <w:p w14:paraId="75AE5D40" w14:textId="77777777" w:rsidR="006A76FD" w:rsidRPr="00D3100C" w:rsidRDefault="00D3100C" w:rsidP="00D3100C">
      <w:pPr>
        <w:pStyle w:val="Caption"/>
        <w:rPr>
          <w:color w:val="auto"/>
        </w:rPr>
      </w:pPr>
      <w:r w:rsidRPr="00D3100C">
        <w:rPr>
          <w:color w:val="auto"/>
        </w:rPr>
        <w:t xml:space="preserve">Appendix </w:t>
      </w:r>
      <w:r w:rsidRPr="00D3100C">
        <w:rPr>
          <w:color w:val="auto"/>
        </w:rPr>
        <w:fldChar w:fldCharType="begin"/>
      </w:r>
      <w:r w:rsidRPr="00D3100C">
        <w:rPr>
          <w:color w:val="auto"/>
        </w:rPr>
        <w:instrText xml:space="preserve"> SEQ Appendix \* ARABIC </w:instrText>
      </w:r>
      <w:r w:rsidRPr="00D3100C">
        <w:rPr>
          <w:color w:val="auto"/>
        </w:rPr>
        <w:fldChar w:fldCharType="separate"/>
      </w:r>
      <w:r>
        <w:rPr>
          <w:noProof/>
          <w:color w:val="auto"/>
        </w:rPr>
        <w:t>2</w:t>
      </w:r>
      <w:r w:rsidRPr="00D3100C">
        <w:rPr>
          <w:color w:val="auto"/>
        </w:rPr>
        <w:fldChar w:fldCharType="end"/>
      </w:r>
      <w:r w:rsidRPr="00D3100C">
        <w:rPr>
          <w:color w:val="auto"/>
        </w:rPr>
        <w:t xml:space="preserve">: </w:t>
      </w:r>
      <w:r w:rsidR="006A76FD" w:rsidRPr="00D3100C">
        <w:rPr>
          <w:color w:val="auto"/>
        </w:rPr>
        <w:t>Tabulation financial and social performance by the current legal status of MFIs</w:t>
      </w:r>
    </w:p>
    <w:tbl>
      <w:tblPr>
        <w:tblStyle w:val="PlainTable5"/>
        <w:tblW w:w="5044" w:type="pct"/>
        <w:shd w:val="clear" w:color="auto" w:fill="FFFFFF" w:themeFill="background1"/>
        <w:tblLook w:val="04A0" w:firstRow="1" w:lastRow="0" w:firstColumn="1" w:lastColumn="0" w:noHBand="0" w:noVBand="1"/>
      </w:tblPr>
      <w:tblGrid>
        <w:gridCol w:w="1131"/>
        <w:gridCol w:w="1061"/>
        <w:gridCol w:w="1195"/>
        <w:gridCol w:w="1135"/>
        <w:gridCol w:w="1141"/>
        <w:gridCol w:w="1146"/>
        <w:gridCol w:w="1060"/>
        <w:gridCol w:w="1226"/>
      </w:tblGrid>
      <w:tr w:rsidR="006A76FD" w:rsidRPr="000A40C3" w14:paraId="32B4F798" w14:textId="77777777" w:rsidTr="00DA5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1" w:type="pct"/>
            <w:tcBorders>
              <w:top w:val="single" w:sz="4" w:space="0" w:color="auto"/>
              <w:left w:val="single" w:sz="4" w:space="0" w:color="auto"/>
            </w:tcBorders>
          </w:tcPr>
          <w:p w14:paraId="3D3C555D" w14:textId="77777777" w:rsidR="006A76FD" w:rsidRPr="000A40C3" w:rsidRDefault="006A76FD" w:rsidP="00DA5EDB">
            <w:pPr>
              <w:rPr>
                <w:rFonts w:ascii="Garamond" w:hAnsi="Garamond"/>
                <w:sz w:val="20"/>
                <w:szCs w:val="20"/>
              </w:rPr>
            </w:pPr>
            <w:r>
              <w:rPr>
                <w:rFonts w:ascii="Garamond" w:hAnsi="Garamond"/>
                <w:sz w:val="20"/>
                <w:szCs w:val="20"/>
              </w:rPr>
              <w:t>Legal Status</w:t>
            </w:r>
          </w:p>
        </w:tc>
        <w:tc>
          <w:tcPr>
            <w:tcW w:w="583" w:type="pct"/>
            <w:tcBorders>
              <w:top w:val="single" w:sz="4" w:space="0" w:color="auto"/>
            </w:tcBorders>
          </w:tcPr>
          <w:p w14:paraId="4EA3A707" w14:textId="77777777" w:rsidR="006A76FD" w:rsidRPr="000A40C3"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Bank</w:t>
            </w:r>
          </w:p>
        </w:tc>
        <w:tc>
          <w:tcPr>
            <w:tcW w:w="657" w:type="pct"/>
            <w:tcBorders>
              <w:top w:val="single" w:sz="4" w:space="0" w:color="auto"/>
            </w:tcBorders>
          </w:tcPr>
          <w:p w14:paraId="774B9400" w14:textId="77777777" w:rsidR="006A76FD" w:rsidRPr="000A40C3"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Credit Union</w:t>
            </w:r>
          </w:p>
        </w:tc>
        <w:tc>
          <w:tcPr>
            <w:tcW w:w="624" w:type="pct"/>
            <w:tcBorders>
              <w:top w:val="single" w:sz="4" w:space="0" w:color="auto"/>
            </w:tcBorders>
          </w:tcPr>
          <w:p w14:paraId="2979C9C0" w14:textId="77777777" w:rsidR="006A76FD" w:rsidRPr="000A40C3"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NBFI</w:t>
            </w:r>
          </w:p>
        </w:tc>
        <w:tc>
          <w:tcPr>
            <w:tcW w:w="627" w:type="pct"/>
            <w:tcBorders>
              <w:top w:val="single" w:sz="4" w:space="0" w:color="auto"/>
            </w:tcBorders>
          </w:tcPr>
          <w:p w14:paraId="403D8711" w14:textId="77777777" w:rsidR="006A76FD" w:rsidRPr="000A40C3"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NGO</w:t>
            </w:r>
          </w:p>
        </w:tc>
        <w:tc>
          <w:tcPr>
            <w:tcW w:w="630" w:type="pct"/>
            <w:tcBorders>
              <w:top w:val="single" w:sz="4" w:space="0" w:color="auto"/>
            </w:tcBorders>
          </w:tcPr>
          <w:p w14:paraId="1373797C" w14:textId="77777777" w:rsidR="006A76FD" w:rsidRPr="000A40C3"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Other</w:t>
            </w:r>
          </w:p>
        </w:tc>
        <w:tc>
          <w:tcPr>
            <w:tcW w:w="583" w:type="pct"/>
            <w:tcBorders>
              <w:top w:val="single" w:sz="4" w:space="0" w:color="auto"/>
              <w:right w:val="single" w:sz="4" w:space="0" w:color="auto"/>
            </w:tcBorders>
          </w:tcPr>
          <w:p w14:paraId="50084983" w14:textId="77777777" w:rsidR="006A76FD" w:rsidRPr="000A40C3"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Rural bank</w:t>
            </w:r>
          </w:p>
        </w:tc>
        <w:tc>
          <w:tcPr>
            <w:tcW w:w="674" w:type="pct"/>
            <w:tcBorders>
              <w:top w:val="single" w:sz="4" w:space="0" w:color="auto"/>
              <w:left w:val="single" w:sz="4" w:space="0" w:color="auto"/>
              <w:right w:val="single" w:sz="4" w:space="0" w:color="auto"/>
            </w:tcBorders>
          </w:tcPr>
          <w:p w14:paraId="68F8FAA8" w14:textId="77777777" w:rsidR="006A76FD" w:rsidRPr="000A40C3"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Total</w:t>
            </w:r>
          </w:p>
        </w:tc>
      </w:tr>
      <w:tr w:rsidR="006A76FD" w:rsidRPr="000A40C3" w14:paraId="6FD7A24B"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638B3FA8" w14:textId="77777777" w:rsidR="006A76FD" w:rsidRPr="000A40C3" w:rsidRDefault="006A76FD" w:rsidP="00DA5EDB">
            <w:pPr>
              <w:rPr>
                <w:rFonts w:ascii="Garamond" w:hAnsi="Garamond"/>
                <w:sz w:val="20"/>
                <w:szCs w:val="20"/>
              </w:rPr>
            </w:pPr>
            <w:r>
              <w:rPr>
                <w:rFonts w:ascii="Garamond" w:hAnsi="Garamond"/>
                <w:sz w:val="20"/>
                <w:szCs w:val="20"/>
              </w:rPr>
              <w:t>Finsoc1</w:t>
            </w:r>
          </w:p>
        </w:tc>
        <w:tc>
          <w:tcPr>
            <w:tcW w:w="583" w:type="pct"/>
            <w:shd w:val="clear" w:color="auto" w:fill="FFFFFF" w:themeFill="background1"/>
          </w:tcPr>
          <w:p w14:paraId="70160E22"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57" w:type="pct"/>
            <w:shd w:val="clear" w:color="auto" w:fill="FFFFFF" w:themeFill="background1"/>
          </w:tcPr>
          <w:p w14:paraId="19292318"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24" w:type="pct"/>
            <w:shd w:val="clear" w:color="auto" w:fill="FFFFFF" w:themeFill="background1"/>
          </w:tcPr>
          <w:p w14:paraId="5A340331"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27" w:type="pct"/>
            <w:shd w:val="clear" w:color="auto" w:fill="FFFFFF" w:themeFill="background1"/>
          </w:tcPr>
          <w:p w14:paraId="186B66D7"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30" w:type="pct"/>
            <w:shd w:val="clear" w:color="auto" w:fill="FFFFFF" w:themeFill="background1"/>
          </w:tcPr>
          <w:p w14:paraId="6B54F921"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83" w:type="pct"/>
            <w:tcBorders>
              <w:right w:val="single" w:sz="4" w:space="0" w:color="auto"/>
            </w:tcBorders>
            <w:shd w:val="clear" w:color="auto" w:fill="FFFFFF" w:themeFill="background1"/>
          </w:tcPr>
          <w:p w14:paraId="35E65B94"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74" w:type="pct"/>
            <w:tcBorders>
              <w:left w:val="single" w:sz="4" w:space="0" w:color="auto"/>
              <w:right w:val="single" w:sz="4" w:space="0" w:color="auto"/>
            </w:tcBorders>
            <w:shd w:val="clear" w:color="auto" w:fill="FFFFFF" w:themeFill="background1"/>
          </w:tcPr>
          <w:p w14:paraId="61540884"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0A40C3" w14:paraId="53F8012E" w14:textId="77777777" w:rsidTr="00DA5EDB">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3E79F821" w14:textId="77777777" w:rsidR="006A76FD" w:rsidRPr="000A40C3" w:rsidRDefault="006A76FD" w:rsidP="00DA5EDB">
            <w:pPr>
              <w:rPr>
                <w:rFonts w:ascii="Garamond" w:hAnsi="Garamond"/>
                <w:sz w:val="20"/>
                <w:szCs w:val="20"/>
              </w:rPr>
            </w:pPr>
            <w:r w:rsidRPr="000A40C3">
              <w:rPr>
                <w:rFonts w:ascii="Garamond" w:hAnsi="Garamond"/>
                <w:sz w:val="20"/>
                <w:szCs w:val="20"/>
              </w:rPr>
              <w:t>ff</w:t>
            </w:r>
          </w:p>
        </w:tc>
        <w:tc>
          <w:tcPr>
            <w:tcW w:w="583" w:type="pct"/>
            <w:shd w:val="clear" w:color="auto" w:fill="FFFFFF" w:themeFill="background1"/>
          </w:tcPr>
          <w:p w14:paraId="6830DE95"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50</w:t>
            </w:r>
          </w:p>
        </w:tc>
        <w:tc>
          <w:tcPr>
            <w:tcW w:w="657" w:type="pct"/>
            <w:shd w:val="clear" w:color="auto" w:fill="FFFFFF" w:themeFill="background1"/>
          </w:tcPr>
          <w:p w14:paraId="35D7D6BE"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308</w:t>
            </w:r>
          </w:p>
        </w:tc>
        <w:tc>
          <w:tcPr>
            <w:tcW w:w="624" w:type="pct"/>
            <w:shd w:val="clear" w:color="auto" w:fill="FFFFFF" w:themeFill="background1"/>
          </w:tcPr>
          <w:p w14:paraId="3455FDFB"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195</w:t>
            </w:r>
          </w:p>
        </w:tc>
        <w:tc>
          <w:tcPr>
            <w:tcW w:w="627" w:type="pct"/>
            <w:shd w:val="clear" w:color="auto" w:fill="FFFFFF" w:themeFill="background1"/>
          </w:tcPr>
          <w:p w14:paraId="61FD608C"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90</w:t>
            </w:r>
          </w:p>
        </w:tc>
        <w:tc>
          <w:tcPr>
            <w:tcW w:w="630" w:type="pct"/>
            <w:shd w:val="clear" w:color="auto" w:fill="FFFFFF" w:themeFill="background1"/>
          </w:tcPr>
          <w:p w14:paraId="506DB6F2"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5</w:t>
            </w:r>
          </w:p>
        </w:tc>
        <w:tc>
          <w:tcPr>
            <w:tcW w:w="583" w:type="pct"/>
            <w:tcBorders>
              <w:right w:val="single" w:sz="4" w:space="0" w:color="auto"/>
            </w:tcBorders>
            <w:shd w:val="clear" w:color="auto" w:fill="FFFFFF" w:themeFill="background1"/>
          </w:tcPr>
          <w:p w14:paraId="1C1044D2"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w:t>
            </w:r>
          </w:p>
        </w:tc>
        <w:tc>
          <w:tcPr>
            <w:tcW w:w="674" w:type="pct"/>
            <w:tcBorders>
              <w:left w:val="single" w:sz="4" w:space="0" w:color="auto"/>
              <w:right w:val="single" w:sz="4" w:space="0" w:color="auto"/>
            </w:tcBorders>
            <w:shd w:val="clear" w:color="auto" w:fill="FFFFFF" w:themeFill="background1"/>
          </w:tcPr>
          <w:p w14:paraId="372CFD23"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 xml:space="preserve">649 </w:t>
            </w:r>
          </w:p>
        </w:tc>
      </w:tr>
      <w:tr w:rsidR="006A76FD" w:rsidRPr="000A40C3" w14:paraId="15754882"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6C5216E7" w14:textId="77777777" w:rsidR="006A76FD" w:rsidRPr="000A40C3" w:rsidRDefault="006A76FD" w:rsidP="00DA5EDB">
            <w:pPr>
              <w:rPr>
                <w:rFonts w:ascii="Garamond" w:hAnsi="Garamond"/>
                <w:sz w:val="20"/>
                <w:szCs w:val="20"/>
              </w:rPr>
            </w:pPr>
          </w:p>
        </w:tc>
        <w:tc>
          <w:tcPr>
            <w:tcW w:w="583" w:type="pct"/>
            <w:shd w:val="clear" w:color="auto" w:fill="FFFFFF" w:themeFill="background1"/>
          </w:tcPr>
          <w:p w14:paraId="244589EA"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7.70</w:t>
            </w:r>
            <w:r>
              <w:rPr>
                <w:rFonts w:ascii="Garamond" w:hAnsi="Garamond"/>
                <w:sz w:val="20"/>
                <w:szCs w:val="20"/>
              </w:rPr>
              <w:t>%</w:t>
            </w:r>
          </w:p>
        </w:tc>
        <w:tc>
          <w:tcPr>
            <w:tcW w:w="657" w:type="pct"/>
            <w:shd w:val="clear" w:color="auto" w:fill="FFFFFF" w:themeFill="background1"/>
          </w:tcPr>
          <w:p w14:paraId="1AC8A25D"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47.46</w:t>
            </w:r>
            <w:r>
              <w:rPr>
                <w:rFonts w:ascii="Garamond" w:hAnsi="Garamond"/>
                <w:sz w:val="20"/>
                <w:szCs w:val="20"/>
              </w:rPr>
              <w:t>%</w:t>
            </w:r>
          </w:p>
        </w:tc>
        <w:tc>
          <w:tcPr>
            <w:tcW w:w="624" w:type="pct"/>
            <w:shd w:val="clear" w:color="auto" w:fill="FFFFFF" w:themeFill="background1"/>
          </w:tcPr>
          <w:p w14:paraId="1E0980C9"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30.05</w:t>
            </w:r>
            <w:r>
              <w:rPr>
                <w:rFonts w:ascii="Garamond" w:hAnsi="Garamond"/>
                <w:sz w:val="20"/>
                <w:szCs w:val="20"/>
              </w:rPr>
              <w:t>%</w:t>
            </w:r>
          </w:p>
        </w:tc>
        <w:tc>
          <w:tcPr>
            <w:tcW w:w="627" w:type="pct"/>
            <w:shd w:val="clear" w:color="auto" w:fill="FFFFFF" w:themeFill="background1"/>
          </w:tcPr>
          <w:p w14:paraId="6D9E5EEE"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13.87</w:t>
            </w:r>
            <w:r>
              <w:rPr>
                <w:rFonts w:ascii="Garamond" w:hAnsi="Garamond"/>
                <w:sz w:val="20"/>
                <w:szCs w:val="20"/>
              </w:rPr>
              <w:t>%</w:t>
            </w:r>
          </w:p>
        </w:tc>
        <w:tc>
          <w:tcPr>
            <w:tcW w:w="630" w:type="pct"/>
            <w:shd w:val="clear" w:color="auto" w:fill="FFFFFF" w:themeFill="background1"/>
          </w:tcPr>
          <w:p w14:paraId="6FACCE56"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0.77</w:t>
            </w:r>
            <w:r>
              <w:rPr>
                <w:rFonts w:ascii="Garamond" w:hAnsi="Garamond"/>
                <w:sz w:val="20"/>
                <w:szCs w:val="20"/>
              </w:rPr>
              <w:t>%</w:t>
            </w:r>
          </w:p>
        </w:tc>
        <w:tc>
          <w:tcPr>
            <w:tcW w:w="583" w:type="pct"/>
            <w:tcBorders>
              <w:right w:val="single" w:sz="4" w:space="0" w:color="auto"/>
            </w:tcBorders>
            <w:shd w:val="clear" w:color="auto" w:fill="FFFFFF" w:themeFill="background1"/>
          </w:tcPr>
          <w:p w14:paraId="5374BF70"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0.15</w:t>
            </w:r>
            <w:r>
              <w:rPr>
                <w:rFonts w:ascii="Garamond" w:hAnsi="Garamond"/>
                <w:sz w:val="20"/>
                <w:szCs w:val="20"/>
              </w:rPr>
              <w:t>%</w:t>
            </w:r>
          </w:p>
        </w:tc>
        <w:tc>
          <w:tcPr>
            <w:tcW w:w="674" w:type="pct"/>
            <w:tcBorders>
              <w:left w:val="single" w:sz="4" w:space="0" w:color="auto"/>
              <w:right w:val="single" w:sz="4" w:space="0" w:color="auto"/>
            </w:tcBorders>
            <w:shd w:val="clear" w:color="auto" w:fill="FFFFFF" w:themeFill="background1"/>
          </w:tcPr>
          <w:p w14:paraId="40E111D1"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100.00</w:t>
            </w:r>
            <w:r>
              <w:rPr>
                <w:rFonts w:ascii="Garamond" w:hAnsi="Garamond"/>
                <w:sz w:val="20"/>
                <w:szCs w:val="20"/>
              </w:rPr>
              <w:t>%</w:t>
            </w:r>
            <w:r w:rsidRPr="000A40C3">
              <w:rPr>
                <w:rFonts w:ascii="Garamond" w:hAnsi="Garamond"/>
                <w:sz w:val="20"/>
                <w:szCs w:val="20"/>
              </w:rPr>
              <w:t xml:space="preserve"> </w:t>
            </w:r>
          </w:p>
        </w:tc>
      </w:tr>
      <w:tr w:rsidR="006A76FD" w:rsidRPr="000A40C3" w14:paraId="047C67F5" w14:textId="77777777" w:rsidTr="00DA5EDB">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4F6B64F0" w14:textId="77777777" w:rsidR="006A76FD" w:rsidRPr="000A40C3" w:rsidRDefault="006A76FD" w:rsidP="00DA5EDB">
            <w:pPr>
              <w:rPr>
                <w:rFonts w:ascii="Garamond" w:hAnsi="Garamond"/>
                <w:sz w:val="20"/>
                <w:szCs w:val="20"/>
              </w:rPr>
            </w:pPr>
          </w:p>
        </w:tc>
        <w:tc>
          <w:tcPr>
            <w:tcW w:w="583" w:type="pct"/>
            <w:shd w:val="clear" w:color="auto" w:fill="FFFFFF" w:themeFill="background1"/>
          </w:tcPr>
          <w:p w14:paraId="660C307D"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57" w:type="pct"/>
            <w:shd w:val="clear" w:color="auto" w:fill="FFFFFF" w:themeFill="background1"/>
          </w:tcPr>
          <w:p w14:paraId="7CAD1B6D"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24" w:type="pct"/>
            <w:shd w:val="clear" w:color="auto" w:fill="FFFFFF" w:themeFill="background1"/>
          </w:tcPr>
          <w:p w14:paraId="180213A5"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27" w:type="pct"/>
            <w:shd w:val="clear" w:color="auto" w:fill="FFFFFF" w:themeFill="background1"/>
          </w:tcPr>
          <w:p w14:paraId="22B85BE9"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30" w:type="pct"/>
            <w:shd w:val="clear" w:color="auto" w:fill="FFFFFF" w:themeFill="background1"/>
          </w:tcPr>
          <w:p w14:paraId="15AAD19D"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583" w:type="pct"/>
            <w:tcBorders>
              <w:right w:val="single" w:sz="4" w:space="0" w:color="auto"/>
            </w:tcBorders>
            <w:shd w:val="clear" w:color="auto" w:fill="FFFFFF" w:themeFill="background1"/>
          </w:tcPr>
          <w:p w14:paraId="553830F3"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74" w:type="pct"/>
            <w:tcBorders>
              <w:left w:val="single" w:sz="4" w:space="0" w:color="auto"/>
              <w:right w:val="single" w:sz="4" w:space="0" w:color="auto"/>
            </w:tcBorders>
            <w:shd w:val="clear" w:color="auto" w:fill="FFFFFF" w:themeFill="background1"/>
          </w:tcPr>
          <w:p w14:paraId="67BACDF7"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r>
      <w:tr w:rsidR="006A76FD" w:rsidRPr="000A40C3" w14:paraId="59329842"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33ACD2B5" w14:textId="77777777" w:rsidR="006A76FD" w:rsidRPr="000A40C3" w:rsidRDefault="006A76FD" w:rsidP="00DA5EDB">
            <w:pPr>
              <w:rPr>
                <w:rFonts w:ascii="Garamond" w:hAnsi="Garamond"/>
                <w:sz w:val="20"/>
                <w:szCs w:val="20"/>
              </w:rPr>
            </w:pPr>
            <w:r w:rsidRPr="000A40C3">
              <w:rPr>
                <w:rFonts w:ascii="Garamond" w:hAnsi="Garamond"/>
                <w:sz w:val="20"/>
                <w:szCs w:val="20"/>
              </w:rPr>
              <w:t>fs</w:t>
            </w:r>
          </w:p>
        </w:tc>
        <w:tc>
          <w:tcPr>
            <w:tcW w:w="583" w:type="pct"/>
            <w:shd w:val="clear" w:color="auto" w:fill="FFFFFF" w:themeFill="background1"/>
          </w:tcPr>
          <w:p w14:paraId="081C4625"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73</w:t>
            </w:r>
          </w:p>
        </w:tc>
        <w:tc>
          <w:tcPr>
            <w:tcW w:w="657" w:type="pct"/>
            <w:shd w:val="clear" w:color="auto" w:fill="FFFFFF" w:themeFill="background1"/>
          </w:tcPr>
          <w:p w14:paraId="3FBBAB7E"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221</w:t>
            </w:r>
          </w:p>
        </w:tc>
        <w:tc>
          <w:tcPr>
            <w:tcW w:w="624" w:type="pct"/>
            <w:shd w:val="clear" w:color="auto" w:fill="FFFFFF" w:themeFill="background1"/>
          </w:tcPr>
          <w:p w14:paraId="1DAEE781"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335</w:t>
            </w:r>
          </w:p>
        </w:tc>
        <w:tc>
          <w:tcPr>
            <w:tcW w:w="627" w:type="pct"/>
            <w:shd w:val="clear" w:color="auto" w:fill="FFFFFF" w:themeFill="background1"/>
          </w:tcPr>
          <w:p w14:paraId="59F3F476"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458</w:t>
            </w:r>
          </w:p>
        </w:tc>
        <w:tc>
          <w:tcPr>
            <w:tcW w:w="630" w:type="pct"/>
            <w:shd w:val="clear" w:color="auto" w:fill="FFFFFF" w:themeFill="background1"/>
          </w:tcPr>
          <w:p w14:paraId="7EF64055"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8</w:t>
            </w:r>
          </w:p>
        </w:tc>
        <w:tc>
          <w:tcPr>
            <w:tcW w:w="583" w:type="pct"/>
            <w:tcBorders>
              <w:right w:val="single" w:sz="4" w:space="0" w:color="auto"/>
            </w:tcBorders>
            <w:shd w:val="clear" w:color="auto" w:fill="FFFFFF" w:themeFill="background1"/>
          </w:tcPr>
          <w:p w14:paraId="480F0B8B"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3</w:t>
            </w:r>
          </w:p>
        </w:tc>
        <w:tc>
          <w:tcPr>
            <w:tcW w:w="674" w:type="pct"/>
            <w:tcBorders>
              <w:left w:val="single" w:sz="4" w:space="0" w:color="auto"/>
              <w:right w:val="single" w:sz="4" w:space="0" w:color="auto"/>
            </w:tcBorders>
            <w:shd w:val="clear" w:color="auto" w:fill="FFFFFF" w:themeFill="background1"/>
          </w:tcPr>
          <w:p w14:paraId="043AA758"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 xml:space="preserve">1,098 </w:t>
            </w:r>
          </w:p>
        </w:tc>
      </w:tr>
      <w:tr w:rsidR="006A76FD" w:rsidRPr="000A40C3" w14:paraId="7041349E" w14:textId="77777777" w:rsidTr="00DA5EDB">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05080C26" w14:textId="77777777" w:rsidR="006A76FD" w:rsidRPr="000A40C3" w:rsidRDefault="006A76FD" w:rsidP="00DA5EDB">
            <w:pPr>
              <w:rPr>
                <w:rFonts w:ascii="Garamond" w:hAnsi="Garamond"/>
                <w:sz w:val="20"/>
                <w:szCs w:val="20"/>
              </w:rPr>
            </w:pPr>
          </w:p>
        </w:tc>
        <w:tc>
          <w:tcPr>
            <w:tcW w:w="583" w:type="pct"/>
            <w:shd w:val="clear" w:color="auto" w:fill="FFFFFF" w:themeFill="background1"/>
          </w:tcPr>
          <w:p w14:paraId="20C6BE10"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6.65</w:t>
            </w:r>
            <w:r>
              <w:rPr>
                <w:rFonts w:ascii="Garamond" w:hAnsi="Garamond"/>
                <w:sz w:val="20"/>
                <w:szCs w:val="20"/>
              </w:rPr>
              <w:t>%</w:t>
            </w:r>
          </w:p>
        </w:tc>
        <w:tc>
          <w:tcPr>
            <w:tcW w:w="657" w:type="pct"/>
            <w:shd w:val="clear" w:color="auto" w:fill="FFFFFF" w:themeFill="background1"/>
          </w:tcPr>
          <w:p w14:paraId="03761E65"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20.13</w:t>
            </w:r>
            <w:r>
              <w:rPr>
                <w:rFonts w:ascii="Garamond" w:hAnsi="Garamond"/>
                <w:sz w:val="20"/>
                <w:szCs w:val="20"/>
              </w:rPr>
              <w:t>%</w:t>
            </w:r>
          </w:p>
        </w:tc>
        <w:tc>
          <w:tcPr>
            <w:tcW w:w="624" w:type="pct"/>
            <w:shd w:val="clear" w:color="auto" w:fill="FFFFFF" w:themeFill="background1"/>
          </w:tcPr>
          <w:p w14:paraId="6578AD1B"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30.51</w:t>
            </w:r>
            <w:r>
              <w:rPr>
                <w:rFonts w:ascii="Garamond" w:hAnsi="Garamond"/>
                <w:sz w:val="20"/>
                <w:szCs w:val="20"/>
              </w:rPr>
              <w:t>%</w:t>
            </w:r>
          </w:p>
        </w:tc>
        <w:tc>
          <w:tcPr>
            <w:tcW w:w="627" w:type="pct"/>
            <w:shd w:val="clear" w:color="auto" w:fill="FFFFFF" w:themeFill="background1"/>
          </w:tcPr>
          <w:p w14:paraId="6195C949"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41.71</w:t>
            </w:r>
            <w:r>
              <w:rPr>
                <w:rFonts w:ascii="Garamond" w:hAnsi="Garamond"/>
                <w:sz w:val="20"/>
                <w:szCs w:val="20"/>
              </w:rPr>
              <w:t>%</w:t>
            </w:r>
          </w:p>
        </w:tc>
        <w:tc>
          <w:tcPr>
            <w:tcW w:w="630" w:type="pct"/>
            <w:shd w:val="clear" w:color="auto" w:fill="FFFFFF" w:themeFill="background1"/>
          </w:tcPr>
          <w:p w14:paraId="4A57E59D"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0.73</w:t>
            </w:r>
            <w:r>
              <w:rPr>
                <w:rFonts w:ascii="Garamond" w:hAnsi="Garamond"/>
                <w:sz w:val="20"/>
                <w:szCs w:val="20"/>
              </w:rPr>
              <w:t>%</w:t>
            </w:r>
          </w:p>
        </w:tc>
        <w:tc>
          <w:tcPr>
            <w:tcW w:w="583" w:type="pct"/>
            <w:tcBorders>
              <w:right w:val="single" w:sz="4" w:space="0" w:color="auto"/>
            </w:tcBorders>
            <w:shd w:val="clear" w:color="auto" w:fill="FFFFFF" w:themeFill="background1"/>
          </w:tcPr>
          <w:p w14:paraId="291087B0"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0.27</w:t>
            </w:r>
            <w:r>
              <w:rPr>
                <w:rFonts w:ascii="Garamond" w:hAnsi="Garamond"/>
                <w:sz w:val="20"/>
                <w:szCs w:val="20"/>
              </w:rPr>
              <w:t>%</w:t>
            </w:r>
          </w:p>
        </w:tc>
        <w:tc>
          <w:tcPr>
            <w:tcW w:w="674" w:type="pct"/>
            <w:tcBorders>
              <w:left w:val="single" w:sz="4" w:space="0" w:color="auto"/>
              <w:right w:val="single" w:sz="4" w:space="0" w:color="auto"/>
            </w:tcBorders>
            <w:shd w:val="clear" w:color="auto" w:fill="FFFFFF" w:themeFill="background1"/>
          </w:tcPr>
          <w:p w14:paraId="7A3221A2"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100.00</w:t>
            </w:r>
            <w:r>
              <w:rPr>
                <w:rFonts w:ascii="Garamond" w:hAnsi="Garamond"/>
                <w:sz w:val="20"/>
                <w:szCs w:val="20"/>
              </w:rPr>
              <w:t>%</w:t>
            </w:r>
            <w:r w:rsidRPr="000A40C3">
              <w:rPr>
                <w:rFonts w:ascii="Garamond" w:hAnsi="Garamond"/>
                <w:sz w:val="20"/>
                <w:szCs w:val="20"/>
              </w:rPr>
              <w:t xml:space="preserve"> </w:t>
            </w:r>
          </w:p>
        </w:tc>
      </w:tr>
      <w:tr w:rsidR="006A76FD" w:rsidRPr="000A40C3" w14:paraId="62AB4871"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108C797A" w14:textId="77777777" w:rsidR="006A76FD" w:rsidRPr="000A40C3" w:rsidRDefault="006A76FD" w:rsidP="00DA5EDB">
            <w:pPr>
              <w:rPr>
                <w:rFonts w:ascii="Garamond" w:hAnsi="Garamond"/>
                <w:sz w:val="20"/>
                <w:szCs w:val="20"/>
              </w:rPr>
            </w:pPr>
          </w:p>
        </w:tc>
        <w:tc>
          <w:tcPr>
            <w:tcW w:w="583" w:type="pct"/>
            <w:shd w:val="clear" w:color="auto" w:fill="FFFFFF" w:themeFill="background1"/>
          </w:tcPr>
          <w:p w14:paraId="781CFC55"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57" w:type="pct"/>
            <w:shd w:val="clear" w:color="auto" w:fill="FFFFFF" w:themeFill="background1"/>
          </w:tcPr>
          <w:p w14:paraId="0B093FDE"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24" w:type="pct"/>
            <w:shd w:val="clear" w:color="auto" w:fill="FFFFFF" w:themeFill="background1"/>
          </w:tcPr>
          <w:p w14:paraId="7CE3EC34"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27" w:type="pct"/>
            <w:shd w:val="clear" w:color="auto" w:fill="FFFFFF" w:themeFill="background1"/>
          </w:tcPr>
          <w:p w14:paraId="4EE98ECF"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30" w:type="pct"/>
            <w:shd w:val="clear" w:color="auto" w:fill="FFFFFF" w:themeFill="background1"/>
          </w:tcPr>
          <w:p w14:paraId="71188838"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83" w:type="pct"/>
            <w:tcBorders>
              <w:right w:val="single" w:sz="4" w:space="0" w:color="auto"/>
            </w:tcBorders>
            <w:shd w:val="clear" w:color="auto" w:fill="FFFFFF" w:themeFill="background1"/>
          </w:tcPr>
          <w:p w14:paraId="552EB132"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74" w:type="pct"/>
            <w:tcBorders>
              <w:left w:val="single" w:sz="4" w:space="0" w:color="auto"/>
              <w:right w:val="single" w:sz="4" w:space="0" w:color="auto"/>
            </w:tcBorders>
            <w:shd w:val="clear" w:color="auto" w:fill="FFFFFF" w:themeFill="background1"/>
          </w:tcPr>
          <w:p w14:paraId="7B50B7E2"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0A40C3" w14:paraId="65C9EE6D" w14:textId="77777777" w:rsidTr="00DA5EDB">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60071441" w14:textId="77777777" w:rsidR="006A76FD" w:rsidRPr="000A40C3" w:rsidRDefault="006A76FD" w:rsidP="00DA5EDB">
            <w:pPr>
              <w:rPr>
                <w:rFonts w:ascii="Garamond" w:hAnsi="Garamond"/>
                <w:sz w:val="20"/>
                <w:szCs w:val="20"/>
              </w:rPr>
            </w:pPr>
            <w:r w:rsidRPr="000A40C3">
              <w:rPr>
                <w:rFonts w:ascii="Garamond" w:hAnsi="Garamond"/>
                <w:sz w:val="20"/>
                <w:szCs w:val="20"/>
              </w:rPr>
              <w:t>sf</w:t>
            </w:r>
          </w:p>
        </w:tc>
        <w:tc>
          <w:tcPr>
            <w:tcW w:w="583" w:type="pct"/>
            <w:shd w:val="clear" w:color="auto" w:fill="FFFFFF" w:themeFill="background1"/>
          </w:tcPr>
          <w:p w14:paraId="0AA0EF76"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121</w:t>
            </w:r>
          </w:p>
        </w:tc>
        <w:tc>
          <w:tcPr>
            <w:tcW w:w="657" w:type="pct"/>
            <w:shd w:val="clear" w:color="auto" w:fill="FFFFFF" w:themeFill="background1"/>
          </w:tcPr>
          <w:p w14:paraId="5B0F4048"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385</w:t>
            </w:r>
          </w:p>
        </w:tc>
        <w:tc>
          <w:tcPr>
            <w:tcW w:w="624" w:type="pct"/>
            <w:shd w:val="clear" w:color="auto" w:fill="FFFFFF" w:themeFill="background1"/>
          </w:tcPr>
          <w:p w14:paraId="7321EFC2"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281</w:t>
            </w:r>
          </w:p>
        </w:tc>
        <w:tc>
          <w:tcPr>
            <w:tcW w:w="627" w:type="pct"/>
            <w:shd w:val="clear" w:color="auto" w:fill="FFFFFF" w:themeFill="background1"/>
          </w:tcPr>
          <w:p w14:paraId="77F7CB00"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119</w:t>
            </w:r>
          </w:p>
        </w:tc>
        <w:tc>
          <w:tcPr>
            <w:tcW w:w="630" w:type="pct"/>
            <w:shd w:val="clear" w:color="auto" w:fill="FFFFFF" w:themeFill="background1"/>
          </w:tcPr>
          <w:p w14:paraId="7833C3FF"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0</w:t>
            </w:r>
          </w:p>
        </w:tc>
        <w:tc>
          <w:tcPr>
            <w:tcW w:w="583" w:type="pct"/>
            <w:tcBorders>
              <w:right w:val="single" w:sz="4" w:space="0" w:color="auto"/>
            </w:tcBorders>
            <w:shd w:val="clear" w:color="auto" w:fill="FFFFFF" w:themeFill="background1"/>
          </w:tcPr>
          <w:p w14:paraId="74F2F75C"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52</w:t>
            </w:r>
          </w:p>
        </w:tc>
        <w:tc>
          <w:tcPr>
            <w:tcW w:w="674" w:type="pct"/>
            <w:tcBorders>
              <w:left w:val="single" w:sz="4" w:space="0" w:color="auto"/>
              <w:right w:val="single" w:sz="4" w:space="0" w:color="auto"/>
            </w:tcBorders>
            <w:shd w:val="clear" w:color="auto" w:fill="FFFFFF" w:themeFill="background1"/>
          </w:tcPr>
          <w:p w14:paraId="280869A7"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 xml:space="preserve">958 </w:t>
            </w:r>
          </w:p>
        </w:tc>
      </w:tr>
      <w:tr w:rsidR="006A76FD" w:rsidRPr="000A40C3" w14:paraId="00AC32BB"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0ECCC5BC" w14:textId="77777777" w:rsidR="006A76FD" w:rsidRPr="000A40C3" w:rsidRDefault="006A76FD" w:rsidP="00DA5EDB">
            <w:pPr>
              <w:rPr>
                <w:rFonts w:ascii="Garamond" w:hAnsi="Garamond"/>
                <w:sz w:val="20"/>
                <w:szCs w:val="20"/>
              </w:rPr>
            </w:pPr>
          </w:p>
        </w:tc>
        <w:tc>
          <w:tcPr>
            <w:tcW w:w="583" w:type="pct"/>
            <w:shd w:val="clear" w:color="auto" w:fill="FFFFFF" w:themeFill="background1"/>
          </w:tcPr>
          <w:p w14:paraId="60CA739E"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12.63</w:t>
            </w:r>
            <w:r>
              <w:rPr>
                <w:rFonts w:ascii="Garamond" w:hAnsi="Garamond"/>
                <w:sz w:val="20"/>
                <w:szCs w:val="20"/>
              </w:rPr>
              <w:t>%</w:t>
            </w:r>
          </w:p>
        </w:tc>
        <w:tc>
          <w:tcPr>
            <w:tcW w:w="657" w:type="pct"/>
            <w:shd w:val="clear" w:color="auto" w:fill="FFFFFF" w:themeFill="background1"/>
          </w:tcPr>
          <w:p w14:paraId="51C268B0"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40.19</w:t>
            </w:r>
            <w:r>
              <w:rPr>
                <w:rFonts w:ascii="Garamond" w:hAnsi="Garamond"/>
                <w:sz w:val="20"/>
                <w:szCs w:val="20"/>
              </w:rPr>
              <w:t>%</w:t>
            </w:r>
          </w:p>
        </w:tc>
        <w:tc>
          <w:tcPr>
            <w:tcW w:w="624" w:type="pct"/>
            <w:shd w:val="clear" w:color="auto" w:fill="FFFFFF" w:themeFill="background1"/>
          </w:tcPr>
          <w:p w14:paraId="2A36FE2E"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29.33</w:t>
            </w:r>
            <w:r>
              <w:rPr>
                <w:rFonts w:ascii="Garamond" w:hAnsi="Garamond"/>
                <w:sz w:val="20"/>
                <w:szCs w:val="20"/>
              </w:rPr>
              <w:t>%</w:t>
            </w:r>
          </w:p>
        </w:tc>
        <w:tc>
          <w:tcPr>
            <w:tcW w:w="627" w:type="pct"/>
            <w:shd w:val="clear" w:color="auto" w:fill="FFFFFF" w:themeFill="background1"/>
          </w:tcPr>
          <w:p w14:paraId="1AC2072D"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12.42</w:t>
            </w:r>
            <w:r>
              <w:rPr>
                <w:rFonts w:ascii="Garamond" w:hAnsi="Garamond"/>
                <w:sz w:val="20"/>
                <w:szCs w:val="20"/>
              </w:rPr>
              <w:t>%</w:t>
            </w:r>
          </w:p>
        </w:tc>
        <w:tc>
          <w:tcPr>
            <w:tcW w:w="630" w:type="pct"/>
            <w:shd w:val="clear" w:color="auto" w:fill="FFFFFF" w:themeFill="background1"/>
          </w:tcPr>
          <w:p w14:paraId="209A025F"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0.00</w:t>
            </w:r>
            <w:r>
              <w:rPr>
                <w:rFonts w:ascii="Garamond" w:hAnsi="Garamond"/>
                <w:sz w:val="20"/>
                <w:szCs w:val="20"/>
              </w:rPr>
              <w:t>%</w:t>
            </w:r>
          </w:p>
        </w:tc>
        <w:tc>
          <w:tcPr>
            <w:tcW w:w="583" w:type="pct"/>
            <w:tcBorders>
              <w:right w:val="single" w:sz="4" w:space="0" w:color="auto"/>
            </w:tcBorders>
            <w:shd w:val="clear" w:color="auto" w:fill="FFFFFF" w:themeFill="background1"/>
          </w:tcPr>
          <w:p w14:paraId="4F59B2C1"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5.43</w:t>
            </w:r>
            <w:r>
              <w:rPr>
                <w:rFonts w:ascii="Garamond" w:hAnsi="Garamond"/>
                <w:sz w:val="20"/>
                <w:szCs w:val="20"/>
              </w:rPr>
              <w:t>%</w:t>
            </w:r>
          </w:p>
        </w:tc>
        <w:tc>
          <w:tcPr>
            <w:tcW w:w="674" w:type="pct"/>
            <w:tcBorders>
              <w:left w:val="single" w:sz="4" w:space="0" w:color="auto"/>
              <w:right w:val="single" w:sz="4" w:space="0" w:color="auto"/>
            </w:tcBorders>
            <w:shd w:val="clear" w:color="auto" w:fill="FFFFFF" w:themeFill="background1"/>
          </w:tcPr>
          <w:p w14:paraId="3F2B7174"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100.00</w:t>
            </w:r>
            <w:r>
              <w:rPr>
                <w:rFonts w:ascii="Garamond" w:hAnsi="Garamond"/>
                <w:sz w:val="20"/>
                <w:szCs w:val="20"/>
              </w:rPr>
              <w:t>%</w:t>
            </w:r>
            <w:r w:rsidRPr="000A40C3">
              <w:rPr>
                <w:rFonts w:ascii="Garamond" w:hAnsi="Garamond"/>
                <w:sz w:val="20"/>
                <w:szCs w:val="20"/>
              </w:rPr>
              <w:t xml:space="preserve"> </w:t>
            </w:r>
          </w:p>
        </w:tc>
      </w:tr>
      <w:tr w:rsidR="006A76FD" w:rsidRPr="000A40C3" w14:paraId="0B9B3E14" w14:textId="77777777" w:rsidTr="00DA5EDB">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tcBorders>
          </w:tcPr>
          <w:p w14:paraId="6922DD43" w14:textId="77777777" w:rsidR="006A76FD" w:rsidRPr="000A40C3" w:rsidRDefault="006A76FD" w:rsidP="00DA5EDB">
            <w:pPr>
              <w:rPr>
                <w:rFonts w:ascii="Garamond" w:hAnsi="Garamond"/>
                <w:sz w:val="20"/>
                <w:szCs w:val="20"/>
              </w:rPr>
            </w:pPr>
          </w:p>
        </w:tc>
        <w:tc>
          <w:tcPr>
            <w:tcW w:w="583" w:type="pct"/>
            <w:shd w:val="clear" w:color="auto" w:fill="FFFFFF" w:themeFill="background1"/>
          </w:tcPr>
          <w:p w14:paraId="798F4F6B"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57" w:type="pct"/>
            <w:shd w:val="clear" w:color="auto" w:fill="FFFFFF" w:themeFill="background1"/>
          </w:tcPr>
          <w:p w14:paraId="09E6BFC0"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24" w:type="pct"/>
            <w:shd w:val="clear" w:color="auto" w:fill="FFFFFF" w:themeFill="background1"/>
          </w:tcPr>
          <w:p w14:paraId="7456D03C"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27" w:type="pct"/>
            <w:shd w:val="clear" w:color="auto" w:fill="FFFFFF" w:themeFill="background1"/>
          </w:tcPr>
          <w:p w14:paraId="417F836F"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30" w:type="pct"/>
            <w:shd w:val="clear" w:color="auto" w:fill="FFFFFF" w:themeFill="background1"/>
          </w:tcPr>
          <w:p w14:paraId="53E21A0E"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583" w:type="pct"/>
            <w:tcBorders>
              <w:right w:val="single" w:sz="4" w:space="0" w:color="auto"/>
            </w:tcBorders>
            <w:shd w:val="clear" w:color="auto" w:fill="FFFFFF" w:themeFill="background1"/>
          </w:tcPr>
          <w:p w14:paraId="240E7809"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74" w:type="pct"/>
            <w:tcBorders>
              <w:left w:val="single" w:sz="4" w:space="0" w:color="auto"/>
              <w:right w:val="single" w:sz="4" w:space="0" w:color="auto"/>
            </w:tcBorders>
            <w:shd w:val="clear" w:color="auto" w:fill="FFFFFF" w:themeFill="background1"/>
          </w:tcPr>
          <w:p w14:paraId="5A1FA8CA"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r>
      <w:tr w:rsidR="006A76FD" w:rsidRPr="000A40C3" w14:paraId="58C8C44A"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right w:val="single" w:sz="4" w:space="0" w:color="auto"/>
            </w:tcBorders>
          </w:tcPr>
          <w:p w14:paraId="5DA93FEF" w14:textId="77777777" w:rsidR="006A76FD" w:rsidRPr="000A40C3" w:rsidRDefault="006A76FD" w:rsidP="00DA5EDB">
            <w:pPr>
              <w:rPr>
                <w:rFonts w:ascii="Garamond" w:hAnsi="Garamond"/>
                <w:sz w:val="20"/>
                <w:szCs w:val="20"/>
              </w:rPr>
            </w:pPr>
            <w:r w:rsidRPr="000A40C3">
              <w:rPr>
                <w:rFonts w:ascii="Garamond" w:hAnsi="Garamond"/>
                <w:sz w:val="20"/>
                <w:szCs w:val="20"/>
              </w:rPr>
              <w:t>ss</w:t>
            </w:r>
          </w:p>
        </w:tc>
        <w:tc>
          <w:tcPr>
            <w:tcW w:w="583" w:type="pct"/>
            <w:tcBorders>
              <w:left w:val="single" w:sz="4" w:space="0" w:color="auto"/>
            </w:tcBorders>
            <w:shd w:val="clear" w:color="auto" w:fill="FFFFFF" w:themeFill="background1"/>
          </w:tcPr>
          <w:p w14:paraId="41069648"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137</w:t>
            </w:r>
          </w:p>
        </w:tc>
        <w:tc>
          <w:tcPr>
            <w:tcW w:w="657" w:type="pct"/>
            <w:shd w:val="clear" w:color="auto" w:fill="FFFFFF" w:themeFill="background1"/>
          </w:tcPr>
          <w:p w14:paraId="34C0158F"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253</w:t>
            </w:r>
          </w:p>
        </w:tc>
        <w:tc>
          <w:tcPr>
            <w:tcW w:w="624" w:type="pct"/>
            <w:shd w:val="clear" w:color="auto" w:fill="FFFFFF" w:themeFill="background1"/>
          </w:tcPr>
          <w:p w14:paraId="4807DAC7"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328</w:t>
            </w:r>
          </w:p>
        </w:tc>
        <w:tc>
          <w:tcPr>
            <w:tcW w:w="627" w:type="pct"/>
            <w:shd w:val="clear" w:color="auto" w:fill="FFFFFF" w:themeFill="background1"/>
          </w:tcPr>
          <w:p w14:paraId="7060D73C"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631</w:t>
            </w:r>
          </w:p>
        </w:tc>
        <w:tc>
          <w:tcPr>
            <w:tcW w:w="630" w:type="pct"/>
            <w:shd w:val="clear" w:color="auto" w:fill="FFFFFF" w:themeFill="background1"/>
          </w:tcPr>
          <w:p w14:paraId="4E2E1BEC"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5</w:t>
            </w:r>
          </w:p>
        </w:tc>
        <w:tc>
          <w:tcPr>
            <w:tcW w:w="583" w:type="pct"/>
            <w:tcBorders>
              <w:right w:val="single" w:sz="4" w:space="0" w:color="auto"/>
            </w:tcBorders>
            <w:shd w:val="clear" w:color="auto" w:fill="FFFFFF" w:themeFill="background1"/>
          </w:tcPr>
          <w:p w14:paraId="59F201C7"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60</w:t>
            </w:r>
          </w:p>
        </w:tc>
        <w:tc>
          <w:tcPr>
            <w:tcW w:w="674" w:type="pct"/>
            <w:tcBorders>
              <w:left w:val="single" w:sz="4" w:space="0" w:color="auto"/>
              <w:right w:val="single" w:sz="4" w:space="0" w:color="auto"/>
            </w:tcBorders>
            <w:shd w:val="clear" w:color="auto" w:fill="FFFFFF" w:themeFill="background1"/>
          </w:tcPr>
          <w:p w14:paraId="343B0F5A"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 xml:space="preserve">1,414 </w:t>
            </w:r>
          </w:p>
        </w:tc>
      </w:tr>
      <w:tr w:rsidR="006A76FD" w:rsidRPr="000A40C3" w14:paraId="30A1952F" w14:textId="77777777" w:rsidTr="00DA5EDB">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right w:val="single" w:sz="4" w:space="0" w:color="auto"/>
            </w:tcBorders>
          </w:tcPr>
          <w:p w14:paraId="291F277F" w14:textId="77777777" w:rsidR="006A76FD" w:rsidRPr="000A40C3" w:rsidRDefault="006A76FD" w:rsidP="00DA5EDB">
            <w:pPr>
              <w:rPr>
                <w:rFonts w:ascii="Garamond" w:hAnsi="Garamond"/>
                <w:sz w:val="20"/>
                <w:szCs w:val="20"/>
              </w:rPr>
            </w:pPr>
          </w:p>
        </w:tc>
        <w:tc>
          <w:tcPr>
            <w:tcW w:w="583" w:type="pct"/>
            <w:tcBorders>
              <w:left w:val="single" w:sz="4" w:space="0" w:color="auto"/>
            </w:tcBorders>
            <w:shd w:val="clear" w:color="auto" w:fill="FFFFFF" w:themeFill="background1"/>
          </w:tcPr>
          <w:p w14:paraId="2B3AFA18"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9.69</w:t>
            </w:r>
            <w:r>
              <w:rPr>
                <w:rFonts w:ascii="Garamond" w:hAnsi="Garamond"/>
                <w:sz w:val="20"/>
                <w:szCs w:val="20"/>
              </w:rPr>
              <w:t>%</w:t>
            </w:r>
          </w:p>
        </w:tc>
        <w:tc>
          <w:tcPr>
            <w:tcW w:w="657" w:type="pct"/>
            <w:shd w:val="clear" w:color="auto" w:fill="FFFFFF" w:themeFill="background1"/>
          </w:tcPr>
          <w:p w14:paraId="10994516"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17.89</w:t>
            </w:r>
            <w:r>
              <w:rPr>
                <w:rFonts w:ascii="Garamond" w:hAnsi="Garamond"/>
                <w:sz w:val="20"/>
                <w:szCs w:val="20"/>
              </w:rPr>
              <w:t>%</w:t>
            </w:r>
          </w:p>
        </w:tc>
        <w:tc>
          <w:tcPr>
            <w:tcW w:w="624" w:type="pct"/>
            <w:shd w:val="clear" w:color="auto" w:fill="FFFFFF" w:themeFill="background1"/>
          </w:tcPr>
          <w:p w14:paraId="62FC12B7"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23.20</w:t>
            </w:r>
            <w:r>
              <w:rPr>
                <w:rFonts w:ascii="Garamond" w:hAnsi="Garamond"/>
                <w:sz w:val="20"/>
                <w:szCs w:val="20"/>
              </w:rPr>
              <w:t>%</w:t>
            </w:r>
          </w:p>
        </w:tc>
        <w:tc>
          <w:tcPr>
            <w:tcW w:w="627" w:type="pct"/>
            <w:shd w:val="clear" w:color="auto" w:fill="FFFFFF" w:themeFill="background1"/>
          </w:tcPr>
          <w:p w14:paraId="7B66D962"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44.63</w:t>
            </w:r>
            <w:r>
              <w:rPr>
                <w:rFonts w:ascii="Garamond" w:hAnsi="Garamond"/>
                <w:sz w:val="20"/>
                <w:szCs w:val="20"/>
              </w:rPr>
              <w:t>%</w:t>
            </w:r>
          </w:p>
        </w:tc>
        <w:tc>
          <w:tcPr>
            <w:tcW w:w="630" w:type="pct"/>
            <w:shd w:val="clear" w:color="auto" w:fill="FFFFFF" w:themeFill="background1"/>
          </w:tcPr>
          <w:p w14:paraId="33AE7BD0"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0.35</w:t>
            </w:r>
            <w:r>
              <w:rPr>
                <w:rFonts w:ascii="Garamond" w:hAnsi="Garamond"/>
                <w:sz w:val="20"/>
                <w:szCs w:val="20"/>
              </w:rPr>
              <w:t>%</w:t>
            </w:r>
          </w:p>
        </w:tc>
        <w:tc>
          <w:tcPr>
            <w:tcW w:w="583" w:type="pct"/>
            <w:tcBorders>
              <w:right w:val="single" w:sz="4" w:space="0" w:color="auto"/>
            </w:tcBorders>
            <w:shd w:val="clear" w:color="auto" w:fill="FFFFFF" w:themeFill="background1"/>
          </w:tcPr>
          <w:p w14:paraId="47D0B41A"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4.24</w:t>
            </w:r>
            <w:r>
              <w:rPr>
                <w:rFonts w:ascii="Garamond" w:hAnsi="Garamond"/>
                <w:sz w:val="20"/>
                <w:szCs w:val="20"/>
              </w:rPr>
              <w:t>%</w:t>
            </w:r>
          </w:p>
        </w:tc>
        <w:tc>
          <w:tcPr>
            <w:tcW w:w="674" w:type="pct"/>
            <w:tcBorders>
              <w:left w:val="single" w:sz="4" w:space="0" w:color="auto"/>
              <w:right w:val="single" w:sz="4" w:space="0" w:color="auto"/>
            </w:tcBorders>
            <w:shd w:val="clear" w:color="auto" w:fill="FFFFFF" w:themeFill="background1"/>
          </w:tcPr>
          <w:p w14:paraId="2C9A259C"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100.00</w:t>
            </w:r>
            <w:r>
              <w:rPr>
                <w:rFonts w:ascii="Garamond" w:hAnsi="Garamond"/>
                <w:sz w:val="20"/>
                <w:szCs w:val="20"/>
              </w:rPr>
              <w:t>%</w:t>
            </w:r>
            <w:r w:rsidRPr="000A40C3">
              <w:rPr>
                <w:rFonts w:ascii="Garamond" w:hAnsi="Garamond"/>
                <w:sz w:val="20"/>
                <w:szCs w:val="20"/>
              </w:rPr>
              <w:t xml:space="preserve"> </w:t>
            </w:r>
          </w:p>
        </w:tc>
      </w:tr>
      <w:tr w:rsidR="006A76FD" w:rsidRPr="000A40C3" w14:paraId="58EF95B5"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right w:val="single" w:sz="4" w:space="0" w:color="auto"/>
            </w:tcBorders>
          </w:tcPr>
          <w:p w14:paraId="41E4F8CD" w14:textId="77777777" w:rsidR="006A76FD" w:rsidRPr="000A40C3" w:rsidRDefault="006A76FD" w:rsidP="00DA5EDB">
            <w:pPr>
              <w:rPr>
                <w:rFonts w:ascii="Garamond" w:hAnsi="Garamond"/>
                <w:sz w:val="20"/>
                <w:szCs w:val="20"/>
              </w:rPr>
            </w:pPr>
          </w:p>
        </w:tc>
        <w:tc>
          <w:tcPr>
            <w:tcW w:w="583" w:type="pct"/>
            <w:tcBorders>
              <w:left w:val="single" w:sz="4" w:space="0" w:color="auto"/>
            </w:tcBorders>
            <w:shd w:val="clear" w:color="auto" w:fill="FFFFFF" w:themeFill="background1"/>
          </w:tcPr>
          <w:p w14:paraId="0829AA51"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57" w:type="pct"/>
            <w:shd w:val="clear" w:color="auto" w:fill="FFFFFF" w:themeFill="background1"/>
          </w:tcPr>
          <w:p w14:paraId="417790BC"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24" w:type="pct"/>
            <w:shd w:val="clear" w:color="auto" w:fill="FFFFFF" w:themeFill="background1"/>
          </w:tcPr>
          <w:p w14:paraId="22F855B0"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27" w:type="pct"/>
            <w:shd w:val="clear" w:color="auto" w:fill="FFFFFF" w:themeFill="background1"/>
          </w:tcPr>
          <w:p w14:paraId="2BFC0F2A"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30" w:type="pct"/>
            <w:shd w:val="clear" w:color="auto" w:fill="FFFFFF" w:themeFill="background1"/>
          </w:tcPr>
          <w:p w14:paraId="7FDE8A02"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83" w:type="pct"/>
            <w:tcBorders>
              <w:right w:val="single" w:sz="4" w:space="0" w:color="auto"/>
            </w:tcBorders>
            <w:shd w:val="clear" w:color="auto" w:fill="FFFFFF" w:themeFill="background1"/>
          </w:tcPr>
          <w:p w14:paraId="17616112"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74" w:type="pct"/>
            <w:tcBorders>
              <w:left w:val="single" w:sz="4" w:space="0" w:color="auto"/>
              <w:right w:val="single" w:sz="4" w:space="0" w:color="auto"/>
            </w:tcBorders>
            <w:shd w:val="clear" w:color="auto" w:fill="FFFFFF" w:themeFill="background1"/>
          </w:tcPr>
          <w:p w14:paraId="0DD5AA36"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0A40C3" w14:paraId="2CA15411" w14:textId="77777777" w:rsidTr="00DA5EDB">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right w:val="single" w:sz="4" w:space="0" w:color="auto"/>
            </w:tcBorders>
          </w:tcPr>
          <w:p w14:paraId="7A4F3484" w14:textId="77777777" w:rsidR="006A76FD" w:rsidRPr="000A40C3" w:rsidRDefault="006A76FD" w:rsidP="00DA5EDB">
            <w:pPr>
              <w:rPr>
                <w:rFonts w:ascii="Garamond" w:hAnsi="Garamond"/>
                <w:sz w:val="20"/>
                <w:szCs w:val="20"/>
              </w:rPr>
            </w:pPr>
            <w:r w:rsidRPr="000A40C3">
              <w:rPr>
                <w:rFonts w:ascii="Garamond" w:hAnsi="Garamond"/>
                <w:sz w:val="20"/>
                <w:szCs w:val="20"/>
              </w:rPr>
              <w:t>Total</w:t>
            </w:r>
          </w:p>
        </w:tc>
        <w:tc>
          <w:tcPr>
            <w:tcW w:w="583" w:type="pct"/>
            <w:tcBorders>
              <w:left w:val="single" w:sz="4" w:space="0" w:color="auto"/>
            </w:tcBorders>
            <w:shd w:val="clear" w:color="auto" w:fill="FFFFFF" w:themeFill="background1"/>
          </w:tcPr>
          <w:p w14:paraId="4B9E9E25"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381</w:t>
            </w:r>
          </w:p>
        </w:tc>
        <w:tc>
          <w:tcPr>
            <w:tcW w:w="657" w:type="pct"/>
            <w:shd w:val="clear" w:color="auto" w:fill="FFFFFF" w:themeFill="background1"/>
          </w:tcPr>
          <w:p w14:paraId="1F25C464"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1,167</w:t>
            </w:r>
          </w:p>
        </w:tc>
        <w:tc>
          <w:tcPr>
            <w:tcW w:w="624" w:type="pct"/>
            <w:shd w:val="clear" w:color="auto" w:fill="FFFFFF" w:themeFill="background1"/>
          </w:tcPr>
          <w:p w14:paraId="06EBE6BB"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1,139</w:t>
            </w:r>
          </w:p>
        </w:tc>
        <w:tc>
          <w:tcPr>
            <w:tcW w:w="627" w:type="pct"/>
            <w:shd w:val="clear" w:color="auto" w:fill="FFFFFF" w:themeFill="background1"/>
          </w:tcPr>
          <w:p w14:paraId="22FF4277"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1,298</w:t>
            </w:r>
          </w:p>
        </w:tc>
        <w:tc>
          <w:tcPr>
            <w:tcW w:w="630" w:type="pct"/>
            <w:shd w:val="clear" w:color="auto" w:fill="FFFFFF" w:themeFill="background1"/>
          </w:tcPr>
          <w:p w14:paraId="35A5A15A"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18</w:t>
            </w:r>
          </w:p>
        </w:tc>
        <w:tc>
          <w:tcPr>
            <w:tcW w:w="583" w:type="pct"/>
            <w:tcBorders>
              <w:right w:val="single" w:sz="4" w:space="0" w:color="auto"/>
            </w:tcBorders>
            <w:shd w:val="clear" w:color="auto" w:fill="FFFFFF" w:themeFill="background1"/>
          </w:tcPr>
          <w:p w14:paraId="2E2BD688"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116</w:t>
            </w:r>
          </w:p>
        </w:tc>
        <w:tc>
          <w:tcPr>
            <w:tcW w:w="674" w:type="pct"/>
            <w:tcBorders>
              <w:left w:val="single" w:sz="4" w:space="0" w:color="auto"/>
              <w:right w:val="single" w:sz="4" w:space="0" w:color="auto"/>
            </w:tcBorders>
            <w:shd w:val="clear" w:color="auto" w:fill="FFFFFF" w:themeFill="background1"/>
          </w:tcPr>
          <w:p w14:paraId="62D1FB44" w14:textId="77777777" w:rsidR="006A76FD" w:rsidRPr="000A40C3"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0A40C3">
              <w:rPr>
                <w:rFonts w:ascii="Garamond" w:hAnsi="Garamond"/>
                <w:sz w:val="20"/>
                <w:szCs w:val="20"/>
              </w:rPr>
              <w:t xml:space="preserve">4,119 </w:t>
            </w:r>
          </w:p>
        </w:tc>
      </w:tr>
      <w:tr w:rsidR="006A76FD" w:rsidRPr="000A40C3" w14:paraId="5D2BB5D7"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tcBorders>
              <w:left w:val="single" w:sz="4" w:space="0" w:color="auto"/>
              <w:bottom w:val="single" w:sz="4" w:space="0" w:color="auto"/>
              <w:right w:val="single" w:sz="4" w:space="0" w:color="auto"/>
            </w:tcBorders>
          </w:tcPr>
          <w:p w14:paraId="4422ED63" w14:textId="77777777" w:rsidR="006A76FD" w:rsidRPr="000A40C3" w:rsidRDefault="006A76FD" w:rsidP="00DA5EDB">
            <w:pPr>
              <w:rPr>
                <w:rFonts w:ascii="Garamond" w:hAnsi="Garamond"/>
                <w:sz w:val="20"/>
                <w:szCs w:val="20"/>
              </w:rPr>
            </w:pPr>
          </w:p>
        </w:tc>
        <w:tc>
          <w:tcPr>
            <w:tcW w:w="583" w:type="pct"/>
            <w:tcBorders>
              <w:left w:val="single" w:sz="4" w:space="0" w:color="auto"/>
              <w:bottom w:val="single" w:sz="4" w:space="0" w:color="auto"/>
            </w:tcBorders>
            <w:shd w:val="clear" w:color="auto" w:fill="FFFFFF" w:themeFill="background1"/>
          </w:tcPr>
          <w:p w14:paraId="0AF9C74F"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9.25</w:t>
            </w:r>
            <w:r>
              <w:rPr>
                <w:rFonts w:ascii="Garamond" w:hAnsi="Garamond"/>
                <w:sz w:val="20"/>
                <w:szCs w:val="20"/>
              </w:rPr>
              <w:t>%</w:t>
            </w:r>
          </w:p>
        </w:tc>
        <w:tc>
          <w:tcPr>
            <w:tcW w:w="657" w:type="pct"/>
            <w:tcBorders>
              <w:bottom w:val="single" w:sz="4" w:space="0" w:color="auto"/>
            </w:tcBorders>
            <w:shd w:val="clear" w:color="auto" w:fill="FFFFFF" w:themeFill="background1"/>
          </w:tcPr>
          <w:p w14:paraId="2B5FDB19"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28.33</w:t>
            </w:r>
            <w:r>
              <w:rPr>
                <w:rFonts w:ascii="Garamond" w:hAnsi="Garamond"/>
                <w:sz w:val="20"/>
                <w:szCs w:val="20"/>
              </w:rPr>
              <w:t>%</w:t>
            </w:r>
          </w:p>
        </w:tc>
        <w:tc>
          <w:tcPr>
            <w:tcW w:w="624" w:type="pct"/>
            <w:tcBorders>
              <w:bottom w:val="single" w:sz="4" w:space="0" w:color="auto"/>
            </w:tcBorders>
            <w:shd w:val="clear" w:color="auto" w:fill="FFFFFF" w:themeFill="background1"/>
          </w:tcPr>
          <w:p w14:paraId="176506CE"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27.65</w:t>
            </w:r>
            <w:r>
              <w:rPr>
                <w:rFonts w:ascii="Garamond" w:hAnsi="Garamond"/>
                <w:sz w:val="20"/>
                <w:szCs w:val="20"/>
              </w:rPr>
              <w:t>%</w:t>
            </w:r>
          </w:p>
        </w:tc>
        <w:tc>
          <w:tcPr>
            <w:tcW w:w="627" w:type="pct"/>
            <w:tcBorders>
              <w:bottom w:val="single" w:sz="4" w:space="0" w:color="auto"/>
            </w:tcBorders>
            <w:shd w:val="clear" w:color="auto" w:fill="FFFFFF" w:themeFill="background1"/>
          </w:tcPr>
          <w:p w14:paraId="19C2D392"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31.51</w:t>
            </w:r>
            <w:r>
              <w:rPr>
                <w:rFonts w:ascii="Garamond" w:hAnsi="Garamond"/>
                <w:sz w:val="20"/>
                <w:szCs w:val="20"/>
              </w:rPr>
              <w:t>%</w:t>
            </w:r>
          </w:p>
        </w:tc>
        <w:tc>
          <w:tcPr>
            <w:tcW w:w="630" w:type="pct"/>
            <w:tcBorders>
              <w:bottom w:val="single" w:sz="4" w:space="0" w:color="auto"/>
            </w:tcBorders>
            <w:shd w:val="clear" w:color="auto" w:fill="FFFFFF" w:themeFill="background1"/>
          </w:tcPr>
          <w:p w14:paraId="623B4D7F"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0.44</w:t>
            </w:r>
            <w:r>
              <w:rPr>
                <w:rFonts w:ascii="Garamond" w:hAnsi="Garamond"/>
                <w:sz w:val="20"/>
                <w:szCs w:val="20"/>
              </w:rPr>
              <w:t>%</w:t>
            </w:r>
          </w:p>
        </w:tc>
        <w:tc>
          <w:tcPr>
            <w:tcW w:w="583" w:type="pct"/>
            <w:tcBorders>
              <w:bottom w:val="single" w:sz="4" w:space="0" w:color="auto"/>
              <w:right w:val="single" w:sz="4" w:space="0" w:color="auto"/>
            </w:tcBorders>
            <w:shd w:val="clear" w:color="auto" w:fill="FFFFFF" w:themeFill="background1"/>
          </w:tcPr>
          <w:p w14:paraId="1818E997"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2.82</w:t>
            </w:r>
            <w:r>
              <w:rPr>
                <w:rFonts w:ascii="Garamond" w:hAnsi="Garamond"/>
                <w:sz w:val="20"/>
                <w:szCs w:val="20"/>
              </w:rPr>
              <w:t>%</w:t>
            </w:r>
          </w:p>
        </w:tc>
        <w:tc>
          <w:tcPr>
            <w:tcW w:w="674" w:type="pct"/>
            <w:tcBorders>
              <w:left w:val="single" w:sz="4" w:space="0" w:color="auto"/>
              <w:bottom w:val="single" w:sz="4" w:space="0" w:color="auto"/>
              <w:right w:val="single" w:sz="4" w:space="0" w:color="auto"/>
            </w:tcBorders>
            <w:shd w:val="clear" w:color="auto" w:fill="FFFFFF" w:themeFill="background1"/>
          </w:tcPr>
          <w:p w14:paraId="0EC60147" w14:textId="77777777" w:rsidR="006A76FD" w:rsidRPr="000A40C3"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0A40C3">
              <w:rPr>
                <w:rFonts w:ascii="Garamond" w:hAnsi="Garamond"/>
                <w:sz w:val="20"/>
                <w:szCs w:val="20"/>
              </w:rPr>
              <w:t>100.00</w:t>
            </w:r>
            <w:r>
              <w:rPr>
                <w:rFonts w:ascii="Garamond" w:hAnsi="Garamond"/>
                <w:sz w:val="20"/>
                <w:szCs w:val="20"/>
              </w:rPr>
              <w:t>%</w:t>
            </w:r>
          </w:p>
        </w:tc>
      </w:tr>
    </w:tbl>
    <w:p w14:paraId="70EBEA05" w14:textId="77777777" w:rsidR="006A76FD" w:rsidRDefault="006A76FD" w:rsidP="006A76FD">
      <w:pPr>
        <w:rPr>
          <w:rFonts w:ascii="Garamond" w:hAnsi="Garamond"/>
          <w:b/>
          <w:bCs/>
          <w:sz w:val="20"/>
          <w:szCs w:val="20"/>
          <w:lang w:val="en-US"/>
        </w:rPr>
      </w:pPr>
    </w:p>
    <w:p w14:paraId="257DB7C1" w14:textId="77777777" w:rsidR="006A76FD" w:rsidRPr="00D3100C" w:rsidRDefault="00D3100C" w:rsidP="00D3100C">
      <w:pPr>
        <w:pStyle w:val="Caption"/>
        <w:rPr>
          <w:color w:val="auto"/>
        </w:rPr>
      </w:pPr>
      <w:r w:rsidRPr="00D3100C">
        <w:rPr>
          <w:color w:val="auto"/>
        </w:rPr>
        <w:t xml:space="preserve">Appendix </w:t>
      </w:r>
      <w:r w:rsidRPr="00D3100C">
        <w:rPr>
          <w:color w:val="auto"/>
        </w:rPr>
        <w:fldChar w:fldCharType="begin"/>
      </w:r>
      <w:r w:rsidRPr="00D3100C">
        <w:rPr>
          <w:color w:val="auto"/>
        </w:rPr>
        <w:instrText xml:space="preserve"> SEQ Appendix \* ARABIC </w:instrText>
      </w:r>
      <w:r w:rsidRPr="00D3100C">
        <w:rPr>
          <w:color w:val="auto"/>
        </w:rPr>
        <w:fldChar w:fldCharType="separate"/>
      </w:r>
      <w:r>
        <w:rPr>
          <w:noProof/>
          <w:color w:val="auto"/>
        </w:rPr>
        <w:t>3</w:t>
      </w:r>
      <w:r w:rsidRPr="00D3100C">
        <w:rPr>
          <w:color w:val="auto"/>
        </w:rPr>
        <w:fldChar w:fldCharType="end"/>
      </w:r>
      <w:r w:rsidRPr="00D3100C">
        <w:rPr>
          <w:color w:val="auto"/>
        </w:rPr>
        <w:t xml:space="preserve">: </w:t>
      </w:r>
      <w:r w:rsidR="006A76FD" w:rsidRPr="00D3100C">
        <w:rPr>
          <w:color w:val="auto"/>
        </w:rPr>
        <w:t>Tabulation financial and social performance by legal traditions</w:t>
      </w:r>
    </w:p>
    <w:tbl>
      <w:tblPr>
        <w:tblStyle w:val="PlainTable5"/>
        <w:tblW w:w="5000" w:type="pct"/>
        <w:shd w:val="clear" w:color="auto" w:fill="FFFFFF" w:themeFill="background1"/>
        <w:tblLook w:val="04A0" w:firstRow="1" w:lastRow="0" w:firstColumn="1" w:lastColumn="0" w:noHBand="0" w:noVBand="1"/>
      </w:tblPr>
      <w:tblGrid>
        <w:gridCol w:w="1804"/>
        <w:gridCol w:w="1803"/>
        <w:gridCol w:w="1803"/>
        <w:gridCol w:w="1803"/>
        <w:gridCol w:w="1803"/>
      </w:tblGrid>
      <w:tr w:rsidR="006A76FD" w:rsidRPr="00E5286E" w14:paraId="6C502546" w14:textId="77777777" w:rsidTr="00DA5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0" w:type="pct"/>
            <w:tcBorders>
              <w:top w:val="single" w:sz="4" w:space="0" w:color="auto"/>
              <w:left w:val="single" w:sz="4" w:space="0" w:color="auto"/>
            </w:tcBorders>
          </w:tcPr>
          <w:p w14:paraId="62FF3D5B" w14:textId="77777777" w:rsidR="006A76FD" w:rsidRPr="00E5286E" w:rsidRDefault="006A76FD" w:rsidP="00DA5EDB">
            <w:pPr>
              <w:rPr>
                <w:rFonts w:ascii="Garamond" w:hAnsi="Garamond"/>
                <w:sz w:val="20"/>
                <w:szCs w:val="20"/>
              </w:rPr>
            </w:pPr>
            <w:r w:rsidRPr="00E5286E">
              <w:rPr>
                <w:rFonts w:ascii="Garamond" w:hAnsi="Garamond"/>
                <w:sz w:val="20"/>
                <w:szCs w:val="20"/>
              </w:rPr>
              <w:t>Legal tradition</w:t>
            </w:r>
          </w:p>
        </w:tc>
        <w:tc>
          <w:tcPr>
            <w:tcW w:w="1000" w:type="pct"/>
            <w:tcBorders>
              <w:top w:val="single" w:sz="4" w:space="0" w:color="auto"/>
            </w:tcBorders>
          </w:tcPr>
          <w:p w14:paraId="74E1A884" w14:textId="77777777" w:rsidR="006A76FD" w:rsidRPr="00E5286E"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Civil Law        </w:t>
            </w:r>
          </w:p>
        </w:tc>
        <w:tc>
          <w:tcPr>
            <w:tcW w:w="1000" w:type="pct"/>
            <w:tcBorders>
              <w:top w:val="single" w:sz="4" w:space="0" w:color="auto"/>
            </w:tcBorders>
          </w:tcPr>
          <w:p w14:paraId="100AD5B4" w14:textId="77777777" w:rsidR="006A76FD" w:rsidRPr="00E5286E"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Common</w:t>
            </w:r>
            <w:r>
              <w:rPr>
                <w:rFonts w:ascii="Garamond" w:hAnsi="Garamond"/>
                <w:sz w:val="20"/>
                <w:szCs w:val="20"/>
              </w:rPr>
              <w:t>-</w:t>
            </w:r>
            <w:r w:rsidRPr="00E5286E">
              <w:rPr>
                <w:rFonts w:ascii="Garamond" w:hAnsi="Garamond"/>
                <w:sz w:val="20"/>
                <w:szCs w:val="20"/>
              </w:rPr>
              <w:t>Law</w:t>
            </w:r>
          </w:p>
        </w:tc>
        <w:tc>
          <w:tcPr>
            <w:tcW w:w="1000" w:type="pct"/>
            <w:tcBorders>
              <w:top w:val="single" w:sz="4" w:space="0" w:color="auto"/>
              <w:right w:val="single" w:sz="4" w:space="0" w:color="auto"/>
            </w:tcBorders>
          </w:tcPr>
          <w:p w14:paraId="0AB516B6" w14:textId="77777777" w:rsidR="006A76FD" w:rsidRPr="00E5286E"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Others</w:t>
            </w:r>
          </w:p>
        </w:tc>
        <w:tc>
          <w:tcPr>
            <w:tcW w:w="1000" w:type="pct"/>
            <w:tcBorders>
              <w:top w:val="single" w:sz="4" w:space="0" w:color="auto"/>
              <w:left w:val="single" w:sz="4" w:space="0" w:color="auto"/>
              <w:right w:val="single" w:sz="4" w:space="0" w:color="auto"/>
            </w:tcBorders>
          </w:tcPr>
          <w:p w14:paraId="6035000F" w14:textId="77777777" w:rsidR="006A76FD" w:rsidRPr="00E5286E"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Total</w:t>
            </w:r>
          </w:p>
        </w:tc>
      </w:tr>
      <w:tr w:rsidR="006A76FD" w:rsidRPr="00E5286E" w14:paraId="69DD67EC"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59B2E8DC" w14:textId="77777777" w:rsidR="006A76FD" w:rsidRPr="00E5286E" w:rsidRDefault="006A76FD" w:rsidP="00DA5EDB">
            <w:pPr>
              <w:rPr>
                <w:rFonts w:ascii="Garamond" w:hAnsi="Garamond"/>
                <w:sz w:val="20"/>
                <w:szCs w:val="20"/>
              </w:rPr>
            </w:pPr>
            <w:r w:rsidRPr="00E5286E">
              <w:rPr>
                <w:rFonts w:ascii="Garamond" w:hAnsi="Garamond"/>
                <w:sz w:val="20"/>
                <w:szCs w:val="20"/>
              </w:rPr>
              <w:t>Finsoc1</w:t>
            </w:r>
          </w:p>
        </w:tc>
        <w:tc>
          <w:tcPr>
            <w:tcW w:w="1000" w:type="pct"/>
            <w:shd w:val="clear" w:color="auto" w:fill="FFFFFF" w:themeFill="background1"/>
          </w:tcPr>
          <w:p w14:paraId="3F9C38A2"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shd w:val="clear" w:color="auto" w:fill="FFFFFF" w:themeFill="background1"/>
          </w:tcPr>
          <w:p w14:paraId="67356A3A"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tcBorders>
              <w:right w:val="single" w:sz="4" w:space="0" w:color="auto"/>
            </w:tcBorders>
            <w:shd w:val="clear" w:color="auto" w:fill="FFFFFF" w:themeFill="background1"/>
          </w:tcPr>
          <w:p w14:paraId="073928F0"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tcBorders>
              <w:left w:val="single" w:sz="4" w:space="0" w:color="auto"/>
              <w:right w:val="single" w:sz="4" w:space="0" w:color="auto"/>
            </w:tcBorders>
            <w:shd w:val="clear" w:color="auto" w:fill="FFFFFF" w:themeFill="background1"/>
          </w:tcPr>
          <w:p w14:paraId="36E427F3"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E5286E" w14:paraId="6AD5839F" w14:textId="77777777" w:rsidTr="00DA5EDB">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6DE8AFFC" w14:textId="77777777" w:rsidR="006A76FD" w:rsidRPr="00E5286E" w:rsidRDefault="006A76FD" w:rsidP="00DA5EDB">
            <w:pPr>
              <w:rPr>
                <w:rFonts w:ascii="Garamond" w:hAnsi="Garamond"/>
                <w:sz w:val="20"/>
                <w:szCs w:val="20"/>
              </w:rPr>
            </w:pPr>
            <w:r w:rsidRPr="00E5286E">
              <w:rPr>
                <w:rFonts w:ascii="Garamond" w:hAnsi="Garamond"/>
                <w:sz w:val="20"/>
                <w:szCs w:val="20"/>
              </w:rPr>
              <w:t>ff</w:t>
            </w:r>
          </w:p>
        </w:tc>
        <w:tc>
          <w:tcPr>
            <w:tcW w:w="1000" w:type="pct"/>
            <w:shd w:val="clear" w:color="auto" w:fill="FFFFFF" w:themeFill="background1"/>
          </w:tcPr>
          <w:p w14:paraId="12B43BEE"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380              </w:t>
            </w:r>
          </w:p>
        </w:tc>
        <w:tc>
          <w:tcPr>
            <w:tcW w:w="1000" w:type="pct"/>
            <w:shd w:val="clear" w:color="auto" w:fill="FFFFFF" w:themeFill="background1"/>
          </w:tcPr>
          <w:p w14:paraId="276BC3CC"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128  </w:t>
            </w:r>
          </w:p>
        </w:tc>
        <w:tc>
          <w:tcPr>
            <w:tcW w:w="1000" w:type="pct"/>
            <w:tcBorders>
              <w:right w:val="single" w:sz="4" w:space="0" w:color="auto"/>
            </w:tcBorders>
            <w:shd w:val="clear" w:color="auto" w:fill="FFFFFF" w:themeFill="background1"/>
          </w:tcPr>
          <w:p w14:paraId="6C4334A2"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141</w:t>
            </w:r>
          </w:p>
        </w:tc>
        <w:tc>
          <w:tcPr>
            <w:tcW w:w="1000" w:type="pct"/>
            <w:tcBorders>
              <w:left w:val="single" w:sz="4" w:space="0" w:color="auto"/>
              <w:right w:val="single" w:sz="4" w:space="0" w:color="auto"/>
            </w:tcBorders>
            <w:shd w:val="clear" w:color="auto" w:fill="FFFFFF" w:themeFill="background1"/>
          </w:tcPr>
          <w:p w14:paraId="69472EA6"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649 </w:t>
            </w:r>
          </w:p>
        </w:tc>
      </w:tr>
      <w:tr w:rsidR="006A76FD" w:rsidRPr="00E5286E" w14:paraId="5356E2C1"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1C276B7E" w14:textId="77777777" w:rsidR="006A76FD" w:rsidRPr="00E5286E" w:rsidRDefault="006A76FD" w:rsidP="00DA5EDB">
            <w:pPr>
              <w:rPr>
                <w:rFonts w:ascii="Garamond" w:hAnsi="Garamond"/>
                <w:sz w:val="20"/>
                <w:szCs w:val="20"/>
              </w:rPr>
            </w:pPr>
          </w:p>
        </w:tc>
        <w:tc>
          <w:tcPr>
            <w:tcW w:w="1000" w:type="pct"/>
            <w:shd w:val="clear" w:color="auto" w:fill="FFFFFF" w:themeFill="background1"/>
          </w:tcPr>
          <w:p w14:paraId="2F5376A6"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58.55</w:t>
            </w:r>
            <w:r>
              <w:rPr>
                <w:rFonts w:ascii="Garamond" w:hAnsi="Garamond"/>
                <w:sz w:val="20"/>
                <w:szCs w:val="20"/>
              </w:rPr>
              <w:t>%</w:t>
            </w:r>
            <w:r w:rsidRPr="00E5286E">
              <w:rPr>
                <w:rFonts w:ascii="Garamond" w:hAnsi="Garamond"/>
                <w:sz w:val="20"/>
                <w:szCs w:val="20"/>
              </w:rPr>
              <w:t xml:space="preserve">      </w:t>
            </w:r>
          </w:p>
        </w:tc>
        <w:tc>
          <w:tcPr>
            <w:tcW w:w="1000" w:type="pct"/>
            <w:shd w:val="clear" w:color="auto" w:fill="FFFFFF" w:themeFill="background1"/>
          </w:tcPr>
          <w:p w14:paraId="2FFB88C9"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19.72</w:t>
            </w:r>
            <w:r>
              <w:rPr>
                <w:rFonts w:ascii="Garamond" w:hAnsi="Garamond"/>
                <w:sz w:val="20"/>
                <w:szCs w:val="20"/>
              </w:rPr>
              <w:t>%</w:t>
            </w:r>
            <w:r w:rsidRPr="00E5286E">
              <w:rPr>
                <w:rFonts w:ascii="Garamond" w:hAnsi="Garamond"/>
                <w:sz w:val="20"/>
                <w:szCs w:val="20"/>
              </w:rPr>
              <w:t xml:space="preserve">      </w:t>
            </w:r>
          </w:p>
        </w:tc>
        <w:tc>
          <w:tcPr>
            <w:tcW w:w="1000" w:type="pct"/>
            <w:tcBorders>
              <w:right w:val="single" w:sz="4" w:space="0" w:color="auto"/>
            </w:tcBorders>
            <w:shd w:val="clear" w:color="auto" w:fill="FFFFFF" w:themeFill="background1"/>
          </w:tcPr>
          <w:p w14:paraId="5FBB4FA0"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21.73</w:t>
            </w:r>
            <w:r>
              <w:rPr>
                <w:rFonts w:ascii="Garamond" w:hAnsi="Garamond"/>
                <w:sz w:val="20"/>
                <w:szCs w:val="20"/>
              </w:rPr>
              <w:t>%</w:t>
            </w:r>
          </w:p>
        </w:tc>
        <w:tc>
          <w:tcPr>
            <w:tcW w:w="1000" w:type="pct"/>
            <w:tcBorders>
              <w:left w:val="single" w:sz="4" w:space="0" w:color="auto"/>
              <w:right w:val="single" w:sz="4" w:space="0" w:color="auto"/>
            </w:tcBorders>
            <w:shd w:val="clear" w:color="auto" w:fill="FFFFFF" w:themeFill="background1"/>
          </w:tcPr>
          <w:p w14:paraId="2FEA8757"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100.00</w:t>
            </w:r>
            <w:r>
              <w:rPr>
                <w:rFonts w:ascii="Garamond" w:hAnsi="Garamond"/>
                <w:sz w:val="20"/>
                <w:szCs w:val="20"/>
              </w:rPr>
              <w:t>%</w:t>
            </w:r>
            <w:r w:rsidRPr="00E5286E">
              <w:rPr>
                <w:rFonts w:ascii="Garamond" w:hAnsi="Garamond"/>
                <w:sz w:val="20"/>
                <w:szCs w:val="20"/>
              </w:rPr>
              <w:t xml:space="preserve"> </w:t>
            </w:r>
          </w:p>
        </w:tc>
      </w:tr>
      <w:tr w:rsidR="006A76FD" w:rsidRPr="00E5286E" w14:paraId="29A1D949" w14:textId="77777777" w:rsidTr="00DA5EDB">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4745F143" w14:textId="77777777" w:rsidR="006A76FD" w:rsidRPr="00E5286E" w:rsidRDefault="006A76FD" w:rsidP="00DA5EDB">
            <w:pPr>
              <w:rPr>
                <w:rFonts w:ascii="Garamond" w:hAnsi="Garamond"/>
                <w:sz w:val="20"/>
                <w:szCs w:val="20"/>
              </w:rPr>
            </w:pPr>
          </w:p>
        </w:tc>
        <w:tc>
          <w:tcPr>
            <w:tcW w:w="1000" w:type="pct"/>
            <w:shd w:val="clear" w:color="auto" w:fill="FFFFFF" w:themeFill="background1"/>
          </w:tcPr>
          <w:p w14:paraId="61456770"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000" w:type="pct"/>
            <w:shd w:val="clear" w:color="auto" w:fill="FFFFFF" w:themeFill="background1"/>
          </w:tcPr>
          <w:p w14:paraId="3E9E1432"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000" w:type="pct"/>
            <w:tcBorders>
              <w:right w:val="single" w:sz="4" w:space="0" w:color="auto"/>
            </w:tcBorders>
            <w:shd w:val="clear" w:color="auto" w:fill="FFFFFF" w:themeFill="background1"/>
          </w:tcPr>
          <w:p w14:paraId="51799A34"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000" w:type="pct"/>
            <w:tcBorders>
              <w:left w:val="single" w:sz="4" w:space="0" w:color="auto"/>
              <w:right w:val="single" w:sz="4" w:space="0" w:color="auto"/>
            </w:tcBorders>
            <w:shd w:val="clear" w:color="auto" w:fill="FFFFFF" w:themeFill="background1"/>
          </w:tcPr>
          <w:p w14:paraId="411DA724"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r>
      <w:tr w:rsidR="006A76FD" w:rsidRPr="00E5286E" w14:paraId="59CA2DE7"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41198AC1" w14:textId="77777777" w:rsidR="006A76FD" w:rsidRPr="00E5286E" w:rsidRDefault="006A76FD" w:rsidP="00DA5EDB">
            <w:pPr>
              <w:rPr>
                <w:rFonts w:ascii="Garamond" w:hAnsi="Garamond"/>
                <w:sz w:val="20"/>
                <w:szCs w:val="20"/>
              </w:rPr>
            </w:pPr>
            <w:r w:rsidRPr="00E5286E">
              <w:rPr>
                <w:rFonts w:ascii="Garamond" w:hAnsi="Garamond"/>
                <w:sz w:val="20"/>
                <w:szCs w:val="20"/>
              </w:rPr>
              <w:t>fs</w:t>
            </w:r>
          </w:p>
        </w:tc>
        <w:tc>
          <w:tcPr>
            <w:tcW w:w="1000" w:type="pct"/>
            <w:shd w:val="clear" w:color="auto" w:fill="FFFFFF" w:themeFill="background1"/>
          </w:tcPr>
          <w:p w14:paraId="0BECE1A9"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423              </w:t>
            </w:r>
          </w:p>
        </w:tc>
        <w:tc>
          <w:tcPr>
            <w:tcW w:w="1000" w:type="pct"/>
            <w:shd w:val="clear" w:color="auto" w:fill="FFFFFF" w:themeFill="background1"/>
          </w:tcPr>
          <w:p w14:paraId="1999D82E"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483  </w:t>
            </w:r>
          </w:p>
        </w:tc>
        <w:tc>
          <w:tcPr>
            <w:tcW w:w="1000" w:type="pct"/>
            <w:tcBorders>
              <w:right w:val="single" w:sz="4" w:space="0" w:color="auto"/>
            </w:tcBorders>
            <w:shd w:val="clear" w:color="auto" w:fill="FFFFFF" w:themeFill="background1"/>
          </w:tcPr>
          <w:p w14:paraId="3E0710A3"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192</w:t>
            </w:r>
          </w:p>
        </w:tc>
        <w:tc>
          <w:tcPr>
            <w:tcW w:w="1000" w:type="pct"/>
            <w:tcBorders>
              <w:left w:val="single" w:sz="4" w:space="0" w:color="auto"/>
              <w:right w:val="single" w:sz="4" w:space="0" w:color="auto"/>
            </w:tcBorders>
            <w:shd w:val="clear" w:color="auto" w:fill="FFFFFF" w:themeFill="background1"/>
          </w:tcPr>
          <w:p w14:paraId="30161256"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1,098 </w:t>
            </w:r>
          </w:p>
        </w:tc>
      </w:tr>
      <w:tr w:rsidR="006A76FD" w:rsidRPr="00E5286E" w14:paraId="6901D566" w14:textId="77777777" w:rsidTr="00DA5EDB">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3C4FEDC1" w14:textId="77777777" w:rsidR="006A76FD" w:rsidRPr="00E5286E" w:rsidRDefault="006A76FD" w:rsidP="00DA5EDB">
            <w:pPr>
              <w:rPr>
                <w:rFonts w:ascii="Garamond" w:hAnsi="Garamond"/>
                <w:sz w:val="20"/>
                <w:szCs w:val="20"/>
              </w:rPr>
            </w:pPr>
          </w:p>
        </w:tc>
        <w:tc>
          <w:tcPr>
            <w:tcW w:w="1000" w:type="pct"/>
            <w:shd w:val="clear" w:color="auto" w:fill="FFFFFF" w:themeFill="background1"/>
          </w:tcPr>
          <w:p w14:paraId="6160E219"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38.52</w:t>
            </w:r>
            <w:r>
              <w:rPr>
                <w:rFonts w:ascii="Garamond" w:hAnsi="Garamond"/>
                <w:sz w:val="20"/>
                <w:szCs w:val="20"/>
              </w:rPr>
              <w:t>%</w:t>
            </w:r>
            <w:r w:rsidRPr="00E5286E">
              <w:rPr>
                <w:rFonts w:ascii="Garamond" w:hAnsi="Garamond"/>
                <w:sz w:val="20"/>
                <w:szCs w:val="20"/>
              </w:rPr>
              <w:t xml:space="preserve">      </w:t>
            </w:r>
          </w:p>
        </w:tc>
        <w:tc>
          <w:tcPr>
            <w:tcW w:w="1000" w:type="pct"/>
            <w:shd w:val="clear" w:color="auto" w:fill="FFFFFF" w:themeFill="background1"/>
          </w:tcPr>
          <w:p w14:paraId="5CCEC2E1"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43.99</w:t>
            </w:r>
            <w:r>
              <w:rPr>
                <w:rFonts w:ascii="Garamond" w:hAnsi="Garamond"/>
                <w:sz w:val="20"/>
                <w:szCs w:val="20"/>
              </w:rPr>
              <w:t>%</w:t>
            </w:r>
            <w:r w:rsidRPr="00E5286E">
              <w:rPr>
                <w:rFonts w:ascii="Garamond" w:hAnsi="Garamond"/>
                <w:sz w:val="20"/>
                <w:szCs w:val="20"/>
              </w:rPr>
              <w:t xml:space="preserve">      </w:t>
            </w:r>
          </w:p>
        </w:tc>
        <w:tc>
          <w:tcPr>
            <w:tcW w:w="1000" w:type="pct"/>
            <w:tcBorders>
              <w:right w:val="single" w:sz="4" w:space="0" w:color="auto"/>
            </w:tcBorders>
            <w:shd w:val="clear" w:color="auto" w:fill="FFFFFF" w:themeFill="background1"/>
          </w:tcPr>
          <w:p w14:paraId="03171DDD"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17.49</w:t>
            </w:r>
            <w:r>
              <w:rPr>
                <w:rFonts w:ascii="Garamond" w:hAnsi="Garamond"/>
                <w:sz w:val="20"/>
                <w:szCs w:val="20"/>
              </w:rPr>
              <w:t>%</w:t>
            </w:r>
          </w:p>
        </w:tc>
        <w:tc>
          <w:tcPr>
            <w:tcW w:w="1000" w:type="pct"/>
            <w:tcBorders>
              <w:left w:val="single" w:sz="4" w:space="0" w:color="auto"/>
              <w:right w:val="single" w:sz="4" w:space="0" w:color="auto"/>
            </w:tcBorders>
            <w:shd w:val="clear" w:color="auto" w:fill="FFFFFF" w:themeFill="background1"/>
          </w:tcPr>
          <w:p w14:paraId="28E15EE2"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100.00</w:t>
            </w:r>
            <w:r>
              <w:rPr>
                <w:rFonts w:ascii="Garamond" w:hAnsi="Garamond"/>
                <w:sz w:val="20"/>
                <w:szCs w:val="20"/>
              </w:rPr>
              <w:t>%</w:t>
            </w:r>
            <w:r w:rsidRPr="00E5286E">
              <w:rPr>
                <w:rFonts w:ascii="Garamond" w:hAnsi="Garamond"/>
                <w:sz w:val="20"/>
                <w:szCs w:val="20"/>
              </w:rPr>
              <w:t xml:space="preserve"> </w:t>
            </w:r>
          </w:p>
        </w:tc>
      </w:tr>
      <w:tr w:rsidR="006A76FD" w:rsidRPr="00E5286E" w14:paraId="4EEF2F73"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06649DF9" w14:textId="77777777" w:rsidR="006A76FD" w:rsidRPr="00E5286E" w:rsidRDefault="006A76FD" w:rsidP="00DA5EDB">
            <w:pPr>
              <w:rPr>
                <w:rFonts w:ascii="Garamond" w:hAnsi="Garamond"/>
                <w:sz w:val="20"/>
                <w:szCs w:val="20"/>
              </w:rPr>
            </w:pPr>
          </w:p>
        </w:tc>
        <w:tc>
          <w:tcPr>
            <w:tcW w:w="1000" w:type="pct"/>
            <w:shd w:val="clear" w:color="auto" w:fill="FFFFFF" w:themeFill="background1"/>
          </w:tcPr>
          <w:p w14:paraId="5D0D0CDB"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shd w:val="clear" w:color="auto" w:fill="FFFFFF" w:themeFill="background1"/>
          </w:tcPr>
          <w:p w14:paraId="58B31EA0"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tcBorders>
              <w:right w:val="single" w:sz="4" w:space="0" w:color="auto"/>
            </w:tcBorders>
            <w:shd w:val="clear" w:color="auto" w:fill="FFFFFF" w:themeFill="background1"/>
          </w:tcPr>
          <w:p w14:paraId="6AAABDA2"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tcBorders>
              <w:left w:val="single" w:sz="4" w:space="0" w:color="auto"/>
              <w:right w:val="single" w:sz="4" w:space="0" w:color="auto"/>
            </w:tcBorders>
            <w:shd w:val="clear" w:color="auto" w:fill="FFFFFF" w:themeFill="background1"/>
          </w:tcPr>
          <w:p w14:paraId="3339E411"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E5286E" w14:paraId="49FEDC99" w14:textId="77777777" w:rsidTr="00DA5EDB">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48FC2F5C" w14:textId="77777777" w:rsidR="006A76FD" w:rsidRPr="00E5286E" w:rsidRDefault="006A76FD" w:rsidP="00DA5EDB">
            <w:pPr>
              <w:rPr>
                <w:rFonts w:ascii="Garamond" w:hAnsi="Garamond"/>
                <w:sz w:val="20"/>
                <w:szCs w:val="20"/>
              </w:rPr>
            </w:pPr>
            <w:r w:rsidRPr="00E5286E">
              <w:rPr>
                <w:rFonts w:ascii="Garamond" w:hAnsi="Garamond"/>
                <w:sz w:val="20"/>
                <w:szCs w:val="20"/>
              </w:rPr>
              <w:t>sf</w:t>
            </w:r>
          </w:p>
        </w:tc>
        <w:tc>
          <w:tcPr>
            <w:tcW w:w="1000" w:type="pct"/>
            <w:shd w:val="clear" w:color="auto" w:fill="FFFFFF" w:themeFill="background1"/>
          </w:tcPr>
          <w:p w14:paraId="0DB1BB6F"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418                </w:t>
            </w:r>
          </w:p>
        </w:tc>
        <w:tc>
          <w:tcPr>
            <w:tcW w:w="1000" w:type="pct"/>
            <w:shd w:val="clear" w:color="auto" w:fill="FFFFFF" w:themeFill="background1"/>
          </w:tcPr>
          <w:p w14:paraId="76705116"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301</w:t>
            </w:r>
          </w:p>
        </w:tc>
        <w:tc>
          <w:tcPr>
            <w:tcW w:w="1000" w:type="pct"/>
            <w:tcBorders>
              <w:right w:val="single" w:sz="4" w:space="0" w:color="auto"/>
            </w:tcBorders>
            <w:shd w:val="clear" w:color="auto" w:fill="FFFFFF" w:themeFill="background1"/>
          </w:tcPr>
          <w:p w14:paraId="4DE3A8EF"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239</w:t>
            </w:r>
          </w:p>
        </w:tc>
        <w:tc>
          <w:tcPr>
            <w:tcW w:w="1000" w:type="pct"/>
            <w:tcBorders>
              <w:left w:val="single" w:sz="4" w:space="0" w:color="auto"/>
              <w:right w:val="single" w:sz="4" w:space="0" w:color="auto"/>
            </w:tcBorders>
            <w:shd w:val="clear" w:color="auto" w:fill="FFFFFF" w:themeFill="background1"/>
          </w:tcPr>
          <w:p w14:paraId="31D4C10D"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958 </w:t>
            </w:r>
          </w:p>
        </w:tc>
      </w:tr>
      <w:tr w:rsidR="006A76FD" w:rsidRPr="00E5286E" w14:paraId="6E4CBC53"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5161C15B" w14:textId="77777777" w:rsidR="006A76FD" w:rsidRPr="00E5286E" w:rsidRDefault="006A76FD" w:rsidP="00DA5EDB">
            <w:pPr>
              <w:rPr>
                <w:rFonts w:ascii="Garamond" w:hAnsi="Garamond"/>
                <w:sz w:val="20"/>
                <w:szCs w:val="20"/>
              </w:rPr>
            </w:pPr>
          </w:p>
        </w:tc>
        <w:tc>
          <w:tcPr>
            <w:tcW w:w="1000" w:type="pct"/>
            <w:shd w:val="clear" w:color="auto" w:fill="FFFFFF" w:themeFill="background1"/>
          </w:tcPr>
          <w:p w14:paraId="2E43AFDA"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43.63</w:t>
            </w:r>
            <w:r>
              <w:rPr>
                <w:rFonts w:ascii="Garamond" w:hAnsi="Garamond"/>
                <w:sz w:val="20"/>
                <w:szCs w:val="20"/>
              </w:rPr>
              <w:t>%</w:t>
            </w:r>
            <w:r w:rsidRPr="00E5286E">
              <w:rPr>
                <w:rFonts w:ascii="Garamond" w:hAnsi="Garamond"/>
                <w:sz w:val="20"/>
                <w:szCs w:val="20"/>
              </w:rPr>
              <w:t xml:space="preserve">          </w:t>
            </w:r>
          </w:p>
        </w:tc>
        <w:tc>
          <w:tcPr>
            <w:tcW w:w="1000" w:type="pct"/>
            <w:shd w:val="clear" w:color="auto" w:fill="FFFFFF" w:themeFill="background1"/>
          </w:tcPr>
          <w:p w14:paraId="75BE1855"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31.42</w:t>
            </w:r>
            <w:r>
              <w:rPr>
                <w:rFonts w:ascii="Garamond" w:hAnsi="Garamond"/>
                <w:sz w:val="20"/>
                <w:szCs w:val="20"/>
              </w:rPr>
              <w:t>%</w:t>
            </w:r>
            <w:r w:rsidRPr="00E5286E">
              <w:rPr>
                <w:rFonts w:ascii="Garamond" w:hAnsi="Garamond"/>
                <w:sz w:val="20"/>
                <w:szCs w:val="20"/>
              </w:rPr>
              <w:t xml:space="preserve">  </w:t>
            </w:r>
          </w:p>
        </w:tc>
        <w:tc>
          <w:tcPr>
            <w:tcW w:w="1000" w:type="pct"/>
            <w:tcBorders>
              <w:right w:val="single" w:sz="4" w:space="0" w:color="auto"/>
            </w:tcBorders>
            <w:shd w:val="clear" w:color="auto" w:fill="FFFFFF" w:themeFill="background1"/>
          </w:tcPr>
          <w:p w14:paraId="18B8626D"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24.95</w:t>
            </w:r>
            <w:r>
              <w:rPr>
                <w:rFonts w:ascii="Garamond" w:hAnsi="Garamond"/>
                <w:sz w:val="20"/>
                <w:szCs w:val="20"/>
              </w:rPr>
              <w:t>%</w:t>
            </w:r>
          </w:p>
        </w:tc>
        <w:tc>
          <w:tcPr>
            <w:tcW w:w="1000" w:type="pct"/>
            <w:tcBorders>
              <w:left w:val="single" w:sz="4" w:space="0" w:color="auto"/>
              <w:right w:val="single" w:sz="4" w:space="0" w:color="auto"/>
            </w:tcBorders>
            <w:shd w:val="clear" w:color="auto" w:fill="FFFFFF" w:themeFill="background1"/>
          </w:tcPr>
          <w:p w14:paraId="74A4B8A6"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100.00</w:t>
            </w:r>
            <w:r>
              <w:rPr>
                <w:rFonts w:ascii="Garamond" w:hAnsi="Garamond"/>
                <w:sz w:val="20"/>
                <w:szCs w:val="20"/>
              </w:rPr>
              <w:t>%</w:t>
            </w:r>
            <w:r w:rsidRPr="00E5286E">
              <w:rPr>
                <w:rFonts w:ascii="Garamond" w:hAnsi="Garamond"/>
                <w:sz w:val="20"/>
                <w:szCs w:val="20"/>
              </w:rPr>
              <w:t xml:space="preserve"> </w:t>
            </w:r>
          </w:p>
        </w:tc>
      </w:tr>
      <w:tr w:rsidR="006A76FD" w:rsidRPr="00E5286E" w14:paraId="57545200" w14:textId="77777777" w:rsidTr="00DA5EDB">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10E1BE75" w14:textId="77777777" w:rsidR="006A76FD" w:rsidRPr="00E5286E" w:rsidRDefault="006A76FD" w:rsidP="00DA5EDB">
            <w:pPr>
              <w:rPr>
                <w:rFonts w:ascii="Garamond" w:hAnsi="Garamond"/>
                <w:sz w:val="20"/>
                <w:szCs w:val="20"/>
              </w:rPr>
            </w:pPr>
          </w:p>
        </w:tc>
        <w:tc>
          <w:tcPr>
            <w:tcW w:w="1000" w:type="pct"/>
            <w:shd w:val="clear" w:color="auto" w:fill="FFFFFF" w:themeFill="background1"/>
          </w:tcPr>
          <w:p w14:paraId="3F543D2F"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000" w:type="pct"/>
            <w:shd w:val="clear" w:color="auto" w:fill="FFFFFF" w:themeFill="background1"/>
          </w:tcPr>
          <w:p w14:paraId="1DBC1422"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000" w:type="pct"/>
            <w:tcBorders>
              <w:right w:val="single" w:sz="4" w:space="0" w:color="auto"/>
            </w:tcBorders>
            <w:shd w:val="clear" w:color="auto" w:fill="FFFFFF" w:themeFill="background1"/>
          </w:tcPr>
          <w:p w14:paraId="535D30F2"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000" w:type="pct"/>
            <w:tcBorders>
              <w:left w:val="single" w:sz="4" w:space="0" w:color="auto"/>
              <w:right w:val="single" w:sz="4" w:space="0" w:color="auto"/>
            </w:tcBorders>
            <w:shd w:val="clear" w:color="auto" w:fill="FFFFFF" w:themeFill="background1"/>
          </w:tcPr>
          <w:p w14:paraId="392B9087"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r>
      <w:tr w:rsidR="006A76FD" w:rsidRPr="00E5286E" w14:paraId="1E083B44"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58DAA45D" w14:textId="77777777" w:rsidR="006A76FD" w:rsidRPr="00E5286E" w:rsidRDefault="006A76FD" w:rsidP="00DA5EDB">
            <w:pPr>
              <w:rPr>
                <w:rFonts w:ascii="Garamond" w:hAnsi="Garamond"/>
                <w:sz w:val="20"/>
                <w:szCs w:val="20"/>
              </w:rPr>
            </w:pPr>
            <w:r w:rsidRPr="00E5286E">
              <w:rPr>
                <w:rFonts w:ascii="Garamond" w:hAnsi="Garamond"/>
                <w:sz w:val="20"/>
                <w:szCs w:val="20"/>
              </w:rPr>
              <w:t>ss</w:t>
            </w:r>
          </w:p>
        </w:tc>
        <w:tc>
          <w:tcPr>
            <w:tcW w:w="1000" w:type="pct"/>
            <w:shd w:val="clear" w:color="auto" w:fill="FFFFFF" w:themeFill="background1"/>
          </w:tcPr>
          <w:p w14:paraId="56E05FDF"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497               </w:t>
            </w:r>
          </w:p>
        </w:tc>
        <w:tc>
          <w:tcPr>
            <w:tcW w:w="1000" w:type="pct"/>
            <w:shd w:val="clear" w:color="auto" w:fill="FFFFFF" w:themeFill="background1"/>
          </w:tcPr>
          <w:p w14:paraId="78CAD0EA"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610</w:t>
            </w:r>
          </w:p>
        </w:tc>
        <w:tc>
          <w:tcPr>
            <w:tcW w:w="1000" w:type="pct"/>
            <w:tcBorders>
              <w:right w:val="single" w:sz="4" w:space="0" w:color="auto"/>
            </w:tcBorders>
            <w:shd w:val="clear" w:color="auto" w:fill="FFFFFF" w:themeFill="background1"/>
          </w:tcPr>
          <w:p w14:paraId="17BD9839"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307</w:t>
            </w:r>
          </w:p>
        </w:tc>
        <w:tc>
          <w:tcPr>
            <w:tcW w:w="1000" w:type="pct"/>
            <w:tcBorders>
              <w:left w:val="single" w:sz="4" w:space="0" w:color="auto"/>
              <w:right w:val="single" w:sz="4" w:space="0" w:color="auto"/>
            </w:tcBorders>
            <w:shd w:val="clear" w:color="auto" w:fill="FFFFFF" w:themeFill="background1"/>
          </w:tcPr>
          <w:p w14:paraId="5F8575E2"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1,414 </w:t>
            </w:r>
          </w:p>
        </w:tc>
      </w:tr>
      <w:tr w:rsidR="006A76FD" w:rsidRPr="00E5286E" w14:paraId="51A26C62" w14:textId="77777777" w:rsidTr="00DA5EDB">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tcBorders>
          </w:tcPr>
          <w:p w14:paraId="3CD66337" w14:textId="77777777" w:rsidR="006A76FD" w:rsidRPr="00E5286E" w:rsidRDefault="006A76FD" w:rsidP="00DA5EDB">
            <w:pPr>
              <w:rPr>
                <w:rFonts w:ascii="Garamond" w:hAnsi="Garamond"/>
                <w:sz w:val="20"/>
                <w:szCs w:val="20"/>
              </w:rPr>
            </w:pPr>
          </w:p>
        </w:tc>
        <w:tc>
          <w:tcPr>
            <w:tcW w:w="1000" w:type="pct"/>
            <w:shd w:val="clear" w:color="auto" w:fill="FFFFFF" w:themeFill="background1"/>
          </w:tcPr>
          <w:p w14:paraId="07A901B6"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35.15</w:t>
            </w:r>
            <w:r>
              <w:rPr>
                <w:rFonts w:ascii="Garamond" w:hAnsi="Garamond"/>
                <w:sz w:val="20"/>
                <w:szCs w:val="20"/>
              </w:rPr>
              <w:t>%</w:t>
            </w:r>
            <w:r w:rsidRPr="00E5286E">
              <w:rPr>
                <w:rFonts w:ascii="Garamond" w:hAnsi="Garamond"/>
                <w:sz w:val="20"/>
                <w:szCs w:val="20"/>
              </w:rPr>
              <w:t xml:space="preserve">      </w:t>
            </w:r>
          </w:p>
        </w:tc>
        <w:tc>
          <w:tcPr>
            <w:tcW w:w="1000" w:type="pct"/>
            <w:shd w:val="clear" w:color="auto" w:fill="FFFFFF" w:themeFill="background1"/>
          </w:tcPr>
          <w:p w14:paraId="79B35697"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43.14</w:t>
            </w:r>
            <w:r>
              <w:rPr>
                <w:rFonts w:ascii="Garamond" w:hAnsi="Garamond"/>
                <w:sz w:val="20"/>
                <w:szCs w:val="20"/>
              </w:rPr>
              <w:t>%</w:t>
            </w:r>
            <w:r w:rsidRPr="00E5286E">
              <w:rPr>
                <w:rFonts w:ascii="Garamond" w:hAnsi="Garamond"/>
                <w:sz w:val="20"/>
                <w:szCs w:val="20"/>
              </w:rPr>
              <w:t xml:space="preserve">      </w:t>
            </w:r>
          </w:p>
        </w:tc>
        <w:tc>
          <w:tcPr>
            <w:tcW w:w="1000" w:type="pct"/>
            <w:tcBorders>
              <w:right w:val="single" w:sz="4" w:space="0" w:color="auto"/>
            </w:tcBorders>
            <w:shd w:val="clear" w:color="auto" w:fill="FFFFFF" w:themeFill="background1"/>
          </w:tcPr>
          <w:p w14:paraId="700DD6E3"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21.71</w:t>
            </w:r>
            <w:r>
              <w:rPr>
                <w:rFonts w:ascii="Garamond" w:hAnsi="Garamond"/>
                <w:sz w:val="20"/>
                <w:szCs w:val="20"/>
              </w:rPr>
              <w:t>%</w:t>
            </w:r>
          </w:p>
        </w:tc>
        <w:tc>
          <w:tcPr>
            <w:tcW w:w="1000" w:type="pct"/>
            <w:tcBorders>
              <w:left w:val="single" w:sz="4" w:space="0" w:color="auto"/>
              <w:right w:val="single" w:sz="4" w:space="0" w:color="auto"/>
            </w:tcBorders>
            <w:shd w:val="clear" w:color="auto" w:fill="FFFFFF" w:themeFill="background1"/>
          </w:tcPr>
          <w:p w14:paraId="5DF9C25E"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100.00</w:t>
            </w:r>
            <w:r>
              <w:rPr>
                <w:rFonts w:ascii="Garamond" w:hAnsi="Garamond"/>
                <w:sz w:val="20"/>
                <w:szCs w:val="20"/>
              </w:rPr>
              <w:t>%</w:t>
            </w:r>
            <w:r w:rsidRPr="00E5286E">
              <w:rPr>
                <w:rFonts w:ascii="Garamond" w:hAnsi="Garamond"/>
                <w:sz w:val="20"/>
                <w:szCs w:val="20"/>
              </w:rPr>
              <w:t xml:space="preserve"> </w:t>
            </w:r>
          </w:p>
        </w:tc>
      </w:tr>
      <w:tr w:rsidR="006A76FD" w:rsidRPr="00E5286E" w14:paraId="29D8D6C4"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bottom w:val="single" w:sz="4" w:space="0" w:color="auto"/>
            </w:tcBorders>
          </w:tcPr>
          <w:p w14:paraId="5F24DC71" w14:textId="77777777" w:rsidR="006A76FD" w:rsidRPr="00E5286E" w:rsidRDefault="006A76FD" w:rsidP="00DA5EDB">
            <w:pPr>
              <w:rPr>
                <w:rFonts w:ascii="Garamond" w:hAnsi="Garamond"/>
                <w:sz w:val="20"/>
                <w:szCs w:val="20"/>
              </w:rPr>
            </w:pPr>
          </w:p>
        </w:tc>
        <w:tc>
          <w:tcPr>
            <w:tcW w:w="1000" w:type="pct"/>
            <w:tcBorders>
              <w:bottom w:val="single" w:sz="4" w:space="0" w:color="auto"/>
            </w:tcBorders>
            <w:shd w:val="clear" w:color="auto" w:fill="FFFFFF" w:themeFill="background1"/>
          </w:tcPr>
          <w:p w14:paraId="2429CA06"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tcBorders>
              <w:bottom w:val="single" w:sz="4" w:space="0" w:color="auto"/>
            </w:tcBorders>
            <w:shd w:val="clear" w:color="auto" w:fill="FFFFFF" w:themeFill="background1"/>
          </w:tcPr>
          <w:p w14:paraId="7237FC07"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tcBorders>
              <w:bottom w:val="single" w:sz="4" w:space="0" w:color="auto"/>
              <w:right w:val="single" w:sz="4" w:space="0" w:color="auto"/>
            </w:tcBorders>
            <w:shd w:val="clear" w:color="auto" w:fill="FFFFFF" w:themeFill="background1"/>
          </w:tcPr>
          <w:p w14:paraId="68CC8D0E"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000" w:type="pct"/>
            <w:tcBorders>
              <w:left w:val="single" w:sz="4" w:space="0" w:color="auto"/>
              <w:bottom w:val="single" w:sz="4" w:space="0" w:color="auto"/>
              <w:right w:val="single" w:sz="4" w:space="0" w:color="auto"/>
            </w:tcBorders>
            <w:shd w:val="clear" w:color="auto" w:fill="FFFFFF" w:themeFill="background1"/>
          </w:tcPr>
          <w:p w14:paraId="0A4C3D50"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E5286E" w14:paraId="2572A116" w14:textId="77777777" w:rsidTr="00DA5EDB">
        <w:tc>
          <w:tcPr>
            <w:cnfStyle w:val="001000000000" w:firstRow="0" w:lastRow="0" w:firstColumn="1" w:lastColumn="0" w:oddVBand="0" w:evenVBand="0" w:oddHBand="0" w:evenHBand="0" w:firstRowFirstColumn="0" w:firstRowLastColumn="0" w:lastRowFirstColumn="0" w:lastRowLastColumn="0"/>
            <w:tcW w:w="1000" w:type="pct"/>
            <w:tcBorders>
              <w:top w:val="single" w:sz="4" w:space="0" w:color="auto"/>
              <w:left w:val="single" w:sz="4" w:space="0" w:color="auto"/>
            </w:tcBorders>
          </w:tcPr>
          <w:p w14:paraId="7EB3F996" w14:textId="77777777" w:rsidR="006A76FD" w:rsidRPr="00E5286E" w:rsidRDefault="006A76FD" w:rsidP="00DA5EDB">
            <w:pPr>
              <w:rPr>
                <w:rFonts w:ascii="Garamond" w:hAnsi="Garamond"/>
                <w:sz w:val="20"/>
                <w:szCs w:val="20"/>
              </w:rPr>
            </w:pPr>
            <w:r w:rsidRPr="00E5286E">
              <w:rPr>
                <w:rFonts w:ascii="Garamond" w:hAnsi="Garamond"/>
                <w:sz w:val="20"/>
                <w:szCs w:val="20"/>
              </w:rPr>
              <w:t>Total</w:t>
            </w:r>
          </w:p>
        </w:tc>
        <w:tc>
          <w:tcPr>
            <w:tcW w:w="1000" w:type="pct"/>
            <w:tcBorders>
              <w:top w:val="single" w:sz="4" w:space="0" w:color="auto"/>
            </w:tcBorders>
            <w:shd w:val="clear" w:color="auto" w:fill="FFFFFF" w:themeFill="background1"/>
          </w:tcPr>
          <w:p w14:paraId="597AEE45"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1,718      </w:t>
            </w:r>
          </w:p>
        </w:tc>
        <w:tc>
          <w:tcPr>
            <w:tcW w:w="1000" w:type="pct"/>
            <w:tcBorders>
              <w:top w:val="single" w:sz="4" w:space="0" w:color="auto"/>
            </w:tcBorders>
            <w:shd w:val="clear" w:color="auto" w:fill="FFFFFF" w:themeFill="background1"/>
          </w:tcPr>
          <w:p w14:paraId="5C13B3CB"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1,522        </w:t>
            </w:r>
          </w:p>
        </w:tc>
        <w:tc>
          <w:tcPr>
            <w:tcW w:w="1000" w:type="pct"/>
            <w:tcBorders>
              <w:top w:val="single" w:sz="4" w:space="0" w:color="auto"/>
              <w:right w:val="single" w:sz="4" w:space="0" w:color="auto"/>
            </w:tcBorders>
            <w:shd w:val="clear" w:color="auto" w:fill="FFFFFF" w:themeFill="background1"/>
          </w:tcPr>
          <w:p w14:paraId="7AE54DB5"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879</w:t>
            </w:r>
          </w:p>
        </w:tc>
        <w:tc>
          <w:tcPr>
            <w:tcW w:w="1000" w:type="pct"/>
            <w:tcBorders>
              <w:top w:val="single" w:sz="4" w:space="0" w:color="auto"/>
              <w:left w:val="single" w:sz="4" w:space="0" w:color="auto"/>
              <w:right w:val="single" w:sz="4" w:space="0" w:color="auto"/>
            </w:tcBorders>
            <w:shd w:val="clear" w:color="auto" w:fill="FFFFFF" w:themeFill="background1"/>
          </w:tcPr>
          <w:p w14:paraId="49E30639" w14:textId="77777777" w:rsidR="006A76FD" w:rsidRPr="00E5286E"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E5286E">
              <w:rPr>
                <w:rFonts w:ascii="Garamond" w:hAnsi="Garamond"/>
                <w:sz w:val="20"/>
                <w:szCs w:val="20"/>
              </w:rPr>
              <w:t xml:space="preserve">4,119 </w:t>
            </w:r>
          </w:p>
        </w:tc>
      </w:tr>
      <w:tr w:rsidR="006A76FD" w:rsidRPr="00E5286E" w14:paraId="401A6989"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single" w:sz="4" w:space="0" w:color="auto"/>
              <w:bottom w:val="single" w:sz="4" w:space="0" w:color="auto"/>
            </w:tcBorders>
          </w:tcPr>
          <w:p w14:paraId="399A7D71" w14:textId="77777777" w:rsidR="006A76FD" w:rsidRPr="00E5286E" w:rsidRDefault="006A76FD" w:rsidP="00DA5EDB">
            <w:pPr>
              <w:rPr>
                <w:rFonts w:ascii="Garamond" w:hAnsi="Garamond"/>
                <w:sz w:val="20"/>
                <w:szCs w:val="20"/>
              </w:rPr>
            </w:pPr>
          </w:p>
        </w:tc>
        <w:tc>
          <w:tcPr>
            <w:tcW w:w="1000" w:type="pct"/>
            <w:tcBorders>
              <w:bottom w:val="single" w:sz="4" w:space="0" w:color="auto"/>
            </w:tcBorders>
            <w:shd w:val="clear" w:color="auto" w:fill="FFFFFF" w:themeFill="background1"/>
          </w:tcPr>
          <w:p w14:paraId="76CB3795"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41.71</w:t>
            </w:r>
            <w:r>
              <w:rPr>
                <w:rFonts w:ascii="Garamond" w:hAnsi="Garamond"/>
                <w:sz w:val="20"/>
                <w:szCs w:val="20"/>
              </w:rPr>
              <w:t>%</w:t>
            </w:r>
            <w:r w:rsidRPr="00E5286E">
              <w:rPr>
                <w:rFonts w:ascii="Garamond" w:hAnsi="Garamond"/>
                <w:sz w:val="20"/>
                <w:szCs w:val="20"/>
              </w:rPr>
              <w:t xml:space="preserve">      </w:t>
            </w:r>
          </w:p>
        </w:tc>
        <w:tc>
          <w:tcPr>
            <w:tcW w:w="1000" w:type="pct"/>
            <w:tcBorders>
              <w:bottom w:val="single" w:sz="4" w:space="0" w:color="auto"/>
            </w:tcBorders>
            <w:shd w:val="clear" w:color="auto" w:fill="FFFFFF" w:themeFill="background1"/>
          </w:tcPr>
          <w:p w14:paraId="6D203FAB"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36.95</w:t>
            </w:r>
            <w:r>
              <w:rPr>
                <w:rFonts w:ascii="Garamond" w:hAnsi="Garamond"/>
                <w:sz w:val="20"/>
                <w:szCs w:val="20"/>
              </w:rPr>
              <w:t>%</w:t>
            </w:r>
            <w:r w:rsidRPr="00E5286E">
              <w:rPr>
                <w:rFonts w:ascii="Garamond" w:hAnsi="Garamond"/>
                <w:sz w:val="20"/>
                <w:szCs w:val="20"/>
              </w:rPr>
              <w:t xml:space="preserve">      </w:t>
            </w:r>
          </w:p>
        </w:tc>
        <w:tc>
          <w:tcPr>
            <w:tcW w:w="1000" w:type="pct"/>
            <w:tcBorders>
              <w:bottom w:val="single" w:sz="4" w:space="0" w:color="auto"/>
              <w:right w:val="single" w:sz="4" w:space="0" w:color="auto"/>
            </w:tcBorders>
            <w:shd w:val="clear" w:color="auto" w:fill="FFFFFF" w:themeFill="background1"/>
          </w:tcPr>
          <w:p w14:paraId="09377CBC"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21.34</w:t>
            </w:r>
            <w:r>
              <w:rPr>
                <w:rFonts w:ascii="Garamond" w:hAnsi="Garamond"/>
                <w:sz w:val="20"/>
                <w:szCs w:val="20"/>
              </w:rPr>
              <w:t>%</w:t>
            </w:r>
          </w:p>
        </w:tc>
        <w:tc>
          <w:tcPr>
            <w:tcW w:w="1000" w:type="pct"/>
            <w:tcBorders>
              <w:left w:val="single" w:sz="4" w:space="0" w:color="auto"/>
              <w:bottom w:val="single" w:sz="4" w:space="0" w:color="auto"/>
              <w:right w:val="single" w:sz="4" w:space="0" w:color="auto"/>
            </w:tcBorders>
            <w:shd w:val="clear" w:color="auto" w:fill="FFFFFF" w:themeFill="background1"/>
          </w:tcPr>
          <w:p w14:paraId="30B8E448" w14:textId="77777777" w:rsidR="006A76FD" w:rsidRPr="00E5286E"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E5286E">
              <w:rPr>
                <w:rFonts w:ascii="Garamond" w:hAnsi="Garamond"/>
                <w:sz w:val="20"/>
                <w:szCs w:val="20"/>
              </w:rPr>
              <w:t>100.00</w:t>
            </w:r>
            <w:r>
              <w:rPr>
                <w:rFonts w:ascii="Garamond" w:hAnsi="Garamond"/>
                <w:sz w:val="20"/>
                <w:szCs w:val="20"/>
              </w:rPr>
              <w:t>%</w:t>
            </w:r>
          </w:p>
        </w:tc>
      </w:tr>
    </w:tbl>
    <w:tbl>
      <w:tblPr>
        <w:tblStyle w:val="PlainTable5"/>
        <w:tblpPr w:leftFromText="180" w:rightFromText="180" w:vertAnchor="page" w:horzAnchor="margin" w:tblpY="2339"/>
        <w:tblW w:w="5000" w:type="pct"/>
        <w:shd w:val="clear" w:color="auto" w:fill="FFFFFF" w:themeFill="background1"/>
        <w:tblLook w:val="04A0" w:firstRow="1" w:lastRow="0" w:firstColumn="1" w:lastColumn="0" w:noHBand="0" w:noVBand="1"/>
      </w:tblPr>
      <w:tblGrid>
        <w:gridCol w:w="1288"/>
        <w:gridCol w:w="1288"/>
        <w:gridCol w:w="1288"/>
        <w:gridCol w:w="1287"/>
        <w:gridCol w:w="1287"/>
        <w:gridCol w:w="1289"/>
        <w:gridCol w:w="1289"/>
      </w:tblGrid>
      <w:tr w:rsidR="006A76FD" w:rsidRPr="00483DC5" w14:paraId="4E8D24D0" w14:textId="77777777" w:rsidTr="00DA5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4" w:type="pct"/>
            <w:tcBorders>
              <w:top w:val="single" w:sz="4" w:space="0" w:color="auto"/>
              <w:left w:val="single" w:sz="4" w:space="0" w:color="auto"/>
            </w:tcBorders>
          </w:tcPr>
          <w:p w14:paraId="504F7C45" w14:textId="77777777" w:rsidR="006A76FD" w:rsidRPr="00483DC5" w:rsidRDefault="006A76FD" w:rsidP="00DA5EDB">
            <w:pPr>
              <w:rPr>
                <w:rFonts w:ascii="Garamond" w:hAnsi="Garamond"/>
                <w:sz w:val="20"/>
                <w:szCs w:val="20"/>
              </w:rPr>
            </w:pPr>
          </w:p>
        </w:tc>
        <w:tc>
          <w:tcPr>
            <w:tcW w:w="714" w:type="pct"/>
            <w:tcBorders>
              <w:top w:val="single" w:sz="4" w:space="0" w:color="auto"/>
            </w:tcBorders>
          </w:tcPr>
          <w:p w14:paraId="145F3232" w14:textId="77777777" w:rsidR="006A76FD" w:rsidRPr="00483DC5"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Central Africa</w:t>
            </w:r>
          </w:p>
        </w:tc>
        <w:tc>
          <w:tcPr>
            <w:tcW w:w="714" w:type="pct"/>
            <w:tcBorders>
              <w:top w:val="single" w:sz="4" w:space="0" w:color="auto"/>
            </w:tcBorders>
          </w:tcPr>
          <w:p w14:paraId="23155473" w14:textId="77777777" w:rsidR="006A76FD" w:rsidRPr="00483DC5"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Eastern Africa</w:t>
            </w:r>
          </w:p>
        </w:tc>
        <w:tc>
          <w:tcPr>
            <w:tcW w:w="714" w:type="pct"/>
            <w:tcBorders>
              <w:top w:val="single" w:sz="4" w:space="0" w:color="auto"/>
            </w:tcBorders>
          </w:tcPr>
          <w:p w14:paraId="045580AB" w14:textId="77777777" w:rsidR="006A76FD" w:rsidRPr="00483DC5"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North Africa</w:t>
            </w:r>
          </w:p>
        </w:tc>
        <w:tc>
          <w:tcPr>
            <w:tcW w:w="714" w:type="pct"/>
            <w:tcBorders>
              <w:top w:val="single" w:sz="4" w:space="0" w:color="auto"/>
            </w:tcBorders>
          </w:tcPr>
          <w:p w14:paraId="5F35DF22" w14:textId="77777777" w:rsidR="006A76FD" w:rsidRPr="00483DC5"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Southern Africa</w:t>
            </w:r>
          </w:p>
        </w:tc>
        <w:tc>
          <w:tcPr>
            <w:tcW w:w="715" w:type="pct"/>
            <w:tcBorders>
              <w:top w:val="single" w:sz="4" w:space="0" w:color="auto"/>
              <w:right w:val="single" w:sz="4" w:space="0" w:color="auto"/>
            </w:tcBorders>
          </w:tcPr>
          <w:p w14:paraId="30BE1257" w14:textId="77777777" w:rsidR="006A76FD" w:rsidRPr="00483DC5"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West Africa</w:t>
            </w:r>
          </w:p>
        </w:tc>
        <w:tc>
          <w:tcPr>
            <w:tcW w:w="715" w:type="pct"/>
            <w:tcBorders>
              <w:top w:val="single" w:sz="4" w:space="0" w:color="auto"/>
              <w:left w:val="single" w:sz="4" w:space="0" w:color="auto"/>
              <w:right w:val="single" w:sz="4" w:space="0" w:color="auto"/>
            </w:tcBorders>
          </w:tcPr>
          <w:p w14:paraId="06D2582B" w14:textId="77777777" w:rsidR="006A76FD" w:rsidRPr="00483DC5" w:rsidRDefault="006A76FD" w:rsidP="00DA5EDB">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Total</w:t>
            </w:r>
          </w:p>
        </w:tc>
      </w:tr>
      <w:tr w:rsidR="006A76FD" w:rsidRPr="00483DC5" w14:paraId="57689E52"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17CA2C70" w14:textId="77777777" w:rsidR="006A76FD" w:rsidRPr="00483DC5" w:rsidRDefault="006A76FD" w:rsidP="00DA5EDB">
            <w:pPr>
              <w:rPr>
                <w:rFonts w:ascii="Garamond" w:hAnsi="Garamond"/>
                <w:sz w:val="20"/>
                <w:szCs w:val="20"/>
              </w:rPr>
            </w:pPr>
          </w:p>
        </w:tc>
        <w:tc>
          <w:tcPr>
            <w:tcW w:w="714" w:type="pct"/>
            <w:shd w:val="clear" w:color="auto" w:fill="FFFFFF" w:themeFill="background1"/>
          </w:tcPr>
          <w:p w14:paraId="4217753E"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18F999FA"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3A94C61D"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78812C82"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5" w:type="pct"/>
            <w:tcBorders>
              <w:right w:val="single" w:sz="4" w:space="0" w:color="auto"/>
            </w:tcBorders>
            <w:shd w:val="clear" w:color="auto" w:fill="FFFFFF" w:themeFill="background1"/>
          </w:tcPr>
          <w:p w14:paraId="0E957F99"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5" w:type="pct"/>
            <w:tcBorders>
              <w:left w:val="single" w:sz="4" w:space="0" w:color="auto"/>
              <w:right w:val="single" w:sz="4" w:space="0" w:color="auto"/>
            </w:tcBorders>
            <w:shd w:val="clear" w:color="auto" w:fill="FFFFFF" w:themeFill="background1"/>
          </w:tcPr>
          <w:p w14:paraId="184CDA8A"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83DC5" w14:paraId="7B1F4DDC" w14:textId="77777777" w:rsidTr="00DA5EDB">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638EA6D9" w14:textId="77777777" w:rsidR="006A76FD" w:rsidRPr="00483DC5" w:rsidRDefault="006A76FD" w:rsidP="00DA5EDB">
            <w:pPr>
              <w:rPr>
                <w:rFonts w:ascii="Garamond" w:hAnsi="Garamond"/>
                <w:sz w:val="20"/>
                <w:szCs w:val="20"/>
              </w:rPr>
            </w:pPr>
            <w:r w:rsidRPr="00483DC5">
              <w:rPr>
                <w:rFonts w:ascii="Garamond" w:hAnsi="Garamond"/>
                <w:sz w:val="20"/>
                <w:szCs w:val="20"/>
              </w:rPr>
              <w:t>ff</w:t>
            </w:r>
          </w:p>
        </w:tc>
        <w:tc>
          <w:tcPr>
            <w:tcW w:w="714" w:type="pct"/>
            <w:shd w:val="clear" w:color="auto" w:fill="FFFFFF" w:themeFill="background1"/>
          </w:tcPr>
          <w:p w14:paraId="72A3C4B8"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110</w:t>
            </w:r>
          </w:p>
        </w:tc>
        <w:tc>
          <w:tcPr>
            <w:tcW w:w="714" w:type="pct"/>
            <w:shd w:val="clear" w:color="auto" w:fill="FFFFFF" w:themeFill="background1"/>
          </w:tcPr>
          <w:p w14:paraId="0FBECAA5"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172</w:t>
            </w:r>
          </w:p>
        </w:tc>
        <w:tc>
          <w:tcPr>
            <w:tcW w:w="714" w:type="pct"/>
            <w:shd w:val="clear" w:color="auto" w:fill="FFFFFF" w:themeFill="background1"/>
          </w:tcPr>
          <w:p w14:paraId="2570E2E7"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15</w:t>
            </w:r>
          </w:p>
        </w:tc>
        <w:tc>
          <w:tcPr>
            <w:tcW w:w="714" w:type="pct"/>
            <w:shd w:val="clear" w:color="auto" w:fill="FFFFFF" w:themeFill="background1"/>
          </w:tcPr>
          <w:p w14:paraId="76BD6BEA"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49</w:t>
            </w:r>
          </w:p>
        </w:tc>
        <w:tc>
          <w:tcPr>
            <w:tcW w:w="715" w:type="pct"/>
            <w:tcBorders>
              <w:right w:val="single" w:sz="4" w:space="0" w:color="auto"/>
            </w:tcBorders>
            <w:shd w:val="clear" w:color="auto" w:fill="FFFFFF" w:themeFill="background1"/>
          </w:tcPr>
          <w:p w14:paraId="5BE1F275"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303</w:t>
            </w:r>
          </w:p>
        </w:tc>
        <w:tc>
          <w:tcPr>
            <w:tcW w:w="715" w:type="pct"/>
            <w:tcBorders>
              <w:left w:val="single" w:sz="4" w:space="0" w:color="auto"/>
              <w:right w:val="single" w:sz="4" w:space="0" w:color="auto"/>
            </w:tcBorders>
            <w:shd w:val="clear" w:color="auto" w:fill="FFFFFF" w:themeFill="background1"/>
          </w:tcPr>
          <w:p w14:paraId="061F557D"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 xml:space="preserve">649 </w:t>
            </w:r>
          </w:p>
        </w:tc>
      </w:tr>
      <w:tr w:rsidR="006A76FD" w:rsidRPr="00483DC5" w14:paraId="3CBD50B5"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7AFAECA0" w14:textId="77777777" w:rsidR="006A76FD" w:rsidRPr="00483DC5" w:rsidRDefault="006A76FD" w:rsidP="00DA5EDB">
            <w:pPr>
              <w:rPr>
                <w:rFonts w:ascii="Garamond" w:hAnsi="Garamond"/>
                <w:sz w:val="20"/>
                <w:szCs w:val="20"/>
              </w:rPr>
            </w:pPr>
          </w:p>
        </w:tc>
        <w:tc>
          <w:tcPr>
            <w:tcW w:w="714" w:type="pct"/>
            <w:shd w:val="clear" w:color="auto" w:fill="FFFFFF" w:themeFill="background1"/>
          </w:tcPr>
          <w:p w14:paraId="0754B223"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24.18%</w:t>
            </w:r>
          </w:p>
        </w:tc>
        <w:tc>
          <w:tcPr>
            <w:tcW w:w="714" w:type="pct"/>
            <w:shd w:val="clear" w:color="auto" w:fill="FFFFFF" w:themeFill="background1"/>
          </w:tcPr>
          <w:p w14:paraId="57428D81"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14.64%</w:t>
            </w:r>
          </w:p>
        </w:tc>
        <w:tc>
          <w:tcPr>
            <w:tcW w:w="714" w:type="pct"/>
            <w:shd w:val="clear" w:color="auto" w:fill="FFFFFF" w:themeFill="background1"/>
          </w:tcPr>
          <w:p w14:paraId="2F3B6ED2"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4.76%</w:t>
            </w:r>
          </w:p>
        </w:tc>
        <w:tc>
          <w:tcPr>
            <w:tcW w:w="714" w:type="pct"/>
            <w:shd w:val="clear" w:color="auto" w:fill="FFFFFF" w:themeFill="background1"/>
          </w:tcPr>
          <w:p w14:paraId="161749C8"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12.93%</w:t>
            </w:r>
          </w:p>
        </w:tc>
        <w:tc>
          <w:tcPr>
            <w:tcW w:w="715" w:type="pct"/>
            <w:tcBorders>
              <w:right w:val="single" w:sz="4" w:space="0" w:color="auto"/>
            </w:tcBorders>
            <w:shd w:val="clear" w:color="auto" w:fill="FFFFFF" w:themeFill="background1"/>
          </w:tcPr>
          <w:p w14:paraId="167628D1"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16.88%</w:t>
            </w:r>
          </w:p>
        </w:tc>
        <w:tc>
          <w:tcPr>
            <w:tcW w:w="715" w:type="pct"/>
            <w:tcBorders>
              <w:left w:val="single" w:sz="4" w:space="0" w:color="auto"/>
              <w:right w:val="single" w:sz="4" w:space="0" w:color="auto"/>
            </w:tcBorders>
            <w:shd w:val="clear" w:color="auto" w:fill="FFFFFF" w:themeFill="background1"/>
          </w:tcPr>
          <w:p w14:paraId="4E08A561"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15.76%</w:t>
            </w:r>
          </w:p>
        </w:tc>
      </w:tr>
      <w:tr w:rsidR="006A76FD" w:rsidRPr="00483DC5" w14:paraId="3EAD201A" w14:textId="77777777" w:rsidTr="00DA5EDB">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45CDFAC2" w14:textId="77777777" w:rsidR="006A76FD" w:rsidRPr="00483DC5" w:rsidRDefault="006A76FD" w:rsidP="00DA5EDB">
            <w:pPr>
              <w:rPr>
                <w:rFonts w:ascii="Garamond" w:hAnsi="Garamond"/>
                <w:sz w:val="20"/>
                <w:szCs w:val="20"/>
              </w:rPr>
            </w:pPr>
          </w:p>
        </w:tc>
        <w:tc>
          <w:tcPr>
            <w:tcW w:w="714" w:type="pct"/>
            <w:shd w:val="clear" w:color="auto" w:fill="FFFFFF" w:themeFill="background1"/>
          </w:tcPr>
          <w:p w14:paraId="0A19B780"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17A166DE"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25F4236C"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21FFB8BC"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5" w:type="pct"/>
            <w:tcBorders>
              <w:right w:val="single" w:sz="4" w:space="0" w:color="auto"/>
            </w:tcBorders>
            <w:shd w:val="clear" w:color="auto" w:fill="FFFFFF" w:themeFill="background1"/>
          </w:tcPr>
          <w:p w14:paraId="6A5EB73F"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5" w:type="pct"/>
            <w:tcBorders>
              <w:left w:val="single" w:sz="4" w:space="0" w:color="auto"/>
              <w:right w:val="single" w:sz="4" w:space="0" w:color="auto"/>
            </w:tcBorders>
            <w:shd w:val="clear" w:color="auto" w:fill="FFFFFF" w:themeFill="background1"/>
          </w:tcPr>
          <w:p w14:paraId="4EA8D982"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r>
      <w:tr w:rsidR="006A76FD" w:rsidRPr="00483DC5" w14:paraId="7B162E13"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12B5510D" w14:textId="77777777" w:rsidR="006A76FD" w:rsidRPr="00483DC5" w:rsidRDefault="006A76FD" w:rsidP="00DA5EDB">
            <w:pPr>
              <w:rPr>
                <w:rFonts w:ascii="Garamond" w:hAnsi="Garamond"/>
                <w:sz w:val="20"/>
                <w:szCs w:val="20"/>
              </w:rPr>
            </w:pPr>
            <w:r w:rsidRPr="00483DC5">
              <w:rPr>
                <w:rFonts w:ascii="Garamond" w:hAnsi="Garamond"/>
                <w:sz w:val="20"/>
                <w:szCs w:val="20"/>
              </w:rPr>
              <w:t>fs</w:t>
            </w:r>
          </w:p>
        </w:tc>
        <w:tc>
          <w:tcPr>
            <w:tcW w:w="714" w:type="pct"/>
            <w:shd w:val="clear" w:color="auto" w:fill="FFFFFF" w:themeFill="background1"/>
          </w:tcPr>
          <w:p w14:paraId="50F31DC3"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89</w:t>
            </w:r>
          </w:p>
        </w:tc>
        <w:tc>
          <w:tcPr>
            <w:tcW w:w="714" w:type="pct"/>
            <w:shd w:val="clear" w:color="auto" w:fill="FFFFFF" w:themeFill="background1"/>
          </w:tcPr>
          <w:p w14:paraId="19C9AAF8"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283</w:t>
            </w:r>
          </w:p>
        </w:tc>
        <w:tc>
          <w:tcPr>
            <w:tcW w:w="714" w:type="pct"/>
            <w:shd w:val="clear" w:color="auto" w:fill="FFFFFF" w:themeFill="background1"/>
          </w:tcPr>
          <w:p w14:paraId="68B09980"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47</w:t>
            </w:r>
          </w:p>
        </w:tc>
        <w:tc>
          <w:tcPr>
            <w:tcW w:w="714" w:type="pct"/>
            <w:shd w:val="clear" w:color="auto" w:fill="FFFFFF" w:themeFill="background1"/>
          </w:tcPr>
          <w:p w14:paraId="59FDA02F"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188</w:t>
            </w:r>
          </w:p>
        </w:tc>
        <w:tc>
          <w:tcPr>
            <w:tcW w:w="715" w:type="pct"/>
            <w:tcBorders>
              <w:right w:val="single" w:sz="4" w:space="0" w:color="auto"/>
            </w:tcBorders>
            <w:shd w:val="clear" w:color="auto" w:fill="FFFFFF" w:themeFill="background1"/>
          </w:tcPr>
          <w:p w14:paraId="71F71F5C"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491</w:t>
            </w:r>
          </w:p>
        </w:tc>
        <w:tc>
          <w:tcPr>
            <w:tcW w:w="715" w:type="pct"/>
            <w:tcBorders>
              <w:left w:val="single" w:sz="4" w:space="0" w:color="auto"/>
              <w:right w:val="single" w:sz="4" w:space="0" w:color="auto"/>
            </w:tcBorders>
            <w:shd w:val="clear" w:color="auto" w:fill="FFFFFF" w:themeFill="background1"/>
          </w:tcPr>
          <w:p w14:paraId="307B0907"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 xml:space="preserve">1,098 </w:t>
            </w:r>
          </w:p>
        </w:tc>
      </w:tr>
      <w:tr w:rsidR="006A76FD" w:rsidRPr="00483DC5" w14:paraId="61E28E16" w14:textId="77777777" w:rsidTr="00DA5EDB">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1CF29B9F" w14:textId="77777777" w:rsidR="006A76FD" w:rsidRPr="00483DC5" w:rsidRDefault="006A76FD" w:rsidP="00DA5EDB">
            <w:pPr>
              <w:rPr>
                <w:rFonts w:ascii="Garamond" w:hAnsi="Garamond"/>
                <w:sz w:val="20"/>
                <w:szCs w:val="20"/>
              </w:rPr>
            </w:pPr>
          </w:p>
        </w:tc>
        <w:tc>
          <w:tcPr>
            <w:tcW w:w="714" w:type="pct"/>
            <w:shd w:val="clear" w:color="auto" w:fill="FFFFFF" w:themeFill="background1"/>
          </w:tcPr>
          <w:p w14:paraId="2248DB09"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19.56%</w:t>
            </w:r>
          </w:p>
        </w:tc>
        <w:tc>
          <w:tcPr>
            <w:tcW w:w="714" w:type="pct"/>
            <w:shd w:val="clear" w:color="auto" w:fill="FFFFFF" w:themeFill="background1"/>
          </w:tcPr>
          <w:p w14:paraId="6007AB8E"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24.09%</w:t>
            </w:r>
          </w:p>
        </w:tc>
        <w:tc>
          <w:tcPr>
            <w:tcW w:w="714" w:type="pct"/>
            <w:shd w:val="clear" w:color="auto" w:fill="FFFFFF" w:themeFill="background1"/>
          </w:tcPr>
          <w:p w14:paraId="214D44C6"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14.92%</w:t>
            </w:r>
          </w:p>
        </w:tc>
        <w:tc>
          <w:tcPr>
            <w:tcW w:w="714" w:type="pct"/>
            <w:shd w:val="clear" w:color="auto" w:fill="FFFFFF" w:themeFill="background1"/>
          </w:tcPr>
          <w:p w14:paraId="2C541FC5"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49.60%</w:t>
            </w:r>
          </w:p>
        </w:tc>
        <w:tc>
          <w:tcPr>
            <w:tcW w:w="715" w:type="pct"/>
            <w:tcBorders>
              <w:right w:val="single" w:sz="4" w:space="0" w:color="auto"/>
            </w:tcBorders>
            <w:shd w:val="clear" w:color="auto" w:fill="FFFFFF" w:themeFill="background1"/>
          </w:tcPr>
          <w:p w14:paraId="3253991E"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27.35%</w:t>
            </w:r>
          </w:p>
        </w:tc>
        <w:tc>
          <w:tcPr>
            <w:tcW w:w="715" w:type="pct"/>
            <w:tcBorders>
              <w:left w:val="single" w:sz="4" w:space="0" w:color="auto"/>
              <w:right w:val="single" w:sz="4" w:space="0" w:color="auto"/>
            </w:tcBorders>
            <w:shd w:val="clear" w:color="auto" w:fill="FFFFFF" w:themeFill="background1"/>
          </w:tcPr>
          <w:p w14:paraId="4C25D17D"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26.66%</w:t>
            </w:r>
          </w:p>
        </w:tc>
      </w:tr>
      <w:tr w:rsidR="006A76FD" w:rsidRPr="00483DC5" w14:paraId="2CFA82BC"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4B71CE7D" w14:textId="77777777" w:rsidR="006A76FD" w:rsidRPr="00483DC5" w:rsidRDefault="006A76FD" w:rsidP="00DA5EDB">
            <w:pPr>
              <w:rPr>
                <w:rFonts w:ascii="Garamond" w:hAnsi="Garamond"/>
                <w:sz w:val="20"/>
                <w:szCs w:val="20"/>
              </w:rPr>
            </w:pPr>
          </w:p>
        </w:tc>
        <w:tc>
          <w:tcPr>
            <w:tcW w:w="714" w:type="pct"/>
            <w:shd w:val="clear" w:color="auto" w:fill="FFFFFF" w:themeFill="background1"/>
          </w:tcPr>
          <w:p w14:paraId="680B6BD9"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193546E4"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2BED5140"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4A52D579"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5" w:type="pct"/>
            <w:tcBorders>
              <w:right w:val="single" w:sz="4" w:space="0" w:color="auto"/>
            </w:tcBorders>
            <w:shd w:val="clear" w:color="auto" w:fill="FFFFFF" w:themeFill="background1"/>
          </w:tcPr>
          <w:p w14:paraId="66D458E6"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5" w:type="pct"/>
            <w:tcBorders>
              <w:left w:val="single" w:sz="4" w:space="0" w:color="auto"/>
              <w:right w:val="single" w:sz="4" w:space="0" w:color="auto"/>
            </w:tcBorders>
            <w:shd w:val="clear" w:color="auto" w:fill="FFFFFF" w:themeFill="background1"/>
          </w:tcPr>
          <w:p w14:paraId="7B635681"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83DC5" w14:paraId="5F94971C" w14:textId="77777777" w:rsidTr="00DA5EDB">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2176211E" w14:textId="77777777" w:rsidR="006A76FD" w:rsidRPr="00483DC5" w:rsidRDefault="006A76FD" w:rsidP="00DA5EDB">
            <w:pPr>
              <w:rPr>
                <w:rFonts w:ascii="Garamond" w:hAnsi="Garamond"/>
                <w:sz w:val="20"/>
                <w:szCs w:val="20"/>
              </w:rPr>
            </w:pPr>
            <w:r w:rsidRPr="00483DC5">
              <w:rPr>
                <w:rFonts w:ascii="Garamond" w:hAnsi="Garamond"/>
                <w:sz w:val="20"/>
                <w:szCs w:val="20"/>
              </w:rPr>
              <w:t>sf</w:t>
            </w:r>
          </w:p>
        </w:tc>
        <w:tc>
          <w:tcPr>
            <w:tcW w:w="714" w:type="pct"/>
            <w:shd w:val="clear" w:color="auto" w:fill="FFFFFF" w:themeFill="background1"/>
          </w:tcPr>
          <w:p w14:paraId="4BE145ED"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165</w:t>
            </w:r>
          </w:p>
        </w:tc>
        <w:tc>
          <w:tcPr>
            <w:tcW w:w="714" w:type="pct"/>
            <w:shd w:val="clear" w:color="auto" w:fill="FFFFFF" w:themeFill="background1"/>
          </w:tcPr>
          <w:p w14:paraId="1C44809F"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337</w:t>
            </w:r>
          </w:p>
        </w:tc>
        <w:tc>
          <w:tcPr>
            <w:tcW w:w="714" w:type="pct"/>
            <w:shd w:val="clear" w:color="auto" w:fill="FFFFFF" w:themeFill="background1"/>
          </w:tcPr>
          <w:p w14:paraId="0B072058"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51</w:t>
            </w:r>
          </w:p>
        </w:tc>
        <w:tc>
          <w:tcPr>
            <w:tcW w:w="714" w:type="pct"/>
            <w:shd w:val="clear" w:color="auto" w:fill="FFFFFF" w:themeFill="background1"/>
          </w:tcPr>
          <w:p w14:paraId="2B707582"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46</w:t>
            </w:r>
          </w:p>
        </w:tc>
        <w:tc>
          <w:tcPr>
            <w:tcW w:w="715" w:type="pct"/>
            <w:tcBorders>
              <w:right w:val="single" w:sz="4" w:space="0" w:color="auto"/>
            </w:tcBorders>
            <w:shd w:val="clear" w:color="auto" w:fill="FFFFFF" w:themeFill="background1"/>
          </w:tcPr>
          <w:p w14:paraId="1458D625"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359</w:t>
            </w:r>
          </w:p>
        </w:tc>
        <w:tc>
          <w:tcPr>
            <w:tcW w:w="715" w:type="pct"/>
            <w:tcBorders>
              <w:left w:val="single" w:sz="4" w:space="0" w:color="auto"/>
              <w:right w:val="single" w:sz="4" w:space="0" w:color="auto"/>
            </w:tcBorders>
            <w:shd w:val="clear" w:color="auto" w:fill="FFFFFF" w:themeFill="background1"/>
          </w:tcPr>
          <w:p w14:paraId="2F1BFBB8"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 xml:space="preserve">958 </w:t>
            </w:r>
          </w:p>
        </w:tc>
      </w:tr>
      <w:tr w:rsidR="006A76FD" w:rsidRPr="00483DC5" w14:paraId="709093D0"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62760222" w14:textId="77777777" w:rsidR="006A76FD" w:rsidRPr="00483DC5" w:rsidRDefault="006A76FD" w:rsidP="00DA5EDB">
            <w:pPr>
              <w:rPr>
                <w:rFonts w:ascii="Garamond" w:hAnsi="Garamond"/>
                <w:sz w:val="20"/>
                <w:szCs w:val="20"/>
              </w:rPr>
            </w:pPr>
          </w:p>
        </w:tc>
        <w:tc>
          <w:tcPr>
            <w:tcW w:w="714" w:type="pct"/>
            <w:shd w:val="clear" w:color="auto" w:fill="FFFFFF" w:themeFill="background1"/>
          </w:tcPr>
          <w:p w14:paraId="643CC0F2"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36.26%</w:t>
            </w:r>
          </w:p>
        </w:tc>
        <w:tc>
          <w:tcPr>
            <w:tcW w:w="714" w:type="pct"/>
            <w:shd w:val="clear" w:color="auto" w:fill="FFFFFF" w:themeFill="background1"/>
          </w:tcPr>
          <w:p w14:paraId="09C2E1A7"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28.68%</w:t>
            </w:r>
          </w:p>
        </w:tc>
        <w:tc>
          <w:tcPr>
            <w:tcW w:w="714" w:type="pct"/>
            <w:shd w:val="clear" w:color="auto" w:fill="FFFFFF" w:themeFill="background1"/>
          </w:tcPr>
          <w:p w14:paraId="14578010"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16.19%</w:t>
            </w:r>
          </w:p>
        </w:tc>
        <w:tc>
          <w:tcPr>
            <w:tcW w:w="714" w:type="pct"/>
            <w:shd w:val="clear" w:color="auto" w:fill="FFFFFF" w:themeFill="background1"/>
          </w:tcPr>
          <w:p w14:paraId="7BD8A8B8"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12.14%</w:t>
            </w:r>
          </w:p>
        </w:tc>
        <w:tc>
          <w:tcPr>
            <w:tcW w:w="715" w:type="pct"/>
            <w:tcBorders>
              <w:right w:val="single" w:sz="4" w:space="0" w:color="auto"/>
            </w:tcBorders>
            <w:shd w:val="clear" w:color="auto" w:fill="FFFFFF" w:themeFill="background1"/>
          </w:tcPr>
          <w:p w14:paraId="41CDA2EA"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20.00%</w:t>
            </w:r>
          </w:p>
        </w:tc>
        <w:tc>
          <w:tcPr>
            <w:tcW w:w="715" w:type="pct"/>
            <w:tcBorders>
              <w:left w:val="single" w:sz="4" w:space="0" w:color="auto"/>
              <w:right w:val="single" w:sz="4" w:space="0" w:color="auto"/>
            </w:tcBorders>
            <w:shd w:val="clear" w:color="auto" w:fill="FFFFFF" w:themeFill="background1"/>
          </w:tcPr>
          <w:p w14:paraId="08EFBF75"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 xml:space="preserve">23.26% </w:t>
            </w:r>
          </w:p>
        </w:tc>
      </w:tr>
      <w:tr w:rsidR="006A76FD" w:rsidRPr="00483DC5" w14:paraId="7ECECB76" w14:textId="77777777" w:rsidTr="00DA5EDB">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7583881F" w14:textId="77777777" w:rsidR="006A76FD" w:rsidRPr="00483DC5" w:rsidRDefault="006A76FD" w:rsidP="00DA5EDB">
            <w:pPr>
              <w:rPr>
                <w:rFonts w:ascii="Garamond" w:hAnsi="Garamond"/>
                <w:sz w:val="20"/>
                <w:szCs w:val="20"/>
              </w:rPr>
            </w:pPr>
          </w:p>
        </w:tc>
        <w:tc>
          <w:tcPr>
            <w:tcW w:w="714" w:type="pct"/>
            <w:shd w:val="clear" w:color="auto" w:fill="FFFFFF" w:themeFill="background1"/>
          </w:tcPr>
          <w:p w14:paraId="520A0D50"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66ADA03C"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2DE90666"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4" w:type="pct"/>
            <w:shd w:val="clear" w:color="auto" w:fill="FFFFFF" w:themeFill="background1"/>
          </w:tcPr>
          <w:p w14:paraId="5FA74068"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5" w:type="pct"/>
            <w:tcBorders>
              <w:right w:val="single" w:sz="4" w:space="0" w:color="auto"/>
            </w:tcBorders>
            <w:shd w:val="clear" w:color="auto" w:fill="FFFFFF" w:themeFill="background1"/>
          </w:tcPr>
          <w:p w14:paraId="2E5ECF51"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715" w:type="pct"/>
            <w:tcBorders>
              <w:left w:val="single" w:sz="4" w:space="0" w:color="auto"/>
              <w:right w:val="single" w:sz="4" w:space="0" w:color="auto"/>
            </w:tcBorders>
            <w:shd w:val="clear" w:color="auto" w:fill="FFFFFF" w:themeFill="background1"/>
          </w:tcPr>
          <w:p w14:paraId="064421BC"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r>
      <w:tr w:rsidR="006A76FD" w:rsidRPr="00483DC5" w14:paraId="728211CD"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5E606779" w14:textId="77777777" w:rsidR="006A76FD" w:rsidRPr="00483DC5" w:rsidRDefault="006A76FD" w:rsidP="00DA5EDB">
            <w:pPr>
              <w:rPr>
                <w:rFonts w:ascii="Garamond" w:hAnsi="Garamond"/>
                <w:sz w:val="20"/>
                <w:szCs w:val="20"/>
              </w:rPr>
            </w:pPr>
            <w:r w:rsidRPr="00483DC5">
              <w:rPr>
                <w:rFonts w:ascii="Garamond" w:hAnsi="Garamond"/>
                <w:sz w:val="20"/>
                <w:szCs w:val="20"/>
              </w:rPr>
              <w:t>ss</w:t>
            </w:r>
          </w:p>
        </w:tc>
        <w:tc>
          <w:tcPr>
            <w:tcW w:w="714" w:type="pct"/>
            <w:shd w:val="clear" w:color="auto" w:fill="FFFFFF" w:themeFill="background1"/>
          </w:tcPr>
          <w:p w14:paraId="336E85AB"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91</w:t>
            </w:r>
          </w:p>
        </w:tc>
        <w:tc>
          <w:tcPr>
            <w:tcW w:w="714" w:type="pct"/>
            <w:shd w:val="clear" w:color="auto" w:fill="FFFFFF" w:themeFill="background1"/>
          </w:tcPr>
          <w:p w14:paraId="320ABC80"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383</w:t>
            </w:r>
          </w:p>
        </w:tc>
        <w:tc>
          <w:tcPr>
            <w:tcW w:w="714" w:type="pct"/>
            <w:shd w:val="clear" w:color="auto" w:fill="FFFFFF" w:themeFill="background1"/>
          </w:tcPr>
          <w:p w14:paraId="60EE49FF"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202</w:t>
            </w:r>
          </w:p>
        </w:tc>
        <w:tc>
          <w:tcPr>
            <w:tcW w:w="714" w:type="pct"/>
            <w:shd w:val="clear" w:color="auto" w:fill="FFFFFF" w:themeFill="background1"/>
          </w:tcPr>
          <w:p w14:paraId="3099B120"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96</w:t>
            </w:r>
          </w:p>
        </w:tc>
        <w:tc>
          <w:tcPr>
            <w:tcW w:w="715" w:type="pct"/>
            <w:tcBorders>
              <w:right w:val="single" w:sz="4" w:space="0" w:color="auto"/>
            </w:tcBorders>
            <w:shd w:val="clear" w:color="auto" w:fill="FFFFFF" w:themeFill="background1"/>
          </w:tcPr>
          <w:p w14:paraId="132CEB46"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642</w:t>
            </w:r>
          </w:p>
        </w:tc>
        <w:tc>
          <w:tcPr>
            <w:tcW w:w="715" w:type="pct"/>
            <w:tcBorders>
              <w:left w:val="single" w:sz="4" w:space="0" w:color="auto"/>
              <w:right w:val="single" w:sz="4" w:space="0" w:color="auto"/>
            </w:tcBorders>
            <w:shd w:val="clear" w:color="auto" w:fill="FFFFFF" w:themeFill="background1"/>
          </w:tcPr>
          <w:p w14:paraId="3D4A9D51"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 xml:space="preserve">1,414 </w:t>
            </w:r>
          </w:p>
        </w:tc>
      </w:tr>
      <w:tr w:rsidR="006A76FD" w:rsidRPr="00483DC5" w14:paraId="2B885815" w14:textId="77777777" w:rsidTr="00DA5EDB">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tcBorders>
          </w:tcPr>
          <w:p w14:paraId="02F1DC76" w14:textId="77777777" w:rsidR="006A76FD" w:rsidRPr="00483DC5" w:rsidRDefault="006A76FD" w:rsidP="00DA5EDB">
            <w:pPr>
              <w:rPr>
                <w:rFonts w:ascii="Garamond" w:hAnsi="Garamond"/>
                <w:sz w:val="20"/>
                <w:szCs w:val="20"/>
              </w:rPr>
            </w:pPr>
          </w:p>
        </w:tc>
        <w:tc>
          <w:tcPr>
            <w:tcW w:w="714" w:type="pct"/>
            <w:shd w:val="clear" w:color="auto" w:fill="FFFFFF" w:themeFill="background1"/>
          </w:tcPr>
          <w:p w14:paraId="13A35F6E"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20.00%</w:t>
            </w:r>
          </w:p>
        </w:tc>
        <w:tc>
          <w:tcPr>
            <w:tcW w:w="714" w:type="pct"/>
            <w:shd w:val="clear" w:color="auto" w:fill="FFFFFF" w:themeFill="background1"/>
          </w:tcPr>
          <w:p w14:paraId="7D90BA27"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32.60%</w:t>
            </w:r>
          </w:p>
        </w:tc>
        <w:tc>
          <w:tcPr>
            <w:tcW w:w="714" w:type="pct"/>
            <w:shd w:val="clear" w:color="auto" w:fill="FFFFFF" w:themeFill="background1"/>
          </w:tcPr>
          <w:p w14:paraId="34426E0B"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64.13%</w:t>
            </w:r>
          </w:p>
        </w:tc>
        <w:tc>
          <w:tcPr>
            <w:tcW w:w="714" w:type="pct"/>
            <w:shd w:val="clear" w:color="auto" w:fill="FFFFFF" w:themeFill="background1"/>
          </w:tcPr>
          <w:p w14:paraId="738469D8"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25.33%</w:t>
            </w:r>
          </w:p>
        </w:tc>
        <w:tc>
          <w:tcPr>
            <w:tcW w:w="715" w:type="pct"/>
            <w:tcBorders>
              <w:right w:val="single" w:sz="4" w:space="0" w:color="auto"/>
            </w:tcBorders>
            <w:shd w:val="clear" w:color="auto" w:fill="FFFFFF" w:themeFill="background1"/>
          </w:tcPr>
          <w:p w14:paraId="39DD791B"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35.77%</w:t>
            </w:r>
          </w:p>
        </w:tc>
        <w:tc>
          <w:tcPr>
            <w:tcW w:w="715" w:type="pct"/>
            <w:tcBorders>
              <w:left w:val="single" w:sz="4" w:space="0" w:color="auto"/>
              <w:right w:val="single" w:sz="4" w:space="0" w:color="auto"/>
            </w:tcBorders>
            <w:shd w:val="clear" w:color="auto" w:fill="FFFFFF" w:themeFill="background1"/>
          </w:tcPr>
          <w:p w14:paraId="007BE18C"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34.33%</w:t>
            </w:r>
          </w:p>
        </w:tc>
      </w:tr>
      <w:tr w:rsidR="006A76FD" w:rsidRPr="00483DC5" w14:paraId="7F4BC6DC"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bottom w:val="single" w:sz="4" w:space="0" w:color="auto"/>
            </w:tcBorders>
          </w:tcPr>
          <w:p w14:paraId="28A7D527" w14:textId="77777777" w:rsidR="006A76FD" w:rsidRPr="00483DC5" w:rsidRDefault="006A76FD" w:rsidP="00DA5EDB">
            <w:pPr>
              <w:rPr>
                <w:rFonts w:ascii="Garamond" w:hAnsi="Garamond"/>
                <w:sz w:val="20"/>
                <w:szCs w:val="20"/>
              </w:rPr>
            </w:pPr>
          </w:p>
        </w:tc>
        <w:tc>
          <w:tcPr>
            <w:tcW w:w="714" w:type="pct"/>
            <w:tcBorders>
              <w:bottom w:val="single" w:sz="4" w:space="0" w:color="auto"/>
            </w:tcBorders>
            <w:shd w:val="clear" w:color="auto" w:fill="FFFFFF" w:themeFill="background1"/>
          </w:tcPr>
          <w:p w14:paraId="49A90F00"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tcBorders>
              <w:bottom w:val="single" w:sz="4" w:space="0" w:color="auto"/>
            </w:tcBorders>
            <w:shd w:val="clear" w:color="auto" w:fill="FFFFFF" w:themeFill="background1"/>
          </w:tcPr>
          <w:p w14:paraId="75B13C50"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tcBorders>
              <w:bottom w:val="single" w:sz="4" w:space="0" w:color="auto"/>
            </w:tcBorders>
            <w:shd w:val="clear" w:color="auto" w:fill="FFFFFF" w:themeFill="background1"/>
          </w:tcPr>
          <w:p w14:paraId="2B63D255"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4" w:type="pct"/>
            <w:tcBorders>
              <w:bottom w:val="single" w:sz="4" w:space="0" w:color="auto"/>
            </w:tcBorders>
            <w:shd w:val="clear" w:color="auto" w:fill="FFFFFF" w:themeFill="background1"/>
          </w:tcPr>
          <w:p w14:paraId="2F88D7BA"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5" w:type="pct"/>
            <w:tcBorders>
              <w:bottom w:val="single" w:sz="4" w:space="0" w:color="auto"/>
              <w:right w:val="single" w:sz="4" w:space="0" w:color="auto"/>
            </w:tcBorders>
            <w:shd w:val="clear" w:color="auto" w:fill="FFFFFF" w:themeFill="background1"/>
          </w:tcPr>
          <w:p w14:paraId="2FC8D409"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715" w:type="pct"/>
            <w:tcBorders>
              <w:left w:val="single" w:sz="4" w:space="0" w:color="auto"/>
              <w:bottom w:val="single" w:sz="4" w:space="0" w:color="auto"/>
              <w:right w:val="single" w:sz="4" w:space="0" w:color="auto"/>
            </w:tcBorders>
            <w:shd w:val="clear" w:color="auto" w:fill="FFFFFF" w:themeFill="background1"/>
          </w:tcPr>
          <w:p w14:paraId="467B3277"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83DC5" w14:paraId="7C0E1806" w14:textId="77777777" w:rsidTr="00DA5EDB">
        <w:tc>
          <w:tcPr>
            <w:cnfStyle w:val="001000000000" w:firstRow="0" w:lastRow="0" w:firstColumn="1" w:lastColumn="0" w:oddVBand="0" w:evenVBand="0" w:oddHBand="0" w:evenHBand="0" w:firstRowFirstColumn="0" w:firstRowLastColumn="0" w:lastRowFirstColumn="0" w:lastRowLastColumn="0"/>
            <w:tcW w:w="714" w:type="pct"/>
            <w:tcBorders>
              <w:top w:val="single" w:sz="4" w:space="0" w:color="auto"/>
              <w:left w:val="single" w:sz="4" w:space="0" w:color="auto"/>
            </w:tcBorders>
          </w:tcPr>
          <w:p w14:paraId="1918D8A4" w14:textId="77777777" w:rsidR="006A76FD" w:rsidRPr="00483DC5" w:rsidRDefault="006A76FD" w:rsidP="00DA5EDB">
            <w:pPr>
              <w:rPr>
                <w:rFonts w:ascii="Garamond" w:hAnsi="Garamond"/>
                <w:sz w:val="20"/>
                <w:szCs w:val="20"/>
              </w:rPr>
            </w:pPr>
            <w:r w:rsidRPr="00483DC5">
              <w:rPr>
                <w:rFonts w:ascii="Garamond" w:hAnsi="Garamond"/>
                <w:sz w:val="20"/>
                <w:szCs w:val="20"/>
              </w:rPr>
              <w:t>Total</w:t>
            </w:r>
          </w:p>
        </w:tc>
        <w:tc>
          <w:tcPr>
            <w:tcW w:w="714" w:type="pct"/>
            <w:tcBorders>
              <w:top w:val="single" w:sz="4" w:space="0" w:color="auto"/>
            </w:tcBorders>
            <w:shd w:val="clear" w:color="auto" w:fill="FFFFFF" w:themeFill="background1"/>
          </w:tcPr>
          <w:p w14:paraId="693BC2A6"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455</w:t>
            </w:r>
          </w:p>
        </w:tc>
        <w:tc>
          <w:tcPr>
            <w:tcW w:w="714" w:type="pct"/>
            <w:tcBorders>
              <w:top w:val="single" w:sz="4" w:space="0" w:color="auto"/>
            </w:tcBorders>
            <w:shd w:val="clear" w:color="auto" w:fill="FFFFFF" w:themeFill="background1"/>
          </w:tcPr>
          <w:p w14:paraId="34A7478D"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1,175</w:t>
            </w:r>
          </w:p>
        </w:tc>
        <w:tc>
          <w:tcPr>
            <w:tcW w:w="714" w:type="pct"/>
            <w:tcBorders>
              <w:top w:val="single" w:sz="4" w:space="0" w:color="auto"/>
            </w:tcBorders>
            <w:shd w:val="clear" w:color="auto" w:fill="FFFFFF" w:themeFill="background1"/>
          </w:tcPr>
          <w:p w14:paraId="1070BF9F"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315</w:t>
            </w:r>
          </w:p>
        </w:tc>
        <w:tc>
          <w:tcPr>
            <w:tcW w:w="714" w:type="pct"/>
            <w:tcBorders>
              <w:top w:val="single" w:sz="4" w:space="0" w:color="auto"/>
            </w:tcBorders>
            <w:shd w:val="clear" w:color="auto" w:fill="FFFFFF" w:themeFill="background1"/>
          </w:tcPr>
          <w:p w14:paraId="5073F09B"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379</w:t>
            </w:r>
          </w:p>
        </w:tc>
        <w:tc>
          <w:tcPr>
            <w:tcW w:w="715" w:type="pct"/>
            <w:tcBorders>
              <w:top w:val="single" w:sz="4" w:space="0" w:color="auto"/>
              <w:right w:val="single" w:sz="4" w:space="0" w:color="auto"/>
            </w:tcBorders>
            <w:shd w:val="clear" w:color="auto" w:fill="FFFFFF" w:themeFill="background1"/>
          </w:tcPr>
          <w:p w14:paraId="0AE24CD8"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1,795</w:t>
            </w:r>
          </w:p>
        </w:tc>
        <w:tc>
          <w:tcPr>
            <w:tcW w:w="715" w:type="pct"/>
            <w:tcBorders>
              <w:top w:val="single" w:sz="4" w:space="0" w:color="auto"/>
              <w:left w:val="single" w:sz="4" w:space="0" w:color="auto"/>
              <w:right w:val="single" w:sz="4" w:space="0" w:color="auto"/>
            </w:tcBorders>
            <w:shd w:val="clear" w:color="auto" w:fill="FFFFFF" w:themeFill="background1"/>
          </w:tcPr>
          <w:p w14:paraId="26AAA87A" w14:textId="77777777" w:rsidR="006A76FD" w:rsidRPr="00483DC5" w:rsidRDefault="006A76FD" w:rsidP="00DA5ED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83DC5">
              <w:rPr>
                <w:rFonts w:ascii="Garamond" w:hAnsi="Garamond"/>
                <w:sz w:val="20"/>
                <w:szCs w:val="20"/>
              </w:rPr>
              <w:t xml:space="preserve">4,119 </w:t>
            </w:r>
          </w:p>
        </w:tc>
      </w:tr>
      <w:tr w:rsidR="006A76FD" w:rsidRPr="00483DC5" w14:paraId="53CCF7A5"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left w:val="single" w:sz="4" w:space="0" w:color="auto"/>
              <w:bottom w:val="single" w:sz="4" w:space="0" w:color="auto"/>
            </w:tcBorders>
          </w:tcPr>
          <w:p w14:paraId="43BC97DD" w14:textId="77777777" w:rsidR="006A76FD" w:rsidRPr="00483DC5" w:rsidRDefault="006A76FD" w:rsidP="00DA5EDB">
            <w:pPr>
              <w:rPr>
                <w:rFonts w:ascii="Garamond" w:hAnsi="Garamond"/>
                <w:sz w:val="20"/>
                <w:szCs w:val="20"/>
              </w:rPr>
            </w:pPr>
          </w:p>
        </w:tc>
        <w:tc>
          <w:tcPr>
            <w:tcW w:w="714" w:type="pct"/>
            <w:tcBorders>
              <w:bottom w:val="single" w:sz="4" w:space="0" w:color="auto"/>
            </w:tcBorders>
            <w:shd w:val="clear" w:color="auto" w:fill="FFFFFF" w:themeFill="background1"/>
          </w:tcPr>
          <w:p w14:paraId="351AD287"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100.00%</w:t>
            </w:r>
          </w:p>
        </w:tc>
        <w:tc>
          <w:tcPr>
            <w:tcW w:w="714" w:type="pct"/>
            <w:tcBorders>
              <w:bottom w:val="single" w:sz="4" w:space="0" w:color="auto"/>
            </w:tcBorders>
            <w:shd w:val="clear" w:color="auto" w:fill="FFFFFF" w:themeFill="background1"/>
          </w:tcPr>
          <w:p w14:paraId="610B4554"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100.00%</w:t>
            </w:r>
          </w:p>
        </w:tc>
        <w:tc>
          <w:tcPr>
            <w:tcW w:w="714" w:type="pct"/>
            <w:tcBorders>
              <w:bottom w:val="single" w:sz="4" w:space="0" w:color="auto"/>
            </w:tcBorders>
            <w:shd w:val="clear" w:color="auto" w:fill="FFFFFF" w:themeFill="background1"/>
          </w:tcPr>
          <w:p w14:paraId="086FA1E1"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100.00%</w:t>
            </w:r>
          </w:p>
        </w:tc>
        <w:tc>
          <w:tcPr>
            <w:tcW w:w="714" w:type="pct"/>
            <w:tcBorders>
              <w:bottom w:val="single" w:sz="4" w:space="0" w:color="auto"/>
            </w:tcBorders>
            <w:shd w:val="clear" w:color="auto" w:fill="FFFFFF" w:themeFill="background1"/>
          </w:tcPr>
          <w:p w14:paraId="3DA1D99A"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100.00%</w:t>
            </w:r>
          </w:p>
        </w:tc>
        <w:tc>
          <w:tcPr>
            <w:tcW w:w="715" w:type="pct"/>
            <w:tcBorders>
              <w:bottom w:val="single" w:sz="4" w:space="0" w:color="auto"/>
              <w:right w:val="single" w:sz="4" w:space="0" w:color="auto"/>
            </w:tcBorders>
            <w:shd w:val="clear" w:color="auto" w:fill="FFFFFF" w:themeFill="background1"/>
          </w:tcPr>
          <w:p w14:paraId="0525D0E0"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100.00%</w:t>
            </w:r>
          </w:p>
        </w:tc>
        <w:tc>
          <w:tcPr>
            <w:tcW w:w="715" w:type="pct"/>
            <w:tcBorders>
              <w:left w:val="single" w:sz="4" w:space="0" w:color="auto"/>
              <w:bottom w:val="single" w:sz="4" w:space="0" w:color="auto"/>
              <w:right w:val="single" w:sz="4" w:space="0" w:color="auto"/>
            </w:tcBorders>
            <w:shd w:val="clear" w:color="auto" w:fill="FFFFFF" w:themeFill="background1"/>
          </w:tcPr>
          <w:p w14:paraId="16CAD262" w14:textId="77777777" w:rsidR="006A76FD"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83DC5">
              <w:rPr>
                <w:rFonts w:ascii="Garamond" w:hAnsi="Garamond"/>
                <w:sz w:val="20"/>
                <w:szCs w:val="20"/>
              </w:rPr>
              <w:t>100.00%</w:t>
            </w:r>
          </w:p>
          <w:p w14:paraId="7DF5A522" w14:textId="77777777" w:rsidR="006A76FD" w:rsidRPr="00483DC5" w:rsidRDefault="006A76FD" w:rsidP="00DA5ED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bl>
    <w:p w14:paraId="79455D2A" w14:textId="77777777" w:rsidR="006A76FD" w:rsidRPr="00D3100C" w:rsidRDefault="00D3100C" w:rsidP="00D3100C">
      <w:pPr>
        <w:pStyle w:val="Caption"/>
        <w:rPr>
          <w:color w:val="auto"/>
        </w:rPr>
      </w:pPr>
      <w:r w:rsidRPr="00D3100C">
        <w:rPr>
          <w:color w:val="auto"/>
        </w:rPr>
        <w:lastRenderedPageBreak/>
        <w:t xml:space="preserve">Appendix </w:t>
      </w:r>
      <w:r w:rsidRPr="00D3100C">
        <w:rPr>
          <w:color w:val="auto"/>
        </w:rPr>
        <w:fldChar w:fldCharType="begin"/>
      </w:r>
      <w:r w:rsidRPr="00D3100C">
        <w:rPr>
          <w:color w:val="auto"/>
        </w:rPr>
        <w:instrText xml:space="preserve"> SEQ Appendix \* ARABIC </w:instrText>
      </w:r>
      <w:r w:rsidRPr="00D3100C">
        <w:rPr>
          <w:color w:val="auto"/>
        </w:rPr>
        <w:fldChar w:fldCharType="separate"/>
      </w:r>
      <w:r>
        <w:rPr>
          <w:noProof/>
          <w:color w:val="auto"/>
        </w:rPr>
        <w:t>4</w:t>
      </w:r>
      <w:r w:rsidRPr="00D3100C">
        <w:rPr>
          <w:color w:val="auto"/>
        </w:rPr>
        <w:fldChar w:fldCharType="end"/>
      </w:r>
      <w:r w:rsidRPr="00D3100C">
        <w:rPr>
          <w:color w:val="auto"/>
        </w:rPr>
        <w:t xml:space="preserve">: </w:t>
      </w:r>
      <w:r w:rsidR="006A76FD" w:rsidRPr="00D3100C">
        <w:rPr>
          <w:color w:val="auto"/>
        </w:rPr>
        <w:t>Summary Statistics for Panel dataset (Extended)</w:t>
      </w:r>
    </w:p>
    <w:tbl>
      <w:tblPr>
        <w:tblStyle w:val="PlainTable5"/>
        <w:tblW w:w="5000" w:type="pct"/>
        <w:tblLook w:val="04A0" w:firstRow="1" w:lastRow="0" w:firstColumn="1" w:lastColumn="0" w:noHBand="0" w:noVBand="1"/>
      </w:tblPr>
      <w:tblGrid>
        <w:gridCol w:w="1784"/>
        <w:gridCol w:w="1058"/>
        <w:gridCol w:w="1087"/>
        <w:gridCol w:w="1248"/>
        <w:gridCol w:w="1087"/>
        <w:gridCol w:w="1008"/>
        <w:gridCol w:w="1744"/>
      </w:tblGrid>
      <w:tr w:rsidR="006A76FD" w:rsidRPr="004F336D" w14:paraId="4CDE2C9B" w14:textId="77777777" w:rsidTr="00DA5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9" w:type="pct"/>
            <w:tcBorders>
              <w:top w:val="single" w:sz="4" w:space="0" w:color="auto"/>
              <w:left w:val="single" w:sz="4" w:space="0" w:color="auto"/>
            </w:tcBorders>
            <w:shd w:val="clear" w:color="auto" w:fill="auto"/>
          </w:tcPr>
          <w:p w14:paraId="7514077F" w14:textId="77777777" w:rsidR="006A76FD" w:rsidRPr="004F336D" w:rsidRDefault="006A76FD" w:rsidP="00DA5EDB">
            <w:pPr>
              <w:spacing w:line="276" w:lineRule="auto"/>
              <w:rPr>
                <w:rFonts w:ascii="Garamond" w:hAnsi="Garamond"/>
                <w:b/>
                <w:sz w:val="20"/>
                <w:szCs w:val="20"/>
              </w:rPr>
            </w:pPr>
            <w:r w:rsidRPr="004F336D">
              <w:rPr>
                <w:rFonts w:ascii="Garamond" w:hAnsi="Garamond"/>
                <w:b/>
                <w:sz w:val="20"/>
                <w:szCs w:val="20"/>
              </w:rPr>
              <w:t>Variable</w:t>
            </w:r>
          </w:p>
        </w:tc>
        <w:tc>
          <w:tcPr>
            <w:tcW w:w="587" w:type="pct"/>
            <w:tcBorders>
              <w:top w:val="single" w:sz="4" w:space="0" w:color="auto"/>
            </w:tcBorders>
            <w:shd w:val="clear" w:color="auto" w:fill="auto"/>
          </w:tcPr>
          <w:p w14:paraId="1C707B11" w14:textId="77777777" w:rsidR="006A76FD" w:rsidRPr="004F336D" w:rsidRDefault="006A76FD" w:rsidP="00DA5EDB">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sz w:val="20"/>
                <w:szCs w:val="20"/>
              </w:rPr>
            </w:pPr>
          </w:p>
        </w:tc>
        <w:tc>
          <w:tcPr>
            <w:tcW w:w="603" w:type="pct"/>
            <w:tcBorders>
              <w:top w:val="single" w:sz="4" w:space="0" w:color="auto"/>
            </w:tcBorders>
            <w:shd w:val="clear" w:color="auto" w:fill="auto"/>
          </w:tcPr>
          <w:p w14:paraId="222DEC42" w14:textId="77777777" w:rsidR="006A76FD" w:rsidRPr="004F336D" w:rsidRDefault="006A76FD" w:rsidP="00DA5EDB">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sz w:val="20"/>
                <w:szCs w:val="20"/>
              </w:rPr>
            </w:pPr>
            <w:r w:rsidRPr="004F336D">
              <w:rPr>
                <w:rFonts w:ascii="Garamond" w:hAnsi="Garamond"/>
                <w:b/>
                <w:sz w:val="20"/>
                <w:szCs w:val="20"/>
              </w:rPr>
              <w:t>Mean</w:t>
            </w:r>
          </w:p>
        </w:tc>
        <w:tc>
          <w:tcPr>
            <w:tcW w:w="692" w:type="pct"/>
            <w:tcBorders>
              <w:top w:val="single" w:sz="4" w:space="0" w:color="auto"/>
            </w:tcBorders>
            <w:shd w:val="clear" w:color="auto" w:fill="auto"/>
          </w:tcPr>
          <w:p w14:paraId="56CD527A" w14:textId="77777777" w:rsidR="006A76FD" w:rsidRPr="004F336D" w:rsidRDefault="006A76FD" w:rsidP="00DA5EDB">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sz w:val="20"/>
                <w:szCs w:val="20"/>
              </w:rPr>
            </w:pPr>
            <w:r w:rsidRPr="004F336D">
              <w:rPr>
                <w:rFonts w:ascii="Garamond" w:hAnsi="Garamond"/>
                <w:b/>
                <w:sz w:val="20"/>
                <w:szCs w:val="20"/>
              </w:rPr>
              <w:t>Std. Dev.</w:t>
            </w:r>
          </w:p>
        </w:tc>
        <w:tc>
          <w:tcPr>
            <w:tcW w:w="603" w:type="pct"/>
            <w:tcBorders>
              <w:top w:val="single" w:sz="4" w:space="0" w:color="auto"/>
            </w:tcBorders>
            <w:shd w:val="clear" w:color="auto" w:fill="auto"/>
          </w:tcPr>
          <w:p w14:paraId="1DE1FC7F" w14:textId="77777777" w:rsidR="006A76FD" w:rsidRPr="004F336D" w:rsidRDefault="006A76FD" w:rsidP="00DA5EDB">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sz w:val="20"/>
                <w:szCs w:val="20"/>
              </w:rPr>
            </w:pPr>
            <w:r w:rsidRPr="004F336D">
              <w:rPr>
                <w:rFonts w:ascii="Garamond" w:hAnsi="Garamond"/>
                <w:b/>
                <w:sz w:val="20"/>
                <w:szCs w:val="20"/>
              </w:rPr>
              <w:t>Min</w:t>
            </w:r>
          </w:p>
        </w:tc>
        <w:tc>
          <w:tcPr>
            <w:tcW w:w="559" w:type="pct"/>
            <w:tcBorders>
              <w:top w:val="single" w:sz="4" w:space="0" w:color="auto"/>
            </w:tcBorders>
            <w:shd w:val="clear" w:color="auto" w:fill="auto"/>
          </w:tcPr>
          <w:p w14:paraId="01A05661" w14:textId="77777777" w:rsidR="006A76FD" w:rsidRPr="004F336D" w:rsidRDefault="006A76FD" w:rsidP="00DA5EDB">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sz w:val="20"/>
                <w:szCs w:val="20"/>
              </w:rPr>
            </w:pPr>
            <w:r w:rsidRPr="004F336D">
              <w:rPr>
                <w:rFonts w:ascii="Garamond" w:hAnsi="Garamond"/>
                <w:b/>
                <w:sz w:val="20"/>
                <w:szCs w:val="20"/>
              </w:rPr>
              <w:t>Max</w:t>
            </w:r>
          </w:p>
        </w:tc>
        <w:tc>
          <w:tcPr>
            <w:tcW w:w="967" w:type="pct"/>
            <w:tcBorders>
              <w:top w:val="single" w:sz="4" w:space="0" w:color="auto"/>
              <w:right w:val="single" w:sz="4" w:space="0" w:color="auto"/>
            </w:tcBorders>
            <w:shd w:val="clear" w:color="auto" w:fill="auto"/>
          </w:tcPr>
          <w:p w14:paraId="7F1E6A3A" w14:textId="77777777" w:rsidR="006A76FD" w:rsidRPr="004F336D" w:rsidRDefault="006A76FD" w:rsidP="00DA5EDB">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sz w:val="20"/>
                <w:szCs w:val="20"/>
              </w:rPr>
            </w:pPr>
            <w:r w:rsidRPr="004F336D">
              <w:rPr>
                <w:rFonts w:ascii="Garamond" w:hAnsi="Garamond"/>
                <w:b/>
                <w:sz w:val="20"/>
                <w:szCs w:val="20"/>
              </w:rPr>
              <w:t>Observations</w:t>
            </w:r>
          </w:p>
        </w:tc>
      </w:tr>
      <w:tr w:rsidR="006A76FD" w:rsidRPr="004F336D" w14:paraId="1FFBEAFD"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02620D28"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069F58A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2A18BD1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121ACB3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28F33D4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1682E71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36E8E73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3926409B"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1E72A336" w14:textId="77777777" w:rsidR="006A76FD" w:rsidRPr="004F336D" w:rsidRDefault="006A76FD" w:rsidP="00DA5EDB">
            <w:pPr>
              <w:spacing w:line="276" w:lineRule="auto"/>
              <w:jc w:val="left"/>
              <w:rPr>
                <w:rFonts w:ascii="Garamond" w:hAnsi="Garamond"/>
                <w:sz w:val="20"/>
                <w:szCs w:val="20"/>
              </w:rPr>
            </w:pPr>
            <w:r w:rsidRPr="004F336D">
              <w:rPr>
                <w:rFonts w:ascii="Garamond" w:hAnsi="Garamond"/>
                <w:sz w:val="20"/>
                <w:szCs w:val="20"/>
              </w:rPr>
              <w:t xml:space="preserve">Financial-Social </w:t>
            </w:r>
          </w:p>
        </w:tc>
        <w:tc>
          <w:tcPr>
            <w:tcW w:w="587" w:type="pct"/>
            <w:shd w:val="clear" w:color="auto" w:fill="auto"/>
          </w:tcPr>
          <w:p w14:paraId="2EEC040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2F63E108"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3.7616</w:t>
            </w:r>
          </w:p>
        </w:tc>
        <w:tc>
          <w:tcPr>
            <w:tcW w:w="692" w:type="pct"/>
            <w:shd w:val="clear" w:color="auto" w:fill="auto"/>
          </w:tcPr>
          <w:p w14:paraId="25BCAAE0"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1.0879</w:t>
            </w:r>
          </w:p>
        </w:tc>
        <w:tc>
          <w:tcPr>
            <w:tcW w:w="603" w:type="pct"/>
            <w:shd w:val="clear" w:color="auto" w:fill="auto"/>
          </w:tcPr>
          <w:p w14:paraId="51F42B57"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2</w:t>
            </w:r>
          </w:p>
        </w:tc>
        <w:tc>
          <w:tcPr>
            <w:tcW w:w="559" w:type="pct"/>
            <w:shd w:val="clear" w:color="auto" w:fill="auto"/>
          </w:tcPr>
          <w:p w14:paraId="1F2F8BE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5</w:t>
            </w:r>
          </w:p>
        </w:tc>
        <w:tc>
          <w:tcPr>
            <w:tcW w:w="967" w:type="pct"/>
            <w:tcBorders>
              <w:right w:val="single" w:sz="4" w:space="0" w:color="auto"/>
            </w:tcBorders>
            <w:shd w:val="clear" w:color="auto" w:fill="auto"/>
          </w:tcPr>
          <w:p w14:paraId="7E1650CA"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4119</w:t>
            </w:r>
          </w:p>
        </w:tc>
      </w:tr>
      <w:tr w:rsidR="006A76FD" w:rsidRPr="004F336D" w14:paraId="47F77D4B"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0B895174" w14:textId="77777777" w:rsidR="006A76FD" w:rsidRPr="004F336D" w:rsidRDefault="006A76FD" w:rsidP="00DA5EDB">
            <w:pPr>
              <w:spacing w:line="276" w:lineRule="auto"/>
              <w:jc w:val="left"/>
              <w:rPr>
                <w:rFonts w:ascii="Garamond" w:hAnsi="Garamond"/>
                <w:sz w:val="20"/>
                <w:szCs w:val="20"/>
              </w:rPr>
            </w:pPr>
            <w:r w:rsidRPr="004F336D">
              <w:rPr>
                <w:rFonts w:ascii="Garamond" w:hAnsi="Garamond"/>
                <w:sz w:val="20"/>
                <w:szCs w:val="20"/>
              </w:rPr>
              <w:t>Performance (Finsoc1)</w:t>
            </w:r>
          </w:p>
        </w:tc>
        <w:tc>
          <w:tcPr>
            <w:tcW w:w="587" w:type="pct"/>
            <w:shd w:val="clear" w:color="auto" w:fill="auto"/>
          </w:tcPr>
          <w:p w14:paraId="2E068C22"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4C3AC8A5"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0630490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0.8753</w:t>
            </w:r>
          </w:p>
        </w:tc>
        <w:tc>
          <w:tcPr>
            <w:tcW w:w="603" w:type="pct"/>
            <w:shd w:val="clear" w:color="auto" w:fill="auto"/>
          </w:tcPr>
          <w:p w14:paraId="056F0271"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2</w:t>
            </w:r>
          </w:p>
        </w:tc>
        <w:tc>
          <w:tcPr>
            <w:tcW w:w="559" w:type="pct"/>
            <w:shd w:val="clear" w:color="auto" w:fill="auto"/>
          </w:tcPr>
          <w:p w14:paraId="0EBD5B8E"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5</w:t>
            </w:r>
          </w:p>
        </w:tc>
        <w:tc>
          <w:tcPr>
            <w:tcW w:w="967" w:type="pct"/>
            <w:tcBorders>
              <w:right w:val="single" w:sz="4" w:space="0" w:color="auto"/>
            </w:tcBorders>
            <w:shd w:val="clear" w:color="auto" w:fill="auto"/>
          </w:tcPr>
          <w:p w14:paraId="116E1A6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632</w:t>
            </w:r>
          </w:p>
        </w:tc>
      </w:tr>
      <w:tr w:rsidR="006A76FD" w:rsidRPr="004F336D" w14:paraId="321F1B2E"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7C8E6F99"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7F5C3A1D"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102E5C5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5D99BF3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0.7457</w:t>
            </w:r>
          </w:p>
        </w:tc>
        <w:tc>
          <w:tcPr>
            <w:tcW w:w="603" w:type="pct"/>
            <w:shd w:val="clear" w:color="auto" w:fill="auto"/>
          </w:tcPr>
          <w:p w14:paraId="6E4A592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1.1783</w:t>
            </w:r>
          </w:p>
        </w:tc>
        <w:tc>
          <w:tcPr>
            <w:tcW w:w="559" w:type="pct"/>
            <w:shd w:val="clear" w:color="auto" w:fill="auto"/>
          </w:tcPr>
          <w:p w14:paraId="354A3C4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6.2616</w:t>
            </w:r>
          </w:p>
        </w:tc>
        <w:tc>
          <w:tcPr>
            <w:tcW w:w="967" w:type="pct"/>
            <w:tcBorders>
              <w:right w:val="single" w:sz="4" w:space="0" w:color="auto"/>
            </w:tcBorders>
            <w:shd w:val="clear" w:color="auto" w:fill="auto"/>
          </w:tcPr>
          <w:p w14:paraId="7BF6476D"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6.5174</w:t>
            </w:r>
          </w:p>
        </w:tc>
      </w:tr>
      <w:tr w:rsidR="006A76FD" w:rsidRPr="004F336D" w14:paraId="5F259053"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6E6293D7"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56CEA108"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5004888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58F73820"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1F31189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3989211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5CC726B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7ADBC14A"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3F1EA96D"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Age (Dummy)</w:t>
            </w:r>
          </w:p>
        </w:tc>
        <w:tc>
          <w:tcPr>
            <w:tcW w:w="587" w:type="pct"/>
            <w:shd w:val="clear" w:color="auto" w:fill="auto"/>
          </w:tcPr>
          <w:p w14:paraId="16569C4F"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13B730C8"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1.6987</w:t>
            </w:r>
          </w:p>
        </w:tc>
        <w:tc>
          <w:tcPr>
            <w:tcW w:w="692" w:type="pct"/>
            <w:shd w:val="clear" w:color="auto" w:fill="auto"/>
          </w:tcPr>
          <w:p w14:paraId="75D73754"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0.8327</w:t>
            </w:r>
          </w:p>
        </w:tc>
        <w:tc>
          <w:tcPr>
            <w:tcW w:w="603" w:type="pct"/>
            <w:shd w:val="clear" w:color="auto" w:fill="auto"/>
          </w:tcPr>
          <w:p w14:paraId="5C728714"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w:t>
            </w:r>
          </w:p>
        </w:tc>
        <w:tc>
          <w:tcPr>
            <w:tcW w:w="559" w:type="pct"/>
            <w:shd w:val="clear" w:color="auto" w:fill="auto"/>
          </w:tcPr>
          <w:p w14:paraId="30B4E3F5"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w:t>
            </w:r>
          </w:p>
        </w:tc>
        <w:tc>
          <w:tcPr>
            <w:tcW w:w="967" w:type="pct"/>
            <w:tcBorders>
              <w:right w:val="single" w:sz="4" w:space="0" w:color="auto"/>
            </w:tcBorders>
            <w:shd w:val="clear" w:color="auto" w:fill="auto"/>
          </w:tcPr>
          <w:p w14:paraId="2699F1BE"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4918</w:t>
            </w:r>
          </w:p>
        </w:tc>
      </w:tr>
      <w:tr w:rsidR="006A76FD" w:rsidRPr="004F336D" w14:paraId="70282913"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5B9327B8"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3767B72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20EA2FEE"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533D925B"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0.6703</w:t>
            </w:r>
          </w:p>
        </w:tc>
        <w:tc>
          <w:tcPr>
            <w:tcW w:w="603" w:type="pct"/>
            <w:shd w:val="clear" w:color="auto" w:fill="auto"/>
          </w:tcPr>
          <w:p w14:paraId="7C247F2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1</w:t>
            </w:r>
          </w:p>
        </w:tc>
        <w:tc>
          <w:tcPr>
            <w:tcW w:w="559" w:type="pct"/>
            <w:shd w:val="clear" w:color="auto" w:fill="auto"/>
          </w:tcPr>
          <w:p w14:paraId="1F2FE48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3</w:t>
            </w:r>
          </w:p>
        </w:tc>
        <w:tc>
          <w:tcPr>
            <w:tcW w:w="967" w:type="pct"/>
            <w:tcBorders>
              <w:right w:val="single" w:sz="4" w:space="0" w:color="auto"/>
            </w:tcBorders>
            <w:shd w:val="clear" w:color="auto" w:fill="auto"/>
          </w:tcPr>
          <w:p w14:paraId="0B5FAAC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911</w:t>
            </w:r>
          </w:p>
        </w:tc>
      </w:tr>
      <w:tr w:rsidR="006A76FD" w:rsidRPr="004F336D" w14:paraId="100E198C"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4FBCBD5B"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16B924DA"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57C77C0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1AEE51FE"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0.5743</w:t>
            </w:r>
          </w:p>
        </w:tc>
        <w:tc>
          <w:tcPr>
            <w:tcW w:w="603" w:type="pct"/>
            <w:shd w:val="clear" w:color="auto" w:fill="auto"/>
          </w:tcPr>
          <w:p w14:paraId="43CC464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0.0987</w:t>
            </w:r>
          </w:p>
        </w:tc>
        <w:tc>
          <w:tcPr>
            <w:tcW w:w="559" w:type="pct"/>
            <w:shd w:val="clear" w:color="auto" w:fill="auto"/>
          </w:tcPr>
          <w:p w14:paraId="0EB0024F"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3.5934</w:t>
            </w:r>
          </w:p>
        </w:tc>
        <w:tc>
          <w:tcPr>
            <w:tcW w:w="967" w:type="pct"/>
            <w:tcBorders>
              <w:right w:val="single" w:sz="4" w:space="0" w:color="auto"/>
            </w:tcBorders>
            <w:shd w:val="clear" w:color="auto" w:fill="auto"/>
          </w:tcPr>
          <w:p w14:paraId="11554A3F"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5.3985</w:t>
            </w:r>
          </w:p>
        </w:tc>
      </w:tr>
      <w:tr w:rsidR="006A76FD" w:rsidRPr="004F336D" w14:paraId="70E70596"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07F6CE5A"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225718E8"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02633754"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334E4A1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5D7D0D2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216E75E0"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25ACCAA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6567127B"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69CE500A"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Region (Dummy)</w:t>
            </w:r>
          </w:p>
        </w:tc>
        <w:tc>
          <w:tcPr>
            <w:tcW w:w="587" w:type="pct"/>
            <w:shd w:val="clear" w:color="auto" w:fill="auto"/>
          </w:tcPr>
          <w:p w14:paraId="2AE175E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2675432A"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3.5043</w:t>
            </w:r>
          </w:p>
        </w:tc>
        <w:tc>
          <w:tcPr>
            <w:tcW w:w="692" w:type="pct"/>
            <w:shd w:val="clear" w:color="auto" w:fill="auto"/>
          </w:tcPr>
          <w:p w14:paraId="7B9E5BB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1.5450</w:t>
            </w:r>
          </w:p>
        </w:tc>
        <w:tc>
          <w:tcPr>
            <w:tcW w:w="603" w:type="pct"/>
            <w:shd w:val="clear" w:color="auto" w:fill="auto"/>
          </w:tcPr>
          <w:p w14:paraId="0531D4A0"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w:t>
            </w:r>
          </w:p>
        </w:tc>
        <w:tc>
          <w:tcPr>
            <w:tcW w:w="559" w:type="pct"/>
            <w:shd w:val="clear" w:color="auto" w:fill="auto"/>
          </w:tcPr>
          <w:p w14:paraId="63B6C0E2"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5</w:t>
            </w:r>
          </w:p>
        </w:tc>
        <w:tc>
          <w:tcPr>
            <w:tcW w:w="967" w:type="pct"/>
            <w:tcBorders>
              <w:right w:val="single" w:sz="4" w:space="0" w:color="auto"/>
            </w:tcBorders>
            <w:shd w:val="clear" w:color="auto" w:fill="auto"/>
          </w:tcPr>
          <w:p w14:paraId="7512983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4918</w:t>
            </w:r>
          </w:p>
        </w:tc>
      </w:tr>
      <w:tr w:rsidR="006A76FD" w:rsidRPr="004F336D" w14:paraId="2CD85512"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3E3CED0C"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425EC292"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485B3361"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6DCEEFFF"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1.5677</w:t>
            </w:r>
          </w:p>
        </w:tc>
        <w:tc>
          <w:tcPr>
            <w:tcW w:w="603" w:type="pct"/>
            <w:shd w:val="clear" w:color="auto" w:fill="auto"/>
          </w:tcPr>
          <w:p w14:paraId="36D9E8B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1</w:t>
            </w:r>
          </w:p>
        </w:tc>
        <w:tc>
          <w:tcPr>
            <w:tcW w:w="559" w:type="pct"/>
            <w:shd w:val="clear" w:color="auto" w:fill="auto"/>
          </w:tcPr>
          <w:p w14:paraId="60C1C803"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5</w:t>
            </w:r>
          </w:p>
        </w:tc>
        <w:tc>
          <w:tcPr>
            <w:tcW w:w="967" w:type="pct"/>
            <w:tcBorders>
              <w:right w:val="single" w:sz="4" w:space="0" w:color="auto"/>
            </w:tcBorders>
            <w:shd w:val="clear" w:color="auto" w:fill="auto"/>
          </w:tcPr>
          <w:p w14:paraId="05230DE2"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911</w:t>
            </w:r>
          </w:p>
        </w:tc>
      </w:tr>
      <w:tr w:rsidR="006A76FD" w:rsidRPr="004F336D" w14:paraId="40227D7B"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02444F56"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11A447C6"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66622CE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5F609C30"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w:t>
            </w:r>
          </w:p>
        </w:tc>
        <w:tc>
          <w:tcPr>
            <w:tcW w:w="603" w:type="pct"/>
            <w:shd w:val="clear" w:color="auto" w:fill="auto"/>
          </w:tcPr>
          <w:p w14:paraId="1854BF3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3.5043</w:t>
            </w:r>
          </w:p>
        </w:tc>
        <w:tc>
          <w:tcPr>
            <w:tcW w:w="559" w:type="pct"/>
            <w:shd w:val="clear" w:color="auto" w:fill="auto"/>
          </w:tcPr>
          <w:p w14:paraId="0638A2C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3.5043</w:t>
            </w:r>
          </w:p>
        </w:tc>
        <w:tc>
          <w:tcPr>
            <w:tcW w:w="967" w:type="pct"/>
            <w:tcBorders>
              <w:right w:val="single" w:sz="4" w:space="0" w:color="auto"/>
            </w:tcBorders>
            <w:shd w:val="clear" w:color="auto" w:fill="auto"/>
          </w:tcPr>
          <w:p w14:paraId="45C8B708"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5.3985</w:t>
            </w:r>
          </w:p>
        </w:tc>
      </w:tr>
      <w:tr w:rsidR="006A76FD" w:rsidRPr="004F336D" w14:paraId="2EFB513F"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0634ADC8"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2DFB79D2"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237D2E8E"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146FB915"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1D1C16A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599DA4B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0FC5B69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7AC24491"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7A6897CE"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Size (</w:t>
            </w:r>
            <w:proofErr w:type="spellStart"/>
            <w:r w:rsidRPr="004F336D">
              <w:rPr>
                <w:rFonts w:ascii="Garamond" w:hAnsi="Garamond"/>
                <w:sz w:val="20"/>
                <w:szCs w:val="20"/>
              </w:rPr>
              <w:t>lassets</w:t>
            </w:r>
            <w:proofErr w:type="spellEnd"/>
            <w:r w:rsidRPr="004F336D">
              <w:rPr>
                <w:rFonts w:ascii="Garamond" w:hAnsi="Garamond"/>
                <w:sz w:val="20"/>
                <w:szCs w:val="20"/>
              </w:rPr>
              <w:t>)</w:t>
            </w:r>
          </w:p>
        </w:tc>
        <w:tc>
          <w:tcPr>
            <w:tcW w:w="587" w:type="pct"/>
            <w:shd w:val="clear" w:color="auto" w:fill="auto"/>
          </w:tcPr>
          <w:p w14:paraId="1994A356"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764AEA7D"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14.8748</w:t>
            </w:r>
          </w:p>
        </w:tc>
        <w:tc>
          <w:tcPr>
            <w:tcW w:w="692" w:type="pct"/>
            <w:shd w:val="clear" w:color="auto" w:fill="auto"/>
          </w:tcPr>
          <w:p w14:paraId="3312ABD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2.2571</w:t>
            </w:r>
          </w:p>
        </w:tc>
        <w:tc>
          <w:tcPr>
            <w:tcW w:w="603" w:type="pct"/>
            <w:shd w:val="clear" w:color="auto" w:fill="auto"/>
          </w:tcPr>
          <w:p w14:paraId="6E57C08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0.1398</w:t>
            </w:r>
          </w:p>
        </w:tc>
        <w:tc>
          <w:tcPr>
            <w:tcW w:w="559" w:type="pct"/>
            <w:shd w:val="clear" w:color="auto" w:fill="auto"/>
          </w:tcPr>
          <w:p w14:paraId="37810DC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22.9786</w:t>
            </w:r>
          </w:p>
        </w:tc>
        <w:tc>
          <w:tcPr>
            <w:tcW w:w="967" w:type="pct"/>
            <w:tcBorders>
              <w:right w:val="single" w:sz="4" w:space="0" w:color="auto"/>
            </w:tcBorders>
            <w:shd w:val="clear" w:color="auto" w:fill="auto"/>
          </w:tcPr>
          <w:p w14:paraId="6CFB2B8A"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4738</w:t>
            </w:r>
          </w:p>
        </w:tc>
      </w:tr>
      <w:tr w:rsidR="006A76FD" w:rsidRPr="004F336D" w14:paraId="4F230B2A"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09CD5D33"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267D1E02"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28F4FA3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592FA808"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2.2082</w:t>
            </w:r>
          </w:p>
        </w:tc>
        <w:tc>
          <w:tcPr>
            <w:tcW w:w="603" w:type="pct"/>
            <w:shd w:val="clear" w:color="auto" w:fill="auto"/>
          </w:tcPr>
          <w:p w14:paraId="144E2083"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3.0067</w:t>
            </w:r>
          </w:p>
        </w:tc>
        <w:tc>
          <w:tcPr>
            <w:tcW w:w="559" w:type="pct"/>
            <w:shd w:val="clear" w:color="auto" w:fill="auto"/>
          </w:tcPr>
          <w:p w14:paraId="144200C2"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22.6132</w:t>
            </w:r>
          </w:p>
        </w:tc>
        <w:tc>
          <w:tcPr>
            <w:tcW w:w="967" w:type="pct"/>
            <w:tcBorders>
              <w:right w:val="single" w:sz="4" w:space="0" w:color="auto"/>
            </w:tcBorders>
            <w:shd w:val="clear" w:color="auto" w:fill="auto"/>
          </w:tcPr>
          <w:p w14:paraId="4323CAA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841</w:t>
            </w:r>
          </w:p>
        </w:tc>
      </w:tr>
      <w:tr w:rsidR="006A76FD" w:rsidRPr="004F336D" w14:paraId="0DF5B5D5"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0E702C91"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006A7625"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0F431727"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1BDBDF0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0.8051</w:t>
            </w:r>
          </w:p>
        </w:tc>
        <w:tc>
          <w:tcPr>
            <w:tcW w:w="603" w:type="pct"/>
            <w:shd w:val="clear" w:color="auto" w:fill="auto"/>
          </w:tcPr>
          <w:p w14:paraId="5D06F24E"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9.5202</w:t>
            </w:r>
          </w:p>
        </w:tc>
        <w:tc>
          <w:tcPr>
            <w:tcW w:w="559" w:type="pct"/>
            <w:shd w:val="clear" w:color="auto" w:fill="auto"/>
          </w:tcPr>
          <w:p w14:paraId="6E8A80B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19.3762</w:t>
            </w:r>
          </w:p>
        </w:tc>
        <w:tc>
          <w:tcPr>
            <w:tcW w:w="967" w:type="pct"/>
            <w:tcBorders>
              <w:right w:val="single" w:sz="4" w:space="0" w:color="auto"/>
            </w:tcBorders>
            <w:shd w:val="clear" w:color="auto" w:fill="auto"/>
          </w:tcPr>
          <w:p w14:paraId="52792E65"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5.6338</w:t>
            </w:r>
          </w:p>
        </w:tc>
      </w:tr>
      <w:tr w:rsidR="006A76FD" w:rsidRPr="004F336D" w14:paraId="36AE71FE"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264D5764"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001E54D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26A9C12E"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5964CBF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0AF1AB2F"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7440E57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78B0EE2F"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7A95883D"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5D57ECEC"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GDP Growth</w:t>
            </w:r>
          </w:p>
        </w:tc>
        <w:tc>
          <w:tcPr>
            <w:tcW w:w="587" w:type="pct"/>
            <w:shd w:val="clear" w:color="auto" w:fill="auto"/>
          </w:tcPr>
          <w:p w14:paraId="1128F6C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6B90BA8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5.3030</w:t>
            </w:r>
          </w:p>
        </w:tc>
        <w:tc>
          <w:tcPr>
            <w:tcW w:w="692" w:type="pct"/>
            <w:shd w:val="clear" w:color="auto" w:fill="auto"/>
          </w:tcPr>
          <w:p w14:paraId="2A501B98"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3.8446</w:t>
            </w:r>
          </w:p>
        </w:tc>
        <w:tc>
          <w:tcPr>
            <w:tcW w:w="603" w:type="pct"/>
            <w:shd w:val="clear" w:color="auto" w:fill="auto"/>
          </w:tcPr>
          <w:p w14:paraId="5E3F4E30"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-52.4275</w:t>
            </w:r>
          </w:p>
        </w:tc>
        <w:tc>
          <w:tcPr>
            <w:tcW w:w="559" w:type="pct"/>
            <w:shd w:val="clear" w:color="auto" w:fill="auto"/>
          </w:tcPr>
          <w:p w14:paraId="3DA77B94"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33.6294</w:t>
            </w:r>
          </w:p>
        </w:tc>
        <w:tc>
          <w:tcPr>
            <w:tcW w:w="967" w:type="pct"/>
            <w:tcBorders>
              <w:right w:val="single" w:sz="4" w:space="0" w:color="auto"/>
            </w:tcBorders>
            <w:shd w:val="clear" w:color="auto" w:fill="auto"/>
          </w:tcPr>
          <w:p w14:paraId="5D3CA512"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4918</w:t>
            </w:r>
          </w:p>
        </w:tc>
      </w:tr>
      <w:tr w:rsidR="006A76FD" w:rsidRPr="004F336D" w14:paraId="45473F23"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55989128"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59059541"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463BC3C4"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7DD21848"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2.3382</w:t>
            </w:r>
          </w:p>
        </w:tc>
        <w:tc>
          <w:tcPr>
            <w:tcW w:w="603" w:type="pct"/>
            <w:shd w:val="clear" w:color="auto" w:fill="auto"/>
          </w:tcPr>
          <w:p w14:paraId="7FFA7970"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-12.9446</w:t>
            </w:r>
          </w:p>
        </w:tc>
        <w:tc>
          <w:tcPr>
            <w:tcW w:w="559" w:type="pct"/>
            <w:shd w:val="clear" w:color="auto" w:fill="auto"/>
          </w:tcPr>
          <w:p w14:paraId="4711C47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14.0471</w:t>
            </w:r>
          </w:p>
        </w:tc>
        <w:tc>
          <w:tcPr>
            <w:tcW w:w="967" w:type="pct"/>
            <w:tcBorders>
              <w:right w:val="single" w:sz="4" w:space="0" w:color="auto"/>
            </w:tcBorders>
            <w:shd w:val="clear" w:color="auto" w:fill="auto"/>
          </w:tcPr>
          <w:p w14:paraId="0FAB9A33"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911</w:t>
            </w:r>
          </w:p>
        </w:tc>
      </w:tr>
      <w:tr w:rsidR="006A76FD" w:rsidRPr="004F336D" w14:paraId="21526843"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594E0CC9"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224D6A84"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0EFC083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75D42402"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3.2785</w:t>
            </w:r>
          </w:p>
        </w:tc>
        <w:tc>
          <w:tcPr>
            <w:tcW w:w="603" w:type="pct"/>
            <w:shd w:val="clear" w:color="auto" w:fill="auto"/>
          </w:tcPr>
          <w:p w14:paraId="66764E7F"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-46.5989</w:t>
            </w:r>
          </w:p>
        </w:tc>
        <w:tc>
          <w:tcPr>
            <w:tcW w:w="559" w:type="pct"/>
            <w:shd w:val="clear" w:color="auto" w:fill="auto"/>
          </w:tcPr>
          <w:p w14:paraId="63AE3C05"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41.3544</w:t>
            </w:r>
          </w:p>
        </w:tc>
        <w:tc>
          <w:tcPr>
            <w:tcW w:w="967" w:type="pct"/>
            <w:tcBorders>
              <w:right w:val="single" w:sz="4" w:space="0" w:color="auto"/>
            </w:tcBorders>
            <w:shd w:val="clear" w:color="auto" w:fill="auto"/>
          </w:tcPr>
          <w:p w14:paraId="2E417C8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5.3985</w:t>
            </w:r>
          </w:p>
        </w:tc>
      </w:tr>
      <w:tr w:rsidR="006A76FD" w:rsidRPr="004F336D" w14:paraId="24866F22"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71768E6E"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6C4305B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623F7C7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389707F2"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1518AE8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6EEC1BD3"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72F462F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7CAB6802"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5462427E"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 xml:space="preserve">Institutional </w:t>
            </w:r>
          </w:p>
        </w:tc>
        <w:tc>
          <w:tcPr>
            <w:tcW w:w="587" w:type="pct"/>
            <w:shd w:val="clear" w:color="auto" w:fill="auto"/>
          </w:tcPr>
          <w:p w14:paraId="589DBF2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36BA294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-0.02013</w:t>
            </w:r>
          </w:p>
        </w:tc>
        <w:tc>
          <w:tcPr>
            <w:tcW w:w="692" w:type="pct"/>
            <w:shd w:val="clear" w:color="auto" w:fill="auto"/>
          </w:tcPr>
          <w:p w14:paraId="1ECE964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0.1908</w:t>
            </w:r>
          </w:p>
        </w:tc>
        <w:tc>
          <w:tcPr>
            <w:tcW w:w="603" w:type="pct"/>
            <w:shd w:val="clear" w:color="auto" w:fill="auto"/>
          </w:tcPr>
          <w:p w14:paraId="7667396A"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-0.9316</w:t>
            </w:r>
          </w:p>
        </w:tc>
        <w:tc>
          <w:tcPr>
            <w:tcW w:w="559" w:type="pct"/>
            <w:shd w:val="clear" w:color="auto" w:fill="auto"/>
          </w:tcPr>
          <w:p w14:paraId="711296B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1.0440</w:t>
            </w:r>
          </w:p>
        </w:tc>
        <w:tc>
          <w:tcPr>
            <w:tcW w:w="967" w:type="pct"/>
            <w:tcBorders>
              <w:right w:val="single" w:sz="4" w:space="0" w:color="auto"/>
            </w:tcBorders>
            <w:shd w:val="clear" w:color="auto" w:fill="auto"/>
          </w:tcPr>
          <w:p w14:paraId="712D949E"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3788</w:t>
            </w:r>
          </w:p>
        </w:tc>
      </w:tr>
      <w:tr w:rsidR="006A76FD" w:rsidRPr="004F336D" w14:paraId="23C12FC1"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56C2033F"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Quality (</w:t>
            </w:r>
            <w:proofErr w:type="spellStart"/>
            <w:r w:rsidRPr="004F336D">
              <w:rPr>
                <w:rFonts w:ascii="Garamond" w:hAnsi="Garamond"/>
                <w:sz w:val="20"/>
                <w:szCs w:val="20"/>
              </w:rPr>
              <w:t>dkkm</w:t>
            </w:r>
            <w:proofErr w:type="spellEnd"/>
            <w:r w:rsidRPr="004F336D">
              <w:rPr>
                <w:rFonts w:ascii="Garamond" w:hAnsi="Garamond"/>
                <w:sz w:val="20"/>
                <w:szCs w:val="20"/>
              </w:rPr>
              <w:t>)</w:t>
            </w:r>
          </w:p>
        </w:tc>
        <w:tc>
          <w:tcPr>
            <w:tcW w:w="587" w:type="pct"/>
            <w:shd w:val="clear" w:color="auto" w:fill="auto"/>
          </w:tcPr>
          <w:p w14:paraId="6C035EB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5855F36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74680E6F"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0.1174</w:t>
            </w:r>
          </w:p>
        </w:tc>
        <w:tc>
          <w:tcPr>
            <w:tcW w:w="603" w:type="pct"/>
            <w:shd w:val="clear" w:color="auto" w:fill="auto"/>
          </w:tcPr>
          <w:p w14:paraId="56FEABD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-0.7585</w:t>
            </w:r>
          </w:p>
        </w:tc>
        <w:tc>
          <w:tcPr>
            <w:tcW w:w="559" w:type="pct"/>
            <w:shd w:val="clear" w:color="auto" w:fill="auto"/>
          </w:tcPr>
          <w:p w14:paraId="03141AB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0.4112</w:t>
            </w:r>
          </w:p>
        </w:tc>
        <w:tc>
          <w:tcPr>
            <w:tcW w:w="967" w:type="pct"/>
            <w:tcBorders>
              <w:right w:val="single" w:sz="4" w:space="0" w:color="auto"/>
            </w:tcBorders>
            <w:shd w:val="clear" w:color="auto" w:fill="auto"/>
          </w:tcPr>
          <w:p w14:paraId="3551F21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778</w:t>
            </w:r>
          </w:p>
        </w:tc>
      </w:tr>
      <w:tr w:rsidR="006A76FD" w:rsidRPr="004F336D" w14:paraId="30E20E05"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4551CFF6"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6EA3E9D4"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214E659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579B801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0.1732</w:t>
            </w:r>
          </w:p>
        </w:tc>
        <w:tc>
          <w:tcPr>
            <w:tcW w:w="603" w:type="pct"/>
            <w:shd w:val="clear" w:color="auto" w:fill="auto"/>
          </w:tcPr>
          <w:p w14:paraId="038E857F"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-0.8930</w:t>
            </w:r>
          </w:p>
        </w:tc>
        <w:tc>
          <w:tcPr>
            <w:tcW w:w="559" w:type="pct"/>
            <w:shd w:val="clear" w:color="auto" w:fill="auto"/>
          </w:tcPr>
          <w:p w14:paraId="0DA40C04"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0.9177</w:t>
            </w:r>
          </w:p>
        </w:tc>
        <w:tc>
          <w:tcPr>
            <w:tcW w:w="967" w:type="pct"/>
            <w:tcBorders>
              <w:right w:val="single" w:sz="4" w:space="0" w:color="auto"/>
            </w:tcBorders>
            <w:shd w:val="clear" w:color="auto" w:fill="auto"/>
          </w:tcPr>
          <w:p w14:paraId="696DB5BD"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4.8689</w:t>
            </w:r>
          </w:p>
        </w:tc>
      </w:tr>
      <w:tr w:rsidR="006A76FD" w:rsidRPr="004F336D" w14:paraId="73E8F916"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6B40A10B"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296F0AE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2402D72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1C05B23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2192ABCB"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12D54CF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1BF728E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569A2994"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4BA8B2A8"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Education (</w:t>
            </w:r>
            <w:proofErr w:type="spellStart"/>
            <w:r w:rsidRPr="004F336D">
              <w:rPr>
                <w:rFonts w:ascii="Garamond" w:hAnsi="Garamond"/>
                <w:sz w:val="20"/>
                <w:szCs w:val="20"/>
              </w:rPr>
              <w:t>deduc</w:t>
            </w:r>
            <w:proofErr w:type="spellEnd"/>
            <w:r w:rsidRPr="004F336D">
              <w:rPr>
                <w:rFonts w:ascii="Garamond" w:hAnsi="Garamond"/>
                <w:sz w:val="20"/>
                <w:szCs w:val="20"/>
              </w:rPr>
              <w:t>)</w:t>
            </w:r>
          </w:p>
        </w:tc>
        <w:tc>
          <w:tcPr>
            <w:tcW w:w="587" w:type="pct"/>
            <w:shd w:val="clear" w:color="auto" w:fill="auto"/>
          </w:tcPr>
          <w:p w14:paraId="21DAC60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60EAC836"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0.0099</w:t>
            </w:r>
          </w:p>
        </w:tc>
        <w:tc>
          <w:tcPr>
            <w:tcW w:w="692" w:type="pct"/>
            <w:shd w:val="clear" w:color="auto" w:fill="auto"/>
          </w:tcPr>
          <w:p w14:paraId="2A0FB422"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0.0328</w:t>
            </w:r>
          </w:p>
        </w:tc>
        <w:tc>
          <w:tcPr>
            <w:tcW w:w="603" w:type="pct"/>
            <w:shd w:val="clear" w:color="auto" w:fill="auto"/>
          </w:tcPr>
          <w:p w14:paraId="377E412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-0.2966</w:t>
            </w:r>
          </w:p>
        </w:tc>
        <w:tc>
          <w:tcPr>
            <w:tcW w:w="559" w:type="pct"/>
            <w:shd w:val="clear" w:color="auto" w:fill="auto"/>
          </w:tcPr>
          <w:p w14:paraId="0195ABD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0.2685</w:t>
            </w:r>
          </w:p>
        </w:tc>
        <w:tc>
          <w:tcPr>
            <w:tcW w:w="967" w:type="pct"/>
            <w:tcBorders>
              <w:right w:val="single" w:sz="4" w:space="0" w:color="auto"/>
            </w:tcBorders>
            <w:shd w:val="clear" w:color="auto" w:fill="auto"/>
          </w:tcPr>
          <w:p w14:paraId="65ED2B1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3786</w:t>
            </w:r>
          </w:p>
        </w:tc>
      </w:tr>
      <w:tr w:rsidR="006A76FD" w:rsidRPr="004F336D" w14:paraId="71C83866"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733A087A"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146417E0"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5EF4A10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69D33DCC"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0.0192</w:t>
            </w:r>
          </w:p>
        </w:tc>
        <w:tc>
          <w:tcPr>
            <w:tcW w:w="603" w:type="pct"/>
            <w:shd w:val="clear" w:color="auto" w:fill="auto"/>
          </w:tcPr>
          <w:p w14:paraId="67F69F4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-0.1014</w:t>
            </w:r>
          </w:p>
        </w:tc>
        <w:tc>
          <w:tcPr>
            <w:tcW w:w="559" w:type="pct"/>
            <w:shd w:val="clear" w:color="auto" w:fill="auto"/>
          </w:tcPr>
          <w:p w14:paraId="7B49AE1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0.0946</w:t>
            </w:r>
          </w:p>
        </w:tc>
        <w:tc>
          <w:tcPr>
            <w:tcW w:w="967" w:type="pct"/>
            <w:tcBorders>
              <w:right w:val="single" w:sz="4" w:space="0" w:color="auto"/>
            </w:tcBorders>
            <w:shd w:val="clear" w:color="auto" w:fill="auto"/>
          </w:tcPr>
          <w:p w14:paraId="54A8FB94"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777</w:t>
            </w:r>
          </w:p>
        </w:tc>
      </w:tr>
      <w:tr w:rsidR="006A76FD" w:rsidRPr="004F336D" w14:paraId="6AC9EF82"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2928A6E1"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1796C91A"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0EADA93D"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374244E1"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0.0296</w:t>
            </w:r>
          </w:p>
        </w:tc>
        <w:tc>
          <w:tcPr>
            <w:tcW w:w="603" w:type="pct"/>
            <w:shd w:val="clear" w:color="auto" w:fill="auto"/>
          </w:tcPr>
          <w:p w14:paraId="04593CAA"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-0.2830</w:t>
            </w:r>
          </w:p>
        </w:tc>
        <w:tc>
          <w:tcPr>
            <w:tcW w:w="559" w:type="pct"/>
            <w:shd w:val="clear" w:color="auto" w:fill="auto"/>
          </w:tcPr>
          <w:p w14:paraId="6E78FFD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0.2821</w:t>
            </w:r>
          </w:p>
        </w:tc>
        <w:tc>
          <w:tcPr>
            <w:tcW w:w="967" w:type="pct"/>
            <w:tcBorders>
              <w:right w:val="single" w:sz="4" w:space="0" w:color="auto"/>
            </w:tcBorders>
            <w:shd w:val="clear" w:color="auto" w:fill="auto"/>
          </w:tcPr>
          <w:p w14:paraId="32FB3917"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4.8726</w:t>
            </w:r>
          </w:p>
        </w:tc>
      </w:tr>
      <w:tr w:rsidR="006A76FD" w:rsidRPr="004F336D" w14:paraId="00FF5CE5"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5FF64B5B"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06B5C91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06F02178"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4540AF3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5D8EBAC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47A0506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6C39D07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77A58BE3"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5F9B73D0"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 xml:space="preserve">Financial </w:t>
            </w:r>
          </w:p>
        </w:tc>
        <w:tc>
          <w:tcPr>
            <w:tcW w:w="587" w:type="pct"/>
            <w:shd w:val="clear" w:color="auto" w:fill="auto"/>
          </w:tcPr>
          <w:p w14:paraId="69B6DC5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2730AD02"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-0.09070</w:t>
            </w:r>
          </w:p>
        </w:tc>
        <w:tc>
          <w:tcPr>
            <w:tcW w:w="692" w:type="pct"/>
            <w:shd w:val="clear" w:color="auto" w:fill="auto"/>
          </w:tcPr>
          <w:p w14:paraId="1169FBA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0.7303</w:t>
            </w:r>
          </w:p>
        </w:tc>
        <w:tc>
          <w:tcPr>
            <w:tcW w:w="603" w:type="pct"/>
            <w:shd w:val="clear" w:color="auto" w:fill="auto"/>
          </w:tcPr>
          <w:p w14:paraId="29E8B61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-0.4081</w:t>
            </w:r>
          </w:p>
        </w:tc>
        <w:tc>
          <w:tcPr>
            <w:tcW w:w="559" w:type="pct"/>
            <w:shd w:val="clear" w:color="auto" w:fill="auto"/>
          </w:tcPr>
          <w:p w14:paraId="5F9DC068"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7.9411</w:t>
            </w:r>
          </w:p>
        </w:tc>
        <w:tc>
          <w:tcPr>
            <w:tcW w:w="967" w:type="pct"/>
            <w:tcBorders>
              <w:right w:val="single" w:sz="4" w:space="0" w:color="auto"/>
            </w:tcBorders>
            <w:shd w:val="clear" w:color="auto" w:fill="auto"/>
          </w:tcPr>
          <w:p w14:paraId="41EB36E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4918</w:t>
            </w:r>
          </w:p>
        </w:tc>
      </w:tr>
      <w:tr w:rsidR="006A76FD" w:rsidRPr="004F336D" w14:paraId="38C1F7BD"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24F4731C"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development</w:t>
            </w:r>
          </w:p>
        </w:tc>
        <w:tc>
          <w:tcPr>
            <w:tcW w:w="587" w:type="pct"/>
            <w:shd w:val="clear" w:color="auto" w:fill="auto"/>
          </w:tcPr>
          <w:p w14:paraId="50F0C58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3FD6830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236DFCE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0.8393</w:t>
            </w:r>
          </w:p>
        </w:tc>
        <w:tc>
          <w:tcPr>
            <w:tcW w:w="603" w:type="pct"/>
            <w:shd w:val="clear" w:color="auto" w:fill="auto"/>
          </w:tcPr>
          <w:p w14:paraId="4D8C4E29"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-0.4081</w:t>
            </w:r>
          </w:p>
        </w:tc>
        <w:tc>
          <w:tcPr>
            <w:tcW w:w="559" w:type="pct"/>
            <w:shd w:val="clear" w:color="auto" w:fill="auto"/>
          </w:tcPr>
          <w:p w14:paraId="1A9F5ABB"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7.9411</w:t>
            </w:r>
          </w:p>
        </w:tc>
        <w:tc>
          <w:tcPr>
            <w:tcW w:w="967" w:type="pct"/>
            <w:tcBorders>
              <w:right w:val="single" w:sz="4" w:space="0" w:color="auto"/>
            </w:tcBorders>
            <w:shd w:val="clear" w:color="auto" w:fill="auto"/>
          </w:tcPr>
          <w:p w14:paraId="6E68779F"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911</w:t>
            </w:r>
          </w:p>
        </w:tc>
      </w:tr>
      <w:tr w:rsidR="006A76FD" w:rsidRPr="004F336D" w14:paraId="4426FD5C"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0449D392"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w:t>
            </w:r>
            <w:proofErr w:type="spellStart"/>
            <w:r w:rsidRPr="004F336D">
              <w:rPr>
                <w:rFonts w:ascii="Garamond" w:hAnsi="Garamond"/>
                <w:sz w:val="20"/>
                <w:szCs w:val="20"/>
              </w:rPr>
              <w:t>fd_no_mfi</w:t>
            </w:r>
            <w:proofErr w:type="spellEnd"/>
            <w:r w:rsidRPr="004F336D">
              <w:rPr>
                <w:rFonts w:ascii="Garamond" w:hAnsi="Garamond"/>
                <w:sz w:val="20"/>
                <w:szCs w:val="20"/>
              </w:rPr>
              <w:t>)</w:t>
            </w:r>
          </w:p>
        </w:tc>
        <w:tc>
          <w:tcPr>
            <w:tcW w:w="587" w:type="pct"/>
            <w:shd w:val="clear" w:color="auto" w:fill="auto"/>
          </w:tcPr>
          <w:p w14:paraId="1F464D93"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671AC975"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09AF6B2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0.1315</w:t>
            </w:r>
          </w:p>
        </w:tc>
        <w:tc>
          <w:tcPr>
            <w:tcW w:w="603" w:type="pct"/>
            <w:shd w:val="clear" w:color="auto" w:fill="auto"/>
          </w:tcPr>
          <w:p w14:paraId="29AF060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-1.4043</w:t>
            </w:r>
          </w:p>
        </w:tc>
        <w:tc>
          <w:tcPr>
            <w:tcW w:w="559" w:type="pct"/>
            <w:shd w:val="clear" w:color="auto" w:fill="auto"/>
          </w:tcPr>
          <w:p w14:paraId="3A87C164"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1.1936</w:t>
            </w:r>
          </w:p>
        </w:tc>
        <w:tc>
          <w:tcPr>
            <w:tcW w:w="967" w:type="pct"/>
            <w:tcBorders>
              <w:right w:val="single" w:sz="4" w:space="0" w:color="auto"/>
            </w:tcBorders>
            <w:shd w:val="clear" w:color="auto" w:fill="auto"/>
          </w:tcPr>
          <w:p w14:paraId="0512FAAA"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5.3985</w:t>
            </w:r>
          </w:p>
        </w:tc>
      </w:tr>
      <w:tr w:rsidR="006A76FD" w:rsidRPr="004F336D" w14:paraId="48E909AD"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26D295B4"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77C5E7B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7E5742B3"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74A6CA88"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03" w:type="pct"/>
            <w:shd w:val="clear" w:color="auto" w:fill="auto"/>
          </w:tcPr>
          <w:p w14:paraId="3DB4A6D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559" w:type="pct"/>
            <w:shd w:val="clear" w:color="auto" w:fill="auto"/>
          </w:tcPr>
          <w:p w14:paraId="56713B14"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967" w:type="pct"/>
            <w:tcBorders>
              <w:right w:val="single" w:sz="4" w:space="0" w:color="auto"/>
            </w:tcBorders>
            <w:shd w:val="clear" w:color="auto" w:fill="auto"/>
          </w:tcPr>
          <w:p w14:paraId="50F4583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6A76FD" w:rsidRPr="004F336D" w14:paraId="0E374C13"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2F250791"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Legal Tradition</w:t>
            </w:r>
          </w:p>
        </w:tc>
        <w:tc>
          <w:tcPr>
            <w:tcW w:w="587" w:type="pct"/>
            <w:shd w:val="clear" w:color="auto" w:fill="auto"/>
          </w:tcPr>
          <w:p w14:paraId="3AA017B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2ABAEA14"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1.7869</w:t>
            </w:r>
          </w:p>
        </w:tc>
        <w:tc>
          <w:tcPr>
            <w:tcW w:w="692" w:type="pct"/>
            <w:shd w:val="clear" w:color="auto" w:fill="auto"/>
          </w:tcPr>
          <w:p w14:paraId="5FB2BAE2"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0.7539</w:t>
            </w:r>
          </w:p>
        </w:tc>
        <w:tc>
          <w:tcPr>
            <w:tcW w:w="603" w:type="pct"/>
            <w:shd w:val="clear" w:color="auto" w:fill="auto"/>
          </w:tcPr>
          <w:p w14:paraId="66B86417"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w:t>
            </w:r>
          </w:p>
        </w:tc>
        <w:tc>
          <w:tcPr>
            <w:tcW w:w="559" w:type="pct"/>
            <w:shd w:val="clear" w:color="auto" w:fill="auto"/>
          </w:tcPr>
          <w:p w14:paraId="4AE4A716"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3</w:t>
            </w:r>
          </w:p>
        </w:tc>
        <w:tc>
          <w:tcPr>
            <w:tcW w:w="967" w:type="pct"/>
            <w:tcBorders>
              <w:right w:val="single" w:sz="4" w:space="0" w:color="auto"/>
            </w:tcBorders>
            <w:shd w:val="clear" w:color="auto" w:fill="auto"/>
          </w:tcPr>
          <w:p w14:paraId="40EAE3F0"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4918</w:t>
            </w:r>
          </w:p>
        </w:tc>
      </w:tr>
      <w:tr w:rsidR="006A76FD" w:rsidRPr="004F336D" w14:paraId="59A38C2F"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7A6E3F3A"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727C9B7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316506C3"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shd w:val="clear" w:color="auto" w:fill="auto"/>
          </w:tcPr>
          <w:p w14:paraId="0BC13B4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0.7326</w:t>
            </w:r>
          </w:p>
        </w:tc>
        <w:tc>
          <w:tcPr>
            <w:tcW w:w="603" w:type="pct"/>
            <w:shd w:val="clear" w:color="auto" w:fill="auto"/>
          </w:tcPr>
          <w:p w14:paraId="0F0C2E33"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1</w:t>
            </w:r>
          </w:p>
        </w:tc>
        <w:tc>
          <w:tcPr>
            <w:tcW w:w="559" w:type="pct"/>
            <w:shd w:val="clear" w:color="auto" w:fill="auto"/>
          </w:tcPr>
          <w:p w14:paraId="6155035D"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3</w:t>
            </w:r>
          </w:p>
        </w:tc>
        <w:tc>
          <w:tcPr>
            <w:tcW w:w="967" w:type="pct"/>
            <w:tcBorders>
              <w:right w:val="single" w:sz="4" w:space="0" w:color="auto"/>
            </w:tcBorders>
            <w:shd w:val="clear" w:color="auto" w:fill="auto"/>
          </w:tcPr>
          <w:p w14:paraId="156EE06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911</w:t>
            </w:r>
          </w:p>
        </w:tc>
      </w:tr>
      <w:tr w:rsidR="006A76FD" w:rsidRPr="004F336D" w14:paraId="1CF4B7A7"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7245CCD3" w14:textId="77777777" w:rsidR="006A76FD" w:rsidRPr="004F336D" w:rsidRDefault="006A76FD" w:rsidP="00DA5EDB">
            <w:pPr>
              <w:spacing w:line="276" w:lineRule="auto"/>
              <w:rPr>
                <w:rFonts w:ascii="Garamond" w:hAnsi="Garamond"/>
                <w:sz w:val="20"/>
                <w:szCs w:val="20"/>
              </w:rPr>
            </w:pPr>
          </w:p>
        </w:tc>
        <w:tc>
          <w:tcPr>
            <w:tcW w:w="587" w:type="pct"/>
            <w:shd w:val="clear" w:color="auto" w:fill="auto"/>
          </w:tcPr>
          <w:p w14:paraId="7ACFAE1D"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shd w:val="clear" w:color="auto" w:fill="auto"/>
          </w:tcPr>
          <w:p w14:paraId="0C578B4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1587805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w:t>
            </w:r>
          </w:p>
        </w:tc>
        <w:tc>
          <w:tcPr>
            <w:tcW w:w="603" w:type="pct"/>
            <w:shd w:val="clear" w:color="auto" w:fill="auto"/>
          </w:tcPr>
          <w:p w14:paraId="0A54012C"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1.7869</w:t>
            </w:r>
          </w:p>
        </w:tc>
        <w:tc>
          <w:tcPr>
            <w:tcW w:w="559" w:type="pct"/>
            <w:shd w:val="clear" w:color="auto" w:fill="auto"/>
          </w:tcPr>
          <w:p w14:paraId="53BDADD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1.7869</w:t>
            </w:r>
          </w:p>
        </w:tc>
        <w:tc>
          <w:tcPr>
            <w:tcW w:w="967" w:type="pct"/>
            <w:tcBorders>
              <w:right w:val="single" w:sz="4" w:space="0" w:color="auto"/>
            </w:tcBorders>
            <w:shd w:val="clear" w:color="auto" w:fill="auto"/>
          </w:tcPr>
          <w:p w14:paraId="2EC37F3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T-bar = 5.3985</w:t>
            </w:r>
          </w:p>
        </w:tc>
      </w:tr>
      <w:tr w:rsidR="006A76FD" w:rsidRPr="004F336D" w14:paraId="71DB10BA"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73364480"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Current Legal</w:t>
            </w:r>
          </w:p>
        </w:tc>
        <w:tc>
          <w:tcPr>
            <w:tcW w:w="587" w:type="pct"/>
            <w:shd w:val="clear" w:color="auto" w:fill="auto"/>
          </w:tcPr>
          <w:p w14:paraId="03EEE39B"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overall</w:t>
            </w:r>
          </w:p>
        </w:tc>
        <w:tc>
          <w:tcPr>
            <w:tcW w:w="603" w:type="pct"/>
            <w:shd w:val="clear" w:color="auto" w:fill="auto"/>
          </w:tcPr>
          <w:p w14:paraId="7E9E6395"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0.7198</w:t>
            </w:r>
          </w:p>
        </w:tc>
        <w:tc>
          <w:tcPr>
            <w:tcW w:w="692" w:type="pct"/>
            <w:shd w:val="clear" w:color="auto" w:fill="auto"/>
          </w:tcPr>
          <w:p w14:paraId="1D5F46C3"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0.4491</w:t>
            </w:r>
          </w:p>
        </w:tc>
        <w:tc>
          <w:tcPr>
            <w:tcW w:w="603" w:type="pct"/>
            <w:shd w:val="clear" w:color="auto" w:fill="auto"/>
          </w:tcPr>
          <w:p w14:paraId="6B2A759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w:t>
            </w:r>
          </w:p>
        </w:tc>
        <w:tc>
          <w:tcPr>
            <w:tcW w:w="559" w:type="pct"/>
            <w:shd w:val="clear" w:color="auto" w:fill="auto"/>
          </w:tcPr>
          <w:p w14:paraId="56EDF806"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1</w:t>
            </w:r>
          </w:p>
        </w:tc>
        <w:tc>
          <w:tcPr>
            <w:tcW w:w="967" w:type="pct"/>
            <w:tcBorders>
              <w:right w:val="single" w:sz="4" w:space="0" w:color="auto"/>
            </w:tcBorders>
            <w:shd w:val="clear" w:color="auto" w:fill="auto"/>
          </w:tcPr>
          <w:p w14:paraId="0250D3D4"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N =    4918</w:t>
            </w:r>
          </w:p>
        </w:tc>
      </w:tr>
      <w:tr w:rsidR="006A76FD" w:rsidRPr="004F336D" w14:paraId="4305BED2" w14:textId="77777777" w:rsidTr="00DA5EDB">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tcBorders>
            <w:shd w:val="clear" w:color="auto" w:fill="auto"/>
          </w:tcPr>
          <w:p w14:paraId="7C1DAFEC" w14:textId="77777777" w:rsidR="006A76FD" w:rsidRPr="004F336D" w:rsidRDefault="006A76FD" w:rsidP="00DA5EDB">
            <w:pPr>
              <w:spacing w:line="276" w:lineRule="auto"/>
              <w:rPr>
                <w:rFonts w:ascii="Garamond" w:hAnsi="Garamond"/>
                <w:sz w:val="20"/>
                <w:szCs w:val="20"/>
              </w:rPr>
            </w:pPr>
            <w:r w:rsidRPr="004F336D">
              <w:rPr>
                <w:rFonts w:ascii="Garamond" w:hAnsi="Garamond"/>
                <w:sz w:val="20"/>
                <w:szCs w:val="20"/>
              </w:rPr>
              <w:t>Status (Dummy)</w:t>
            </w:r>
          </w:p>
        </w:tc>
        <w:tc>
          <w:tcPr>
            <w:tcW w:w="587" w:type="pct"/>
            <w:shd w:val="clear" w:color="auto" w:fill="auto"/>
          </w:tcPr>
          <w:p w14:paraId="19F2E75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between</w:t>
            </w:r>
          </w:p>
        </w:tc>
        <w:tc>
          <w:tcPr>
            <w:tcW w:w="603" w:type="pct"/>
            <w:shd w:val="clear" w:color="auto" w:fill="auto"/>
          </w:tcPr>
          <w:p w14:paraId="16A2097E"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692" w:type="pct"/>
            <w:shd w:val="clear" w:color="auto" w:fill="auto"/>
          </w:tcPr>
          <w:p w14:paraId="6152D72D"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0.4080</w:t>
            </w:r>
          </w:p>
        </w:tc>
        <w:tc>
          <w:tcPr>
            <w:tcW w:w="603" w:type="pct"/>
            <w:shd w:val="clear" w:color="auto" w:fill="auto"/>
          </w:tcPr>
          <w:p w14:paraId="4215C03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0</w:t>
            </w:r>
          </w:p>
        </w:tc>
        <w:tc>
          <w:tcPr>
            <w:tcW w:w="559" w:type="pct"/>
            <w:shd w:val="clear" w:color="auto" w:fill="auto"/>
          </w:tcPr>
          <w:p w14:paraId="577C339B"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1</w:t>
            </w:r>
          </w:p>
        </w:tc>
        <w:tc>
          <w:tcPr>
            <w:tcW w:w="967" w:type="pct"/>
            <w:tcBorders>
              <w:right w:val="single" w:sz="4" w:space="0" w:color="auto"/>
            </w:tcBorders>
            <w:shd w:val="clear" w:color="auto" w:fill="auto"/>
          </w:tcPr>
          <w:p w14:paraId="52D4A689" w14:textId="77777777" w:rsidR="006A76FD" w:rsidRPr="004F336D" w:rsidRDefault="006A76FD" w:rsidP="00DA5EDB">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4F336D">
              <w:rPr>
                <w:rFonts w:ascii="Garamond" w:hAnsi="Garamond"/>
                <w:sz w:val="20"/>
                <w:szCs w:val="20"/>
              </w:rPr>
              <w:t>n =     911</w:t>
            </w:r>
          </w:p>
        </w:tc>
      </w:tr>
      <w:tr w:rsidR="006A76FD" w:rsidRPr="004F336D" w14:paraId="23B00E92" w14:textId="77777777" w:rsidTr="00DA5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Borders>
              <w:left w:val="single" w:sz="4" w:space="0" w:color="auto"/>
              <w:bottom w:val="single" w:sz="4" w:space="0" w:color="auto"/>
            </w:tcBorders>
            <w:shd w:val="clear" w:color="auto" w:fill="auto"/>
          </w:tcPr>
          <w:p w14:paraId="4E764B17" w14:textId="77777777" w:rsidR="006A76FD" w:rsidRPr="004F336D" w:rsidRDefault="006A76FD" w:rsidP="00DA5EDB">
            <w:pPr>
              <w:spacing w:line="276" w:lineRule="auto"/>
              <w:rPr>
                <w:rFonts w:ascii="Garamond" w:hAnsi="Garamond"/>
                <w:sz w:val="20"/>
                <w:szCs w:val="20"/>
              </w:rPr>
            </w:pPr>
          </w:p>
        </w:tc>
        <w:tc>
          <w:tcPr>
            <w:tcW w:w="587" w:type="pct"/>
            <w:tcBorders>
              <w:bottom w:val="single" w:sz="4" w:space="0" w:color="auto"/>
            </w:tcBorders>
            <w:shd w:val="clear" w:color="auto" w:fill="auto"/>
          </w:tcPr>
          <w:p w14:paraId="2B2B922A"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within</w:t>
            </w:r>
          </w:p>
        </w:tc>
        <w:tc>
          <w:tcPr>
            <w:tcW w:w="603" w:type="pct"/>
            <w:tcBorders>
              <w:bottom w:val="single" w:sz="4" w:space="0" w:color="auto"/>
            </w:tcBorders>
            <w:shd w:val="clear" w:color="auto" w:fill="auto"/>
          </w:tcPr>
          <w:p w14:paraId="419322CF"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692" w:type="pct"/>
            <w:tcBorders>
              <w:bottom w:val="single" w:sz="4" w:space="0" w:color="auto"/>
            </w:tcBorders>
            <w:shd w:val="clear" w:color="auto" w:fill="auto"/>
          </w:tcPr>
          <w:p w14:paraId="44AB38F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0.0130</w:t>
            </w:r>
          </w:p>
        </w:tc>
        <w:tc>
          <w:tcPr>
            <w:tcW w:w="603" w:type="pct"/>
            <w:tcBorders>
              <w:bottom w:val="single" w:sz="4" w:space="0" w:color="auto"/>
            </w:tcBorders>
            <w:shd w:val="clear" w:color="auto" w:fill="auto"/>
          </w:tcPr>
          <w:p w14:paraId="77B5266E"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-0.1135</w:t>
            </w:r>
          </w:p>
        </w:tc>
        <w:tc>
          <w:tcPr>
            <w:tcW w:w="559" w:type="pct"/>
            <w:tcBorders>
              <w:bottom w:val="single" w:sz="4" w:space="0" w:color="auto"/>
            </w:tcBorders>
            <w:shd w:val="clear" w:color="auto" w:fill="auto"/>
          </w:tcPr>
          <w:p w14:paraId="7B904DD5"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0.8865</w:t>
            </w:r>
          </w:p>
        </w:tc>
        <w:tc>
          <w:tcPr>
            <w:tcW w:w="967" w:type="pct"/>
            <w:tcBorders>
              <w:bottom w:val="single" w:sz="4" w:space="0" w:color="auto"/>
              <w:right w:val="single" w:sz="4" w:space="0" w:color="auto"/>
            </w:tcBorders>
            <w:shd w:val="clear" w:color="auto" w:fill="auto"/>
          </w:tcPr>
          <w:p w14:paraId="6A06D897" w14:textId="77777777" w:rsidR="006A76FD" w:rsidRPr="004F336D" w:rsidRDefault="006A76FD" w:rsidP="00DA5EDB">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r w:rsidRPr="004F336D">
              <w:rPr>
                <w:rFonts w:ascii="Garamond" w:hAnsi="Garamond"/>
                <w:sz w:val="20"/>
                <w:szCs w:val="20"/>
              </w:rPr>
              <w:t>T-bar = 5.3985</w:t>
            </w:r>
          </w:p>
        </w:tc>
      </w:tr>
    </w:tbl>
    <w:p w14:paraId="342BB83A" w14:textId="77777777" w:rsidR="006A76FD" w:rsidRDefault="006A76FD" w:rsidP="006A76FD">
      <w:pPr>
        <w:rPr>
          <w:rFonts w:ascii="Garamond" w:hAnsi="Garamond"/>
          <w:sz w:val="24"/>
          <w:szCs w:val="24"/>
        </w:rPr>
      </w:pPr>
    </w:p>
    <w:p w14:paraId="0C4763F6" w14:textId="77777777" w:rsidR="006A76FD" w:rsidRDefault="006A76FD" w:rsidP="006A76FD">
      <w:pPr>
        <w:rPr>
          <w:rFonts w:ascii="Garamond" w:hAnsi="Garamond"/>
          <w:sz w:val="24"/>
          <w:szCs w:val="24"/>
        </w:rPr>
      </w:pPr>
    </w:p>
    <w:p w14:paraId="29D29482" w14:textId="77777777" w:rsidR="00D3100C" w:rsidRDefault="00D3100C" w:rsidP="006A76FD">
      <w:pPr>
        <w:rPr>
          <w:rFonts w:ascii="Garamond" w:hAnsi="Garamond"/>
          <w:sz w:val="24"/>
          <w:szCs w:val="24"/>
        </w:rPr>
      </w:pPr>
    </w:p>
    <w:p w14:paraId="0E98054A" w14:textId="77777777" w:rsidR="00D3100C" w:rsidRDefault="00D3100C" w:rsidP="006A76FD">
      <w:pPr>
        <w:rPr>
          <w:rFonts w:ascii="Garamond" w:hAnsi="Garamond"/>
          <w:sz w:val="24"/>
          <w:szCs w:val="24"/>
        </w:rPr>
      </w:pPr>
    </w:p>
    <w:p w14:paraId="790F94FD" w14:textId="77777777" w:rsidR="00D3100C" w:rsidRDefault="00D3100C" w:rsidP="006A76FD">
      <w:pPr>
        <w:rPr>
          <w:rFonts w:ascii="Garamond" w:hAnsi="Garamond"/>
          <w:sz w:val="24"/>
          <w:szCs w:val="24"/>
        </w:rPr>
      </w:pPr>
    </w:p>
    <w:p w14:paraId="65D39516" w14:textId="77777777" w:rsidR="00D3100C" w:rsidRDefault="00D3100C" w:rsidP="006A76FD">
      <w:pPr>
        <w:rPr>
          <w:rFonts w:ascii="Garamond" w:hAnsi="Garamond"/>
          <w:sz w:val="24"/>
          <w:szCs w:val="24"/>
        </w:rPr>
      </w:pPr>
    </w:p>
    <w:p w14:paraId="010B4B7B" w14:textId="77777777" w:rsidR="00D3100C" w:rsidRDefault="00D3100C" w:rsidP="006A76FD">
      <w:pPr>
        <w:rPr>
          <w:rFonts w:ascii="Garamond" w:hAnsi="Garamond"/>
          <w:sz w:val="24"/>
          <w:szCs w:val="24"/>
        </w:rPr>
      </w:pPr>
    </w:p>
    <w:p w14:paraId="295B6309" w14:textId="77777777" w:rsidR="00D3100C" w:rsidRPr="00D3100C" w:rsidRDefault="00D3100C" w:rsidP="00D3100C">
      <w:pPr>
        <w:pStyle w:val="Caption"/>
        <w:rPr>
          <w:color w:val="auto"/>
        </w:rPr>
      </w:pPr>
      <w:r w:rsidRPr="00D3100C">
        <w:rPr>
          <w:color w:val="auto"/>
        </w:rPr>
        <w:lastRenderedPageBreak/>
        <w:t xml:space="preserve">Appendix </w:t>
      </w:r>
      <w:r w:rsidRPr="00D3100C">
        <w:rPr>
          <w:color w:val="auto"/>
        </w:rPr>
        <w:fldChar w:fldCharType="begin"/>
      </w:r>
      <w:r w:rsidRPr="00D3100C">
        <w:rPr>
          <w:color w:val="auto"/>
        </w:rPr>
        <w:instrText xml:space="preserve"> SEQ Appendix \* ARABIC </w:instrText>
      </w:r>
      <w:r w:rsidRPr="00D3100C">
        <w:rPr>
          <w:color w:val="auto"/>
        </w:rPr>
        <w:fldChar w:fldCharType="separate"/>
      </w:r>
      <w:r w:rsidRPr="00D3100C">
        <w:rPr>
          <w:color w:val="auto"/>
        </w:rPr>
        <w:t>5</w:t>
      </w:r>
      <w:r w:rsidRPr="00D3100C">
        <w:rPr>
          <w:color w:val="auto"/>
        </w:rPr>
        <w:fldChar w:fldCharType="end"/>
      </w:r>
      <w:r w:rsidRPr="00D3100C">
        <w:rPr>
          <w:color w:val="auto"/>
        </w:rPr>
        <w:t>: Output from the Multinomial Logit Model</w:t>
      </w:r>
    </w:p>
    <w:tbl>
      <w:tblPr>
        <w:tblStyle w:val="TableGrid1"/>
        <w:tblW w:w="0" w:type="auto"/>
        <w:tblLook w:val="04A0" w:firstRow="1" w:lastRow="0" w:firstColumn="1" w:lastColumn="0" w:noHBand="0" w:noVBand="1"/>
      </w:tblPr>
      <w:tblGrid>
        <w:gridCol w:w="9016"/>
      </w:tblGrid>
      <w:tr w:rsidR="00D3100C" w:rsidRPr="00D3100C" w14:paraId="341415FB" w14:textId="77777777" w:rsidTr="00DA5EDB">
        <w:tc>
          <w:tcPr>
            <w:tcW w:w="9576" w:type="dxa"/>
          </w:tcPr>
          <w:p w14:paraId="31F31056" w14:textId="77777777" w:rsidR="00D3100C" w:rsidRPr="00D3100C" w:rsidRDefault="00D3100C" w:rsidP="00D3100C"/>
          <w:tbl>
            <w:tblPr>
              <w:tblW w:w="9356" w:type="dxa"/>
              <w:tblLook w:val="0000" w:firstRow="0" w:lastRow="0" w:firstColumn="0" w:lastColumn="0" w:noHBand="0" w:noVBand="0"/>
            </w:tblPr>
            <w:tblGrid>
              <w:gridCol w:w="2977"/>
              <w:gridCol w:w="1701"/>
              <w:gridCol w:w="1628"/>
              <w:gridCol w:w="1491"/>
              <w:gridCol w:w="1559"/>
            </w:tblGrid>
            <w:tr w:rsidR="00D3100C" w:rsidRPr="00D3100C" w14:paraId="166CD5F6" w14:textId="77777777" w:rsidTr="00DA5EDB">
              <w:tc>
                <w:tcPr>
                  <w:tcW w:w="2977" w:type="dxa"/>
                  <w:tcBorders>
                    <w:top w:val="single" w:sz="4" w:space="0" w:color="auto"/>
                    <w:left w:val="nil"/>
                    <w:bottom w:val="nil"/>
                    <w:right w:val="nil"/>
                  </w:tcBorders>
                </w:tcPr>
                <w:p w14:paraId="54C67DD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single" w:sz="4" w:space="0" w:color="auto"/>
                    <w:left w:val="nil"/>
                    <w:bottom w:val="nil"/>
                    <w:right w:val="nil"/>
                  </w:tcBorders>
                </w:tcPr>
                <w:p w14:paraId="5DD63A9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w:t>
                  </w:r>
                </w:p>
              </w:tc>
              <w:tc>
                <w:tcPr>
                  <w:tcW w:w="1628" w:type="dxa"/>
                  <w:tcBorders>
                    <w:top w:val="single" w:sz="4" w:space="0" w:color="auto"/>
                    <w:left w:val="nil"/>
                    <w:bottom w:val="nil"/>
                    <w:right w:val="nil"/>
                  </w:tcBorders>
                </w:tcPr>
                <w:p w14:paraId="7E93A6A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w:t>
                  </w:r>
                </w:p>
              </w:tc>
              <w:tc>
                <w:tcPr>
                  <w:tcW w:w="1491" w:type="dxa"/>
                  <w:tcBorders>
                    <w:top w:val="single" w:sz="4" w:space="0" w:color="auto"/>
                    <w:left w:val="nil"/>
                    <w:bottom w:val="nil"/>
                    <w:right w:val="nil"/>
                  </w:tcBorders>
                </w:tcPr>
                <w:p w14:paraId="016D13B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(3)</w:t>
                  </w:r>
                </w:p>
              </w:tc>
              <w:tc>
                <w:tcPr>
                  <w:tcW w:w="1559" w:type="dxa"/>
                  <w:tcBorders>
                    <w:top w:val="single" w:sz="4" w:space="0" w:color="auto"/>
                    <w:left w:val="nil"/>
                    <w:bottom w:val="nil"/>
                    <w:right w:val="nil"/>
                  </w:tcBorders>
                </w:tcPr>
                <w:p w14:paraId="5098F14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(4)</w:t>
                  </w:r>
                </w:p>
              </w:tc>
            </w:tr>
            <w:tr w:rsidR="00D3100C" w:rsidRPr="00D3100C" w14:paraId="5A69022B" w14:textId="77777777" w:rsidTr="00DA5EDB">
              <w:tc>
                <w:tcPr>
                  <w:tcW w:w="2977" w:type="dxa"/>
                  <w:tcBorders>
                    <w:top w:val="nil"/>
                    <w:left w:val="nil"/>
                    <w:bottom w:val="nil"/>
                    <w:right w:val="nil"/>
                  </w:tcBorders>
                </w:tcPr>
                <w:p w14:paraId="685900E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984832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Full Dataset</w:t>
                  </w:r>
                </w:p>
              </w:tc>
              <w:tc>
                <w:tcPr>
                  <w:tcW w:w="1628" w:type="dxa"/>
                  <w:tcBorders>
                    <w:top w:val="nil"/>
                    <w:left w:val="nil"/>
                    <w:bottom w:val="nil"/>
                    <w:right w:val="nil"/>
                  </w:tcBorders>
                </w:tcPr>
                <w:p w14:paraId="2BA80B7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Data&gt;=5 years</w:t>
                  </w:r>
                </w:p>
              </w:tc>
              <w:tc>
                <w:tcPr>
                  <w:tcW w:w="1491" w:type="dxa"/>
                  <w:tcBorders>
                    <w:top w:val="nil"/>
                    <w:left w:val="nil"/>
                    <w:bottom w:val="nil"/>
                    <w:right w:val="nil"/>
                  </w:tcBorders>
                </w:tcPr>
                <w:p w14:paraId="68CDAD9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Data&gt;= 7 years</w:t>
                  </w:r>
                </w:p>
              </w:tc>
              <w:tc>
                <w:tcPr>
                  <w:tcW w:w="1559" w:type="dxa"/>
                  <w:tcBorders>
                    <w:top w:val="nil"/>
                    <w:left w:val="nil"/>
                    <w:bottom w:val="nil"/>
                    <w:right w:val="nil"/>
                  </w:tcBorders>
                </w:tcPr>
                <w:p w14:paraId="3588C13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Data &lt;= 7 years</w:t>
                  </w:r>
                </w:p>
              </w:tc>
            </w:tr>
            <w:tr w:rsidR="00D3100C" w:rsidRPr="00D3100C" w14:paraId="41554849" w14:textId="77777777" w:rsidTr="00DA5EDB">
              <w:tc>
                <w:tcPr>
                  <w:tcW w:w="2977" w:type="dxa"/>
                  <w:tcBorders>
                    <w:top w:val="single" w:sz="4" w:space="0" w:color="auto"/>
                    <w:left w:val="nil"/>
                    <w:bottom w:val="nil"/>
                    <w:right w:val="nil"/>
                  </w:tcBorders>
                </w:tcPr>
                <w:p w14:paraId="09850564" w14:textId="4F8E72C4" w:rsidR="00D3100C" w:rsidRPr="008632B4" w:rsidRDefault="008632B4" w:rsidP="00D3100C">
                  <w:pPr>
                    <w:widowControl w:val="0"/>
                    <w:autoSpaceDE w:val="0"/>
                    <w:autoSpaceDN w:val="0"/>
                    <w:adjustRightInd w:val="0"/>
                    <w:spacing w:after="0" w:line="240" w:lineRule="auto"/>
                    <w:rPr>
                      <w:rFonts w:ascii="Garamond" w:eastAsiaTheme="minorEastAsia" w:hAnsi="Garamond" w:cs="Times New Roman"/>
                      <w:b/>
                      <w:bCs/>
                      <w:sz w:val="19"/>
                      <w:szCs w:val="19"/>
                      <w:lang w:val="en-US" w:eastAsia="en-GB"/>
                    </w:rPr>
                  </w:pPr>
                  <w:r>
                    <w:rPr>
                      <w:rFonts w:ascii="Garamond" w:eastAsiaTheme="minorEastAsia" w:hAnsi="Garamond" w:cs="Times New Roman"/>
                      <w:b/>
                      <w:bCs/>
                      <w:sz w:val="19"/>
                      <w:szCs w:val="19"/>
                      <w:lang w:val="en-US" w:eastAsia="en-GB"/>
                    </w:rPr>
                    <w:t>FF</w:t>
                  </w:r>
                </w:p>
              </w:tc>
              <w:tc>
                <w:tcPr>
                  <w:tcW w:w="1701" w:type="dxa"/>
                  <w:tcBorders>
                    <w:top w:val="single" w:sz="4" w:space="0" w:color="auto"/>
                    <w:left w:val="nil"/>
                    <w:bottom w:val="nil"/>
                    <w:right w:val="nil"/>
                  </w:tcBorders>
                </w:tcPr>
                <w:p w14:paraId="4F2C71A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628" w:type="dxa"/>
                  <w:tcBorders>
                    <w:top w:val="single" w:sz="4" w:space="0" w:color="auto"/>
                    <w:left w:val="nil"/>
                    <w:bottom w:val="nil"/>
                    <w:right w:val="nil"/>
                  </w:tcBorders>
                </w:tcPr>
                <w:p w14:paraId="77118AA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491" w:type="dxa"/>
                  <w:tcBorders>
                    <w:top w:val="single" w:sz="4" w:space="0" w:color="auto"/>
                    <w:left w:val="nil"/>
                    <w:bottom w:val="nil"/>
                    <w:right w:val="nil"/>
                  </w:tcBorders>
                </w:tcPr>
                <w:p w14:paraId="770036B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559" w:type="dxa"/>
                  <w:tcBorders>
                    <w:top w:val="single" w:sz="4" w:space="0" w:color="auto"/>
                    <w:left w:val="nil"/>
                    <w:bottom w:val="nil"/>
                    <w:right w:val="nil"/>
                  </w:tcBorders>
                </w:tcPr>
                <w:p w14:paraId="5E3F66B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r>
            <w:tr w:rsidR="00D3100C" w:rsidRPr="00D3100C" w14:paraId="19AA9543" w14:textId="77777777" w:rsidTr="00DA5EDB">
              <w:tc>
                <w:tcPr>
                  <w:tcW w:w="2977" w:type="dxa"/>
                  <w:tcBorders>
                    <w:top w:val="nil"/>
                    <w:left w:val="nil"/>
                    <w:bottom w:val="nil"/>
                    <w:right w:val="nil"/>
                  </w:tcBorders>
                </w:tcPr>
                <w:p w14:paraId="7FC2FA5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Age Dummy- Mature</w:t>
                  </w:r>
                </w:p>
              </w:tc>
              <w:tc>
                <w:tcPr>
                  <w:tcW w:w="1701" w:type="dxa"/>
                  <w:tcBorders>
                    <w:top w:val="nil"/>
                    <w:left w:val="nil"/>
                    <w:bottom w:val="nil"/>
                    <w:right w:val="nil"/>
                  </w:tcBorders>
                </w:tcPr>
                <w:p w14:paraId="760C174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-0.587</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48E5057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-0.883</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15103D0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-1.044</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2B027E0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-0.172</w:t>
                  </w:r>
                </w:p>
              </w:tc>
            </w:tr>
            <w:tr w:rsidR="00D3100C" w:rsidRPr="00D3100C" w14:paraId="784B5DDE" w14:textId="77777777" w:rsidTr="00DA5EDB">
              <w:tc>
                <w:tcPr>
                  <w:tcW w:w="2977" w:type="dxa"/>
                  <w:tcBorders>
                    <w:top w:val="nil"/>
                    <w:left w:val="nil"/>
                    <w:bottom w:val="nil"/>
                    <w:right w:val="nil"/>
                  </w:tcBorders>
                </w:tcPr>
                <w:p w14:paraId="402CEB5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64CD40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(0.183)</w:t>
                  </w:r>
                </w:p>
              </w:tc>
              <w:tc>
                <w:tcPr>
                  <w:tcW w:w="1628" w:type="dxa"/>
                  <w:tcBorders>
                    <w:top w:val="nil"/>
                    <w:left w:val="nil"/>
                    <w:bottom w:val="nil"/>
                    <w:right w:val="nil"/>
                  </w:tcBorders>
                </w:tcPr>
                <w:p w14:paraId="1C6DDFB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(0.217)</w:t>
                  </w:r>
                </w:p>
              </w:tc>
              <w:tc>
                <w:tcPr>
                  <w:tcW w:w="1491" w:type="dxa"/>
                  <w:tcBorders>
                    <w:top w:val="nil"/>
                    <w:left w:val="nil"/>
                    <w:bottom w:val="nil"/>
                    <w:right w:val="nil"/>
                  </w:tcBorders>
                </w:tcPr>
                <w:p w14:paraId="3E2C2F8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(0.250)</w:t>
                  </w:r>
                </w:p>
              </w:tc>
              <w:tc>
                <w:tcPr>
                  <w:tcW w:w="1559" w:type="dxa"/>
                  <w:tcBorders>
                    <w:top w:val="nil"/>
                    <w:left w:val="nil"/>
                    <w:bottom w:val="nil"/>
                    <w:right w:val="nil"/>
                  </w:tcBorders>
                </w:tcPr>
                <w:p w14:paraId="4028CCF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(0.275)</w:t>
                  </w:r>
                </w:p>
              </w:tc>
            </w:tr>
            <w:tr w:rsidR="00D3100C" w:rsidRPr="00D3100C" w14:paraId="17BB96BF" w14:textId="77777777" w:rsidTr="00DA5EDB">
              <w:tc>
                <w:tcPr>
                  <w:tcW w:w="2977" w:type="dxa"/>
                  <w:tcBorders>
                    <w:top w:val="nil"/>
                    <w:left w:val="nil"/>
                    <w:bottom w:val="nil"/>
                    <w:right w:val="nil"/>
                  </w:tcBorders>
                </w:tcPr>
                <w:p w14:paraId="7E5CF47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F1AC1B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5086262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45737BF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A688B7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21FBFDC" w14:textId="77777777" w:rsidTr="00DA5EDB">
              <w:tc>
                <w:tcPr>
                  <w:tcW w:w="2977" w:type="dxa"/>
                  <w:tcBorders>
                    <w:top w:val="nil"/>
                    <w:left w:val="nil"/>
                    <w:bottom w:val="nil"/>
                    <w:right w:val="nil"/>
                  </w:tcBorders>
                </w:tcPr>
                <w:p w14:paraId="1292E58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Age Dummy- Young</w:t>
                  </w:r>
                </w:p>
              </w:tc>
              <w:tc>
                <w:tcPr>
                  <w:tcW w:w="1701" w:type="dxa"/>
                  <w:tcBorders>
                    <w:top w:val="nil"/>
                    <w:left w:val="nil"/>
                    <w:bottom w:val="nil"/>
                    <w:right w:val="nil"/>
                  </w:tcBorders>
                </w:tcPr>
                <w:p w14:paraId="287CDC4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-0.549</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591ADD3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-1.032</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76A56FE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-1.073</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43C1EFF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-0.297</w:t>
                  </w:r>
                </w:p>
              </w:tc>
            </w:tr>
            <w:tr w:rsidR="00D3100C" w:rsidRPr="00D3100C" w14:paraId="3D493456" w14:textId="77777777" w:rsidTr="00DA5EDB">
              <w:tc>
                <w:tcPr>
                  <w:tcW w:w="2977" w:type="dxa"/>
                  <w:tcBorders>
                    <w:top w:val="nil"/>
                    <w:left w:val="nil"/>
                    <w:bottom w:val="nil"/>
                    <w:right w:val="nil"/>
                  </w:tcBorders>
                </w:tcPr>
                <w:p w14:paraId="1710085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D1C5B3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(0.191)</w:t>
                  </w:r>
                </w:p>
              </w:tc>
              <w:tc>
                <w:tcPr>
                  <w:tcW w:w="1628" w:type="dxa"/>
                  <w:tcBorders>
                    <w:top w:val="nil"/>
                    <w:left w:val="nil"/>
                    <w:bottom w:val="nil"/>
                    <w:right w:val="nil"/>
                  </w:tcBorders>
                </w:tcPr>
                <w:p w14:paraId="23E3BED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(0.230)</w:t>
                  </w:r>
                </w:p>
              </w:tc>
              <w:tc>
                <w:tcPr>
                  <w:tcW w:w="1491" w:type="dxa"/>
                  <w:tcBorders>
                    <w:top w:val="nil"/>
                    <w:left w:val="nil"/>
                    <w:bottom w:val="nil"/>
                    <w:right w:val="nil"/>
                  </w:tcBorders>
                </w:tcPr>
                <w:p w14:paraId="731C4B7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(0.264)</w:t>
                  </w:r>
                </w:p>
              </w:tc>
              <w:tc>
                <w:tcPr>
                  <w:tcW w:w="1559" w:type="dxa"/>
                  <w:tcBorders>
                    <w:top w:val="nil"/>
                    <w:left w:val="nil"/>
                    <w:bottom w:val="nil"/>
                    <w:right w:val="nil"/>
                  </w:tcBorders>
                </w:tcPr>
                <w:p w14:paraId="1F87F18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(0.275)</w:t>
                  </w:r>
                </w:p>
              </w:tc>
            </w:tr>
            <w:tr w:rsidR="00D3100C" w:rsidRPr="00D3100C" w14:paraId="45741580" w14:textId="77777777" w:rsidTr="00DA5EDB">
              <w:tc>
                <w:tcPr>
                  <w:tcW w:w="2977" w:type="dxa"/>
                  <w:tcBorders>
                    <w:top w:val="nil"/>
                    <w:left w:val="nil"/>
                    <w:bottom w:val="nil"/>
                    <w:right w:val="nil"/>
                  </w:tcBorders>
                </w:tcPr>
                <w:p w14:paraId="3C69A9D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CA5C52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E89EC9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4C4570B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1F02B20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477FC482" w14:textId="77777777" w:rsidTr="00DA5EDB">
              <w:tc>
                <w:tcPr>
                  <w:tcW w:w="2977" w:type="dxa"/>
                  <w:tcBorders>
                    <w:top w:val="nil"/>
                    <w:left w:val="nil"/>
                    <w:bottom w:val="nil"/>
                    <w:right w:val="nil"/>
                  </w:tcBorders>
                </w:tcPr>
                <w:p w14:paraId="1169A55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Central Africa Dummy</w:t>
                  </w:r>
                </w:p>
              </w:tc>
              <w:tc>
                <w:tcPr>
                  <w:tcW w:w="1701" w:type="dxa"/>
                  <w:tcBorders>
                    <w:top w:val="nil"/>
                    <w:left w:val="nil"/>
                    <w:bottom w:val="nil"/>
                    <w:right w:val="nil"/>
                  </w:tcBorders>
                </w:tcPr>
                <w:p w14:paraId="1CF9E72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0.340</w:t>
                  </w:r>
                </w:p>
              </w:tc>
              <w:tc>
                <w:tcPr>
                  <w:tcW w:w="1628" w:type="dxa"/>
                  <w:tcBorders>
                    <w:top w:val="nil"/>
                    <w:left w:val="nil"/>
                    <w:bottom w:val="nil"/>
                    <w:right w:val="nil"/>
                  </w:tcBorders>
                </w:tcPr>
                <w:p w14:paraId="3A24D0F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0.406</w:t>
                  </w:r>
                </w:p>
              </w:tc>
              <w:tc>
                <w:tcPr>
                  <w:tcW w:w="1491" w:type="dxa"/>
                  <w:tcBorders>
                    <w:top w:val="nil"/>
                    <w:left w:val="nil"/>
                    <w:bottom w:val="nil"/>
                    <w:right w:val="nil"/>
                  </w:tcBorders>
                </w:tcPr>
                <w:p w14:paraId="3171E78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0.742</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79CCF92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-0.325</w:t>
                  </w:r>
                </w:p>
              </w:tc>
            </w:tr>
            <w:tr w:rsidR="00D3100C" w:rsidRPr="00D3100C" w14:paraId="2607E8E9" w14:textId="77777777" w:rsidTr="00DA5EDB">
              <w:tc>
                <w:tcPr>
                  <w:tcW w:w="2977" w:type="dxa"/>
                  <w:tcBorders>
                    <w:top w:val="nil"/>
                    <w:left w:val="nil"/>
                    <w:bottom w:val="nil"/>
                    <w:right w:val="nil"/>
                  </w:tcBorders>
                </w:tcPr>
                <w:p w14:paraId="0BA279A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320FD7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(0.214)</w:t>
                  </w:r>
                </w:p>
              </w:tc>
              <w:tc>
                <w:tcPr>
                  <w:tcW w:w="1628" w:type="dxa"/>
                  <w:tcBorders>
                    <w:top w:val="nil"/>
                    <w:left w:val="nil"/>
                    <w:bottom w:val="nil"/>
                    <w:right w:val="nil"/>
                  </w:tcBorders>
                </w:tcPr>
                <w:p w14:paraId="53A982B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(0.236)</w:t>
                  </w:r>
                </w:p>
              </w:tc>
              <w:tc>
                <w:tcPr>
                  <w:tcW w:w="1491" w:type="dxa"/>
                  <w:tcBorders>
                    <w:top w:val="nil"/>
                    <w:left w:val="nil"/>
                    <w:bottom w:val="nil"/>
                    <w:right w:val="nil"/>
                  </w:tcBorders>
                </w:tcPr>
                <w:p w14:paraId="2909A73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(0.258)</w:t>
                  </w:r>
                </w:p>
              </w:tc>
              <w:tc>
                <w:tcPr>
                  <w:tcW w:w="1559" w:type="dxa"/>
                  <w:tcBorders>
                    <w:top w:val="nil"/>
                    <w:left w:val="nil"/>
                    <w:bottom w:val="nil"/>
                    <w:right w:val="nil"/>
                  </w:tcBorders>
                </w:tcPr>
                <w:p w14:paraId="72619E6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(0.387)</w:t>
                  </w:r>
                </w:p>
              </w:tc>
            </w:tr>
            <w:tr w:rsidR="00D3100C" w:rsidRPr="00D3100C" w14:paraId="4FDE0F3B" w14:textId="77777777" w:rsidTr="00DA5EDB">
              <w:tc>
                <w:tcPr>
                  <w:tcW w:w="2977" w:type="dxa"/>
                  <w:tcBorders>
                    <w:top w:val="nil"/>
                    <w:left w:val="nil"/>
                    <w:bottom w:val="nil"/>
                    <w:right w:val="nil"/>
                  </w:tcBorders>
                </w:tcPr>
                <w:p w14:paraId="187EEB5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8183BE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4BE129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ADAE06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39DF8AD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4374BB68" w14:textId="77777777" w:rsidTr="00DA5EDB">
              <w:tc>
                <w:tcPr>
                  <w:tcW w:w="2977" w:type="dxa"/>
                  <w:tcBorders>
                    <w:top w:val="nil"/>
                    <w:left w:val="nil"/>
                    <w:bottom w:val="nil"/>
                    <w:right w:val="nil"/>
                  </w:tcBorders>
                </w:tcPr>
                <w:p w14:paraId="14FB1BF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North Africa Dummy</w:t>
                  </w:r>
                </w:p>
              </w:tc>
              <w:tc>
                <w:tcPr>
                  <w:tcW w:w="1701" w:type="dxa"/>
                  <w:tcBorders>
                    <w:top w:val="nil"/>
                    <w:left w:val="nil"/>
                    <w:bottom w:val="nil"/>
                    <w:right w:val="nil"/>
                  </w:tcBorders>
                </w:tcPr>
                <w:p w14:paraId="006C517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-1.061</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567DCBF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-0.865</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3306DA7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-0.974</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28F7BF5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-15.39</w:t>
                  </w:r>
                </w:p>
              </w:tc>
            </w:tr>
            <w:tr w:rsidR="00D3100C" w:rsidRPr="00D3100C" w14:paraId="34C4F1E5" w14:textId="77777777" w:rsidTr="00DA5EDB">
              <w:tc>
                <w:tcPr>
                  <w:tcW w:w="2977" w:type="dxa"/>
                  <w:tcBorders>
                    <w:top w:val="nil"/>
                    <w:left w:val="nil"/>
                    <w:bottom w:val="nil"/>
                    <w:right w:val="nil"/>
                  </w:tcBorders>
                </w:tcPr>
                <w:p w14:paraId="70466B3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88BB5B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(0.356)</w:t>
                  </w:r>
                </w:p>
              </w:tc>
              <w:tc>
                <w:tcPr>
                  <w:tcW w:w="1628" w:type="dxa"/>
                  <w:tcBorders>
                    <w:top w:val="nil"/>
                    <w:left w:val="nil"/>
                    <w:bottom w:val="nil"/>
                    <w:right w:val="nil"/>
                  </w:tcBorders>
                </w:tcPr>
                <w:p w14:paraId="02C6B88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(0.370)</w:t>
                  </w:r>
                </w:p>
              </w:tc>
              <w:tc>
                <w:tcPr>
                  <w:tcW w:w="1491" w:type="dxa"/>
                  <w:tcBorders>
                    <w:top w:val="nil"/>
                    <w:left w:val="nil"/>
                    <w:bottom w:val="nil"/>
                    <w:right w:val="nil"/>
                  </w:tcBorders>
                </w:tcPr>
                <w:p w14:paraId="1CA0AE8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(0.380)</w:t>
                  </w:r>
                </w:p>
              </w:tc>
              <w:tc>
                <w:tcPr>
                  <w:tcW w:w="1559" w:type="dxa"/>
                  <w:tcBorders>
                    <w:top w:val="nil"/>
                    <w:left w:val="nil"/>
                    <w:bottom w:val="nil"/>
                    <w:right w:val="nil"/>
                  </w:tcBorders>
                </w:tcPr>
                <w:p w14:paraId="5B53B14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(724.0)</w:t>
                  </w:r>
                </w:p>
              </w:tc>
            </w:tr>
            <w:tr w:rsidR="00D3100C" w:rsidRPr="00D3100C" w14:paraId="42C87F2D" w14:textId="77777777" w:rsidTr="00DA5EDB">
              <w:tc>
                <w:tcPr>
                  <w:tcW w:w="2977" w:type="dxa"/>
                  <w:tcBorders>
                    <w:top w:val="nil"/>
                    <w:left w:val="nil"/>
                    <w:bottom w:val="nil"/>
                    <w:right w:val="nil"/>
                  </w:tcBorders>
                </w:tcPr>
                <w:p w14:paraId="0280B6C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EEFFEC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780DEB0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48FDD75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4D39F06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269DCBE5" w14:textId="77777777" w:rsidTr="00DA5EDB">
              <w:tc>
                <w:tcPr>
                  <w:tcW w:w="2977" w:type="dxa"/>
                  <w:tcBorders>
                    <w:top w:val="nil"/>
                    <w:left w:val="nil"/>
                    <w:bottom w:val="nil"/>
                    <w:right w:val="nil"/>
                  </w:tcBorders>
                </w:tcPr>
                <w:p w14:paraId="20C3C06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Southern Africa Dummy</w:t>
                  </w:r>
                </w:p>
              </w:tc>
              <w:tc>
                <w:tcPr>
                  <w:tcW w:w="1701" w:type="dxa"/>
                  <w:tcBorders>
                    <w:top w:val="nil"/>
                    <w:left w:val="nil"/>
                    <w:bottom w:val="nil"/>
                    <w:right w:val="nil"/>
                  </w:tcBorders>
                </w:tcPr>
                <w:p w14:paraId="10BA290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0.487</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50C5E9E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0.505</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53AB51B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0.454</w:t>
                  </w:r>
                </w:p>
              </w:tc>
              <w:tc>
                <w:tcPr>
                  <w:tcW w:w="1559" w:type="dxa"/>
                  <w:tcBorders>
                    <w:top w:val="nil"/>
                    <w:left w:val="nil"/>
                    <w:bottom w:val="nil"/>
                    <w:right w:val="nil"/>
                  </w:tcBorders>
                </w:tcPr>
                <w:p w14:paraId="6E6B54B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0.627</w:t>
                  </w:r>
                </w:p>
              </w:tc>
            </w:tr>
            <w:tr w:rsidR="00D3100C" w:rsidRPr="00D3100C" w14:paraId="32EC2D80" w14:textId="77777777" w:rsidTr="00DA5EDB">
              <w:tc>
                <w:tcPr>
                  <w:tcW w:w="2977" w:type="dxa"/>
                  <w:tcBorders>
                    <w:top w:val="nil"/>
                    <w:left w:val="nil"/>
                    <w:bottom w:val="nil"/>
                    <w:right w:val="nil"/>
                  </w:tcBorders>
                </w:tcPr>
                <w:p w14:paraId="0EA3DAC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F0BA0F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(0.241)</w:t>
                  </w:r>
                </w:p>
              </w:tc>
              <w:tc>
                <w:tcPr>
                  <w:tcW w:w="1628" w:type="dxa"/>
                  <w:tcBorders>
                    <w:top w:val="nil"/>
                    <w:left w:val="nil"/>
                    <w:bottom w:val="nil"/>
                    <w:right w:val="nil"/>
                  </w:tcBorders>
                </w:tcPr>
                <w:p w14:paraId="3C2AD37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(0.252)</w:t>
                  </w:r>
                </w:p>
              </w:tc>
              <w:tc>
                <w:tcPr>
                  <w:tcW w:w="1491" w:type="dxa"/>
                  <w:tcBorders>
                    <w:top w:val="nil"/>
                    <w:left w:val="nil"/>
                    <w:bottom w:val="nil"/>
                    <w:right w:val="nil"/>
                  </w:tcBorders>
                </w:tcPr>
                <w:p w14:paraId="51FF246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(0.269)</w:t>
                  </w:r>
                </w:p>
              </w:tc>
              <w:tc>
                <w:tcPr>
                  <w:tcW w:w="1559" w:type="dxa"/>
                  <w:tcBorders>
                    <w:top w:val="nil"/>
                    <w:left w:val="nil"/>
                    <w:bottom w:val="nil"/>
                    <w:right w:val="nil"/>
                  </w:tcBorders>
                </w:tcPr>
                <w:p w14:paraId="4423F7F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(0.604)</w:t>
                  </w:r>
                </w:p>
              </w:tc>
            </w:tr>
            <w:tr w:rsidR="00D3100C" w:rsidRPr="00D3100C" w14:paraId="71E9F1DB" w14:textId="77777777" w:rsidTr="00DA5EDB">
              <w:tc>
                <w:tcPr>
                  <w:tcW w:w="2977" w:type="dxa"/>
                  <w:tcBorders>
                    <w:top w:val="nil"/>
                    <w:left w:val="nil"/>
                    <w:bottom w:val="nil"/>
                    <w:right w:val="nil"/>
                  </w:tcBorders>
                </w:tcPr>
                <w:p w14:paraId="299A438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E1D0BC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5B5894B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04D699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4D8F2D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4509BDCE" w14:textId="77777777" w:rsidTr="00DA5EDB">
              <w:tc>
                <w:tcPr>
                  <w:tcW w:w="2977" w:type="dxa"/>
                  <w:tcBorders>
                    <w:top w:val="nil"/>
                    <w:left w:val="nil"/>
                    <w:bottom w:val="nil"/>
                    <w:right w:val="nil"/>
                  </w:tcBorders>
                </w:tcPr>
                <w:p w14:paraId="36F05C2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West Africa Dummy</w:t>
                  </w:r>
                </w:p>
              </w:tc>
              <w:tc>
                <w:tcPr>
                  <w:tcW w:w="1701" w:type="dxa"/>
                  <w:tcBorders>
                    <w:top w:val="nil"/>
                    <w:left w:val="nil"/>
                    <w:bottom w:val="nil"/>
                    <w:right w:val="nil"/>
                  </w:tcBorders>
                </w:tcPr>
                <w:p w14:paraId="3E0B950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-0.592</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5D6170C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-0.763</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7E31764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-0.705</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4A94AEF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-0.214</w:t>
                  </w:r>
                </w:p>
              </w:tc>
            </w:tr>
            <w:tr w:rsidR="00D3100C" w:rsidRPr="00D3100C" w14:paraId="249FF06F" w14:textId="77777777" w:rsidTr="00DA5EDB">
              <w:tc>
                <w:tcPr>
                  <w:tcW w:w="2977" w:type="dxa"/>
                  <w:tcBorders>
                    <w:top w:val="nil"/>
                    <w:left w:val="nil"/>
                    <w:bottom w:val="nil"/>
                    <w:right w:val="nil"/>
                  </w:tcBorders>
                </w:tcPr>
                <w:p w14:paraId="21C373E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2417C1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(0.174)</w:t>
                  </w:r>
                </w:p>
              </w:tc>
              <w:tc>
                <w:tcPr>
                  <w:tcW w:w="1628" w:type="dxa"/>
                  <w:tcBorders>
                    <w:top w:val="nil"/>
                    <w:left w:val="nil"/>
                    <w:bottom w:val="nil"/>
                    <w:right w:val="nil"/>
                  </w:tcBorders>
                </w:tcPr>
                <w:p w14:paraId="05427A2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(0.190)</w:t>
                  </w:r>
                </w:p>
              </w:tc>
              <w:tc>
                <w:tcPr>
                  <w:tcW w:w="1491" w:type="dxa"/>
                  <w:tcBorders>
                    <w:top w:val="nil"/>
                    <w:left w:val="nil"/>
                    <w:bottom w:val="nil"/>
                    <w:right w:val="nil"/>
                  </w:tcBorders>
                </w:tcPr>
                <w:p w14:paraId="62546D4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(0.204)</w:t>
                  </w:r>
                </w:p>
              </w:tc>
              <w:tc>
                <w:tcPr>
                  <w:tcW w:w="1559" w:type="dxa"/>
                  <w:tcBorders>
                    <w:top w:val="nil"/>
                    <w:left w:val="nil"/>
                    <w:bottom w:val="nil"/>
                    <w:right w:val="nil"/>
                  </w:tcBorders>
                </w:tcPr>
                <w:p w14:paraId="5BF0169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(0.314)</w:t>
                  </w:r>
                </w:p>
              </w:tc>
            </w:tr>
            <w:tr w:rsidR="00D3100C" w:rsidRPr="00D3100C" w14:paraId="2977E874" w14:textId="77777777" w:rsidTr="00DA5EDB">
              <w:tc>
                <w:tcPr>
                  <w:tcW w:w="2977" w:type="dxa"/>
                  <w:tcBorders>
                    <w:top w:val="nil"/>
                    <w:left w:val="nil"/>
                    <w:bottom w:val="nil"/>
                    <w:right w:val="nil"/>
                  </w:tcBorders>
                </w:tcPr>
                <w:p w14:paraId="26D787A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57CB7E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0CA84B1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F55D5A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0AF30E4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EAC121D" w14:textId="77777777" w:rsidTr="00DA5EDB">
              <w:tc>
                <w:tcPr>
                  <w:tcW w:w="2977" w:type="dxa"/>
                  <w:tcBorders>
                    <w:top w:val="nil"/>
                    <w:left w:val="nil"/>
                    <w:bottom w:val="nil"/>
                    <w:right w:val="nil"/>
                  </w:tcBorders>
                </w:tcPr>
                <w:p w14:paraId="781D6D2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Size (</w:t>
                  </w:r>
                  <w:proofErr w:type="spellStart"/>
                  <w:r w:rsidRPr="00D3100C">
                    <w:rPr>
                      <w:rFonts w:ascii="Garamond" w:eastAsiaTheme="minorEastAsia" w:hAnsi="Garamond" w:cs="Times New Roman"/>
                      <w:sz w:val="19"/>
                      <w:szCs w:val="19"/>
                      <w:lang w:val="en-US" w:eastAsia="en-GB"/>
                    </w:rPr>
                    <w:t>lassets</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1BF04D4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-0.0987</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6CD2535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-0.131</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5BD5398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-0.137</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1E0CDDF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0.115</w:t>
                  </w:r>
                </w:p>
              </w:tc>
            </w:tr>
            <w:tr w:rsidR="00D3100C" w:rsidRPr="00D3100C" w14:paraId="015359B6" w14:textId="77777777" w:rsidTr="00DA5EDB">
              <w:tc>
                <w:tcPr>
                  <w:tcW w:w="2977" w:type="dxa"/>
                  <w:tcBorders>
                    <w:top w:val="nil"/>
                    <w:left w:val="nil"/>
                    <w:bottom w:val="nil"/>
                    <w:right w:val="nil"/>
                  </w:tcBorders>
                </w:tcPr>
                <w:p w14:paraId="5A3FC40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B4FB36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(0.0355)</w:t>
                  </w:r>
                </w:p>
              </w:tc>
              <w:tc>
                <w:tcPr>
                  <w:tcW w:w="1628" w:type="dxa"/>
                  <w:tcBorders>
                    <w:top w:val="nil"/>
                    <w:left w:val="nil"/>
                    <w:bottom w:val="nil"/>
                    <w:right w:val="nil"/>
                  </w:tcBorders>
                </w:tcPr>
                <w:p w14:paraId="1BA364F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(0.0413)</w:t>
                  </w:r>
                </w:p>
              </w:tc>
              <w:tc>
                <w:tcPr>
                  <w:tcW w:w="1491" w:type="dxa"/>
                  <w:tcBorders>
                    <w:top w:val="nil"/>
                    <w:left w:val="nil"/>
                    <w:bottom w:val="nil"/>
                    <w:right w:val="nil"/>
                  </w:tcBorders>
                </w:tcPr>
                <w:p w14:paraId="6665480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(0.0466)</w:t>
                  </w:r>
                </w:p>
              </w:tc>
              <w:tc>
                <w:tcPr>
                  <w:tcW w:w="1559" w:type="dxa"/>
                  <w:tcBorders>
                    <w:top w:val="nil"/>
                    <w:left w:val="nil"/>
                    <w:bottom w:val="nil"/>
                    <w:right w:val="nil"/>
                  </w:tcBorders>
                </w:tcPr>
                <w:p w14:paraId="5689D8E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(0.0673)</w:t>
                  </w:r>
                </w:p>
              </w:tc>
            </w:tr>
            <w:tr w:rsidR="00D3100C" w:rsidRPr="00D3100C" w14:paraId="2B55FC06" w14:textId="77777777" w:rsidTr="00DA5EDB">
              <w:tc>
                <w:tcPr>
                  <w:tcW w:w="2977" w:type="dxa"/>
                  <w:tcBorders>
                    <w:top w:val="nil"/>
                    <w:left w:val="nil"/>
                    <w:bottom w:val="nil"/>
                    <w:right w:val="nil"/>
                  </w:tcBorders>
                </w:tcPr>
                <w:p w14:paraId="75A5404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F9FE79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48484B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3AE439C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08A0E5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109A32D" w14:textId="77777777" w:rsidTr="00DA5EDB">
              <w:tc>
                <w:tcPr>
                  <w:tcW w:w="2977" w:type="dxa"/>
                  <w:tcBorders>
                    <w:top w:val="nil"/>
                    <w:left w:val="nil"/>
                    <w:bottom w:val="nil"/>
                    <w:right w:val="nil"/>
                  </w:tcBorders>
                </w:tcPr>
                <w:p w14:paraId="1CB23DC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GDP Growth Annual</w:t>
                  </w:r>
                </w:p>
              </w:tc>
              <w:tc>
                <w:tcPr>
                  <w:tcW w:w="1701" w:type="dxa"/>
                  <w:tcBorders>
                    <w:top w:val="nil"/>
                    <w:left w:val="nil"/>
                    <w:bottom w:val="nil"/>
                    <w:right w:val="nil"/>
                  </w:tcBorders>
                </w:tcPr>
                <w:p w14:paraId="7CF9060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-0.0382</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786A569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-0.0469</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2288194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-0.0569</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5A3D699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-0.00877</w:t>
                  </w:r>
                </w:p>
              </w:tc>
            </w:tr>
            <w:tr w:rsidR="00D3100C" w:rsidRPr="00D3100C" w14:paraId="0534868A" w14:textId="77777777" w:rsidTr="00DA5EDB">
              <w:tc>
                <w:tcPr>
                  <w:tcW w:w="2977" w:type="dxa"/>
                  <w:tcBorders>
                    <w:top w:val="nil"/>
                    <w:left w:val="nil"/>
                    <w:bottom w:val="nil"/>
                    <w:right w:val="nil"/>
                  </w:tcBorders>
                </w:tcPr>
                <w:p w14:paraId="69C5A17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DD0C4F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(0.0185)</w:t>
                  </w:r>
                </w:p>
              </w:tc>
              <w:tc>
                <w:tcPr>
                  <w:tcW w:w="1628" w:type="dxa"/>
                  <w:tcBorders>
                    <w:top w:val="nil"/>
                    <w:left w:val="nil"/>
                    <w:bottom w:val="nil"/>
                    <w:right w:val="nil"/>
                  </w:tcBorders>
                </w:tcPr>
                <w:p w14:paraId="2D2263B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(0.0202)</w:t>
                  </w:r>
                </w:p>
              </w:tc>
              <w:tc>
                <w:tcPr>
                  <w:tcW w:w="1491" w:type="dxa"/>
                  <w:tcBorders>
                    <w:top w:val="nil"/>
                    <w:left w:val="nil"/>
                    <w:bottom w:val="nil"/>
                    <w:right w:val="nil"/>
                  </w:tcBorders>
                </w:tcPr>
                <w:p w14:paraId="1B58781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(0.0219)</w:t>
                  </w:r>
                </w:p>
              </w:tc>
              <w:tc>
                <w:tcPr>
                  <w:tcW w:w="1559" w:type="dxa"/>
                  <w:tcBorders>
                    <w:top w:val="nil"/>
                    <w:left w:val="nil"/>
                    <w:bottom w:val="nil"/>
                    <w:right w:val="nil"/>
                  </w:tcBorders>
                </w:tcPr>
                <w:p w14:paraId="2C02DF1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(0.0346)</w:t>
                  </w:r>
                </w:p>
              </w:tc>
            </w:tr>
            <w:tr w:rsidR="00D3100C" w:rsidRPr="00D3100C" w14:paraId="7048467D" w14:textId="77777777" w:rsidTr="00DA5EDB">
              <w:tc>
                <w:tcPr>
                  <w:tcW w:w="2977" w:type="dxa"/>
                  <w:tcBorders>
                    <w:top w:val="nil"/>
                    <w:left w:val="nil"/>
                    <w:bottom w:val="nil"/>
                    <w:right w:val="nil"/>
                  </w:tcBorders>
                </w:tcPr>
                <w:p w14:paraId="4B1A1D2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3DDEDF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3FDD89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C6A1E5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E1B16D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2294C19A" w14:textId="77777777" w:rsidTr="00DA5EDB">
              <w:tc>
                <w:tcPr>
                  <w:tcW w:w="2977" w:type="dxa"/>
                  <w:tcBorders>
                    <w:top w:val="nil"/>
                    <w:left w:val="nil"/>
                    <w:bottom w:val="nil"/>
                    <w:right w:val="nil"/>
                  </w:tcBorders>
                </w:tcPr>
                <w:p w14:paraId="1FC52A8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Institutional Quality (</w:t>
                  </w:r>
                  <w:proofErr w:type="spellStart"/>
                  <w:r w:rsidRPr="00D3100C">
                    <w:rPr>
                      <w:rFonts w:ascii="Garamond" w:eastAsiaTheme="minorEastAsia" w:hAnsi="Garamond" w:cs="Times New Roman"/>
                      <w:sz w:val="19"/>
                      <w:szCs w:val="19"/>
                      <w:lang w:val="en-US" w:eastAsia="en-GB"/>
                    </w:rPr>
                    <w:t>dkkm</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69FCBC3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0.189</w:t>
                  </w:r>
                </w:p>
              </w:tc>
              <w:tc>
                <w:tcPr>
                  <w:tcW w:w="1628" w:type="dxa"/>
                  <w:tcBorders>
                    <w:top w:val="nil"/>
                    <w:left w:val="nil"/>
                    <w:bottom w:val="nil"/>
                    <w:right w:val="nil"/>
                  </w:tcBorders>
                </w:tcPr>
                <w:p w14:paraId="1FCDF8B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0.158</w:t>
                  </w:r>
                </w:p>
              </w:tc>
              <w:tc>
                <w:tcPr>
                  <w:tcW w:w="1491" w:type="dxa"/>
                  <w:tcBorders>
                    <w:top w:val="nil"/>
                    <w:left w:val="nil"/>
                    <w:bottom w:val="nil"/>
                    <w:right w:val="nil"/>
                  </w:tcBorders>
                </w:tcPr>
                <w:p w14:paraId="3BCADFF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0.230</w:t>
                  </w:r>
                </w:p>
              </w:tc>
              <w:tc>
                <w:tcPr>
                  <w:tcW w:w="1559" w:type="dxa"/>
                  <w:tcBorders>
                    <w:top w:val="nil"/>
                    <w:left w:val="nil"/>
                    <w:bottom w:val="nil"/>
                    <w:right w:val="nil"/>
                  </w:tcBorders>
                </w:tcPr>
                <w:p w14:paraId="70FFDB8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0.611</w:t>
                  </w:r>
                </w:p>
              </w:tc>
            </w:tr>
            <w:tr w:rsidR="00D3100C" w:rsidRPr="00D3100C" w14:paraId="2D9D19C4" w14:textId="77777777" w:rsidTr="00DA5EDB">
              <w:tc>
                <w:tcPr>
                  <w:tcW w:w="2977" w:type="dxa"/>
                  <w:tcBorders>
                    <w:top w:val="nil"/>
                    <w:left w:val="nil"/>
                    <w:bottom w:val="nil"/>
                    <w:right w:val="nil"/>
                  </w:tcBorders>
                </w:tcPr>
                <w:p w14:paraId="3FD3ED6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047C56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(0.311)</w:t>
                  </w:r>
                </w:p>
              </w:tc>
              <w:tc>
                <w:tcPr>
                  <w:tcW w:w="1628" w:type="dxa"/>
                  <w:tcBorders>
                    <w:top w:val="nil"/>
                    <w:left w:val="nil"/>
                    <w:bottom w:val="nil"/>
                    <w:right w:val="nil"/>
                  </w:tcBorders>
                </w:tcPr>
                <w:p w14:paraId="1C6C448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(0.345)</w:t>
                  </w:r>
                </w:p>
              </w:tc>
              <w:tc>
                <w:tcPr>
                  <w:tcW w:w="1491" w:type="dxa"/>
                  <w:tcBorders>
                    <w:top w:val="nil"/>
                    <w:left w:val="nil"/>
                    <w:bottom w:val="nil"/>
                    <w:right w:val="nil"/>
                  </w:tcBorders>
                </w:tcPr>
                <w:p w14:paraId="008EAA0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(0.375)</w:t>
                  </w:r>
                </w:p>
              </w:tc>
              <w:tc>
                <w:tcPr>
                  <w:tcW w:w="1559" w:type="dxa"/>
                  <w:tcBorders>
                    <w:top w:val="nil"/>
                    <w:left w:val="nil"/>
                    <w:bottom w:val="nil"/>
                    <w:right w:val="nil"/>
                  </w:tcBorders>
                </w:tcPr>
                <w:p w14:paraId="7C1E332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(0.558)</w:t>
                  </w:r>
                </w:p>
              </w:tc>
            </w:tr>
            <w:tr w:rsidR="00D3100C" w:rsidRPr="00D3100C" w14:paraId="2BD91908" w14:textId="77777777" w:rsidTr="00DA5EDB">
              <w:tc>
                <w:tcPr>
                  <w:tcW w:w="2977" w:type="dxa"/>
                  <w:tcBorders>
                    <w:top w:val="nil"/>
                    <w:left w:val="nil"/>
                    <w:bottom w:val="nil"/>
                    <w:right w:val="nil"/>
                  </w:tcBorders>
                </w:tcPr>
                <w:p w14:paraId="7EF234D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CE2F91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A7BF76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0CED56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39DE9A7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39F91A4A" w14:textId="77777777" w:rsidTr="00DA5EDB">
              <w:tc>
                <w:tcPr>
                  <w:tcW w:w="2977" w:type="dxa"/>
                  <w:tcBorders>
                    <w:top w:val="nil"/>
                    <w:left w:val="nil"/>
                    <w:bottom w:val="nil"/>
                    <w:right w:val="nil"/>
                  </w:tcBorders>
                </w:tcPr>
                <w:p w14:paraId="42A2122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Education (</w:t>
                  </w:r>
                  <w:proofErr w:type="spellStart"/>
                  <w:r w:rsidRPr="00D3100C">
                    <w:rPr>
                      <w:rFonts w:ascii="Garamond" w:eastAsiaTheme="minorEastAsia" w:hAnsi="Garamond" w:cs="Times New Roman"/>
                      <w:sz w:val="19"/>
                      <w:szCs w:val="19"/>
                      <w:lang w:val="en-US" w:eastAsia="en-GB"/>
                    </w:rPr>
                    <w:t>deduc</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5E9F88F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-0.293</w:t>
                  </w:r>
                </w:p>
              </w:tc>
              <w:tc>
                <w:tcPr>
                  <w:tcW w:w="1628" w:type="dxa"/>
                  <w:tcBorders>
                    <w:top w:val="nil"/>
                    <w:left w:val="nil"/>
                    <w:bottom w:val="nil"/>
                    <w:right w:val="nil"/>
                  </w:tcBorders>
                </w:tcPr>
                <w:p w14:paraId="2956059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0.265</w:t>
                  </w:r>
                </w:p>
              </w:tc>
              <w:tc>
                <w:tcPr>
                  <w:tcW w:w="1491" w:type="dxa"/>
                  <w:tcBorders>
                    <w:top w:val="nil"/>
                    <w:left w:val="nil"/>
                    <w:bottom w:val="nil"/>
                    <w:right w:val="nil"/>
                  </w:tcBorders>
                </w:tcPr>
                <w:p w14:paraId="6420F22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0.630</w:t>
                  </w:r>
                </w:p>
              </w:tc>
              <w:tc>
                <w:tcPr>
                  <w:tcW w:w="1559" w:type="dxa"/>
                  <w:tcBorders>
                    <w:top w:val="nil"/>
                    <w:left w:val="nil"/>
                    <w:bottom w:val="nil"/>
                    <w:right w:val="nil"/>
                  </w:tcBorders>
                </w:tcPr>
                <w:p w14:paraId="5EF6B7E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0.237</w:t>
                  </w:r>
                </w:p>
              </w:tc>
            </w:tr>
            <w:tr w:rsidR="00D3100C" w:rsidRPr="00D3100C" w14:paraId="2416DEF7" w14:textId="77777777" w:rsidTr="00DA5EDB">
              <w:tc>
                <w:tcPr>
                  <w:tcW w:w="2977" w:type="dxa"/>
                  <w:tcBorders>
                    <w:top w:val="nil"/>
                    <w:left w:val="nil"/>
                    <w:bottom w:val="nil"/>
                    <w:right w:val="nil"/>
                  </w:tcBorders>
                </w:tcPr>
                <w:p w14:paraId="247263C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36A631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(1.881)</w:t>
                  </w:r>
                </w:p>
              </w:tc>
              <w:tc>
                <w:tcPr>
                  <w:tcW w:w="1628" w:type="dxa"/>
                  <w:tcBorders>
                    <w:top w:val="nil"/>
                    <w:left w:val="nil"/>
                    <w:bottom w:val="nil"/>
                    <w:right w:val="nil"/>
                  </w:tcBorders>
                </w:tcPr>
                <w:p w14:paraId="33676F9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(2.015)</w:t>
                  </w:r>
                </w:p>
              </w:tc>
              <w:tc>
                <w:tcPr>
                  <w:tcW w:w="1491" w:type="dxa"/>
                  <w:tcBorders>
                    <w:top w:val="nil"/>
                    <w:left w:val="nil"/>
                    <w:bottom w:val="nil"/>
                    <w:right w:val="nil"/>
                  </w:tcBorders>
                </w:tcPr>
                <w:p w14:paraId="2231140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(2.284)</w:t>
                  </w:r>
                </w:p>
              </w:tc>
              <w:tc>
                <w:tcPr>
                  <w:tcW w:w="1559" w:type="dxa"/>
                  <w:tcBorders>
                    <w:top w:val="nil"/>
                    <w:left w:val="nil"/>
                    <w:bottom w:val="nil"/>
                    <w:right w:val="nil"/>
                  </w:tcBorders>
                </w:tcPr>
                <w:p w14:paraId="4FDB1DE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(3.216)</w:t>
                  </w:r>
                </w:p>
              </w:tc>
            </w:tr>
            <w:tr w:rsidR="00D3100C" w:rsidRPr="00D3100C" w14:paraId="09EB3589" w14:textId="77777777" w:rsidTr="00DA5EDB">
              <w:tc>
                <w:tcPr>
                  <w:tcW w:w="2977" w:type="dxa"/>
                  <w:tcBorders>
                    <w:top w:val="nil"/>
                    <w:left w:val="nil"/>
                    <w:bottom w:val="nil"/>
                    <w:right w:val="nil"/>
                  </w:tcBorders>
                </w:tcPr>
                <w:p w14:paraId="1C747E7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C24D28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6BAC83F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544E8FA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4EA41C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7685F3E0" w14:textId="77777777" w:rsidTr="00DA5EDB">
              <w:tc>
                <w:tcPr>
                  <w:tcW w:w="2977" w:type="dxa"/>
                  <w:tcBorders>
                    <w:top w:val="nil"/>
                    <w:left w:val="nil"/>
                    <w:bottom w:val="nil"/>
                    <w:right w:val="nil"/>
                  </w:tcBorders>
                </w:tcPr>
                <w:p w14:paraId="1F71770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Financial development (</w:t>
                  </w:r>
                  <w:proofErr w:type="spellStart"/>
                  <w:r w:rsidRPr="00D3100C">
                    <w:rPr>
                      <w:rFonts w:ascii="Garamond" w:eastAsiaTheme="minorEastAsia" w:hAnsi="Garamond" w:cs="Times New Roman"/>
                      <w:sz w:val="19"/>
                      <w:szCs w:val="19"/>
                      <w:lang w:val="en-US" w:eastAsia="en-GB"/>
                    </w:rPr>
                    <w:t>fd_no_mfi</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5EEF179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0.113</w:t>
                  </w:r>
                </w:p>
              </w:tc>
              <w:tc>
                <w:tcPr>
                  <w:tcW w:w="1628" w:type="dxa"/>
                  <w:tcBorders>
                    <w:top w:val="nil"/>
                    <w:left w:val="nil"/>
                    <w:bottom w:val="nil"/>
                    <w:right w:val="nil"/>
                  </w:tcBorders>
                </w:tcPr>
                <w:p w14:paraId="1569A8F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0.162</w:t>
                  </w:r>
                </w:p>
              </w:tc>
              <w:tc>
                <w:tcPr>
                  <w:tcW w:w="1491" w:type="dxa"/>
                  <w:tcBorders>
                    <w:top w:val="nil"/>
                    <w:left w:val="nil"/>
                    <w:bottom w:val="nil"/>
                    <w:right w:val="nil"/>
                  </w:tcBorders>
                </w:tcPr>
                <w:p w14:paraId="1184F2A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0.230</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345D334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-0.0220</w:t>
                  </w:r>
                </w:p>
              </w:tc>
            </w:tr>
            <w:tr w:rsidR="00D3100C" w:rsidRPr="00D3100C" w14:paraId="7F2FA09D" w14:textId="77777777" w:rsidTr="00DA5EDB">
              <w:tc>
                <w:tcPr>
                  <w:tcW w:w="2977" w:type="dxa"/>
                  <w:tcBorders>
                    <w:top w:val="nil"/>
                    <w:left w:val="nil"/>
                    <w:bottom w:val="nil"/>
                    <w:right w:val="nil"/>
                  </w:tcBorders>
                </w:tcPr>
                <w:p w14:paraId="0BE9CF9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3CD870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(0.0945)</w:t>
                  </w:r>
                </w:p>
              </w:tc>
              <w:tc>
                <w:tcPr>
                  <w:tcW w:w="1628" w:type="dxa"/>
                  <w:tcBorders>
                    <w:top w:val="nil"/>
                    <w:left w:val="nil"/>
                    <w:bottom w:val="nil"/>
                    <w:right w:val="nil"/>
                  </w:tcBorders>
                </w:tcPr>
                <w:p w14:paraId="1EC21A1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(0.102)</w:t>
                  </w:r>
                </w:p>
              </w:tc>
              <w:tc>
                <w:tcPr>
                  <w:tcW w:w="1491" w:type="dxa"/>
                  <w:tcBorders>
                    <w:top w:val="nil"/>
                    <w:left w:val="nil"/>
                    <w:bottom w:val="nil"/>
                    <w:right w:val="nil"/>
                  </w:tcBorders>
                </w:tcPr>
                <w:p w14:paraId="176EE80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(0.116)</w:t>
                  </w:r>
                </w:p>
              </w:tc>
              <w:tc>
                <w:tcPr>
                  <w:tcW w:w="1559" w:type="dxa"/>
                  <w:tcBorders>
                    <w:top w:val="nil"/>
                    <w:left w:val="nil"/>
                    <w:bottom w:val="nil"/>
                    <w:right w:val="nil"/>
                  </w:tcBorders>
                </w:tcPr>
                <w:p w14:paraId="14C9077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(0.163)</w:t>
                  </w:r>
                </w:p>
              </w:tc>
            </w:tr>
            <w:tr w:rsidR="00D3100C" w:rsidRPr="00D3100C" w14:paraId="3151C66A" w14:textId="77777777" w:rsidTr="00DA5EDB">
              <w:tc>
                <w:tcPr>
                  <w:tcW w:w="2977" w:type="dxa"/>
                  <w:tcBorders>
                    <w:top w:val="nil"/>
                    <w:left w:val="nil"/>
                    <w:bottom w:val="nil"/>
                    <w:right w:val="nil"/>
                  </w:tcBorders>
                </w:tcPr>
                <w:p w14:paraId="61319F1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7B04F1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51D68E6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F22D57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6644FA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7B178898" w14:textId="77777777" w:rsidTr="00DA5EDB">
              <w:tc>
                <w:tcPr>
                  <w:tcW w:w="2977" w:type="dxa"/>
                </w:tcPr>
                <w:p w14:paraId="2935A22E"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r w:rsidRPr="00D3100C">
                    <w:rPr>
                      <w:rFonts w:ascii="Garamond" w:eastAsiaTheme="minorEastAsia" w:hAnsi="Garamond" w:cs="Times New Roman"/>
                      <w:sz w:val="19"/>
                      <w:szCs w:val="19"/>
                      <w:lang w:val="en-US" w:eastAsia="en-GB"/>
                    </w:rPr>
                    <w:t>Civil Law Dummy</w:t>
                  </w:r>
                </w:p>
              </w:tc>
              <w:tc>
                <w:tcPr>
                  <w:tcW w:w="1701" w:type="dxa"/>
                  <w:tcBorders>
                    <w:top w:val="nil"/>
                    <w:left w:val="nil"/>
                    <w:bottom w:val="nil"/>
                    <w:right w:val="nil"/>
                  </w:tcBorders>
                </w:tcPr>
                <w:p w14:paraId="099B981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1.267</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3126EBA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1.231</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3D2BF13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1.296</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59D27D2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1.175</w:t>
                  </w:r>
                  <w:r w:rsidRPr="00D3100C">
                    <w:rPr>
                      <w:rFonts w:ascii="Garamond" w:eastAsiaTheme="minorEastAsia" w:hAnsi="Garamond" w:cs="Times New Roman"/>
                      <w:sz w:val="19"/>
                      <w:szCs w:val="19"/>
                      <w:vertAlign w:val="superscript"/>
                      <w:lang w:val="en-US" w:eastAsia="en-GB"/>
                    </w:rPr>
                    <w:t>***</w:t>
                  </w:r>
                </w:p>
              </w:tc>
            </w:tr>
            <w:tr w:rsidR="00D3100C" w:rsidRPr="00D3100C" w14:paraId="72C69DA1" w14:textId="77777777" w:rsidTr="00DA5EDB">
              <w:tc>
                <w:tcPr>
                  <w:tcW w:w="2977" w:type="dxa"/>
                </w:tcPr>
                <w:p w14:paraId="50E02A1A"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p>
              </w:tc>
              <w:tc>
                <w:tcPr>
                  <w:tcW w:w="1701" w:type="dxa"/>
                  <w:tcBorders>
                    <w:top w:val="nil"/>
                    <w:left w:val="nil"/>
                    <w:bottom w:val="nil"/>
                    <w:right w:val="nil"/>
                  </w:tcBorders>
                </w:tcPr>
                <w:p w14:paraId="42BBFD1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(0.185)</w:t>
                  </w:r>
                </w:p>
              </w:tc>
              <w:tc>
                <w:tcPr>
                  <w:tcW w:w="1628" w:type="dxa"/>
                  <w:tcBorders>
                    <w:top w:val="nil"/>
                    <w:left w:val="nil"/>
                    <w:bottom w:val="nil"/>
                    <w:right w:val="nil"/>
                  </w:tcBorders>
                </w:tcPr>
                <w:p w14:paraId="40E9266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(0.203)</w:t>
                  </w:r>
                </w:p>
              </w:tc>
              <w:tc>
                <w:tcPr>
                  <w:tcW w:w="1491" w:type="dxa"/>
                  <w:tcBorders>
                    <w:top w:val="nil"/>
                    <w:left w:val="nil"/>
                    <w:bottom w:val="nil"/>
                    <w:right w:val="nil"/>
                  </w:tcBorders>
                </w:tcPr>
                <w:p w14:paraId="4B744A5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(0.220)</w:t>
                  </w:r>
                </w:p>
              </w:tc>
              <w:tc>
                <w:tcPr>
                  <w:tcW w:w="1559" w:type="dxa"/>
                  <w:tcBorders>
                    <w:top w:val="nil"/>
                    <w:left w:val="nil"/>
                    <w:bottom w:val="nil"/>
                    <w:right w:val="nil"/>
                  </w:tcBorders>
                </w:tcPr>
                <w:p w14:paraId="4753BEA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(0.315)</w:t>
                  </w:r>
                </w:p>
              </w:tc>
            </w:tr>
            <w:tr w:rsidR="00D3100C" w:rsidRPr="00D3100C" w14:paraId="1D56532D" w14:textId="77777777" w:rsidTr="00DA5EDB">
              <w:tc>
                <w:tcPr>
                  <w:tcW w:w="2977" w:type="dxa"/>
                </w:tcPr>
                <w:p w14:paraId="489A1ED3"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p>
              </w:tc>
              <w:tc>
                <w:tcPr>
                  <w:tcW w:w="1701" w:type="dxa"/>
                  <w:tcBorders>
                    <w:top w:val="nil"/>
                    <w:left w:val="nil"/>
                    <w:bottom w:val="nil"/>
                    <w:right w:val="nil"/>
                  </w:tcBorders>
                </w:tcPr>
                <w:p w14:paraId="5B9D6FE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41D9BB7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58F8BA7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5915331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4394FF2" w14:textId="77777777" w:rsidTr="00DA5EDB">
              <w:tc>
                <w:tcPr>
                  <w:tcW w:w="2977" w:type="dxa"/>
                </w:tcPr>
                <w:p w14:paraId="13C199F3"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r w:rsidRPr="00D3100C">
                    <w:rPr>
                      <w:rFonts w:ascii="Garamond" w:eastAsiaTheme="minorEastAsia" w:hAnsi="Garamond" w:cs="Times New Roman"/>
                      <w:sz w:val="19"/>
                      <w:szCs w:val="19"/>
                      <w:lang w:val="en-US" w:eastAsia="en-GB"/>
                    </w:rPr>
                    <w:t>Others- Legal Tradition Dummy</w:t>
                  </w:r>
                </w:p>
              </w:tc>
              <w:tc>
                <w:tcPr>
                  <w:tcW w:w="1701" w:type="dxa"/>
                  <w:tcBorders>
                    <w:top w:val="nil"/>
                    <w:left w:val="nil"/>
                    <w:bottom w:val="nil"/>
                    <w:right w:val="nil"/>
                  </w:tcBorders>
                </w:tcPr>
                <w:p w14:paraId="053BC66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0.349</w:t>
                  </w:r>
                </w:p>
              </w:tc>
              <w:tc>
                <w:tcPr>
                  <w:tcW w:w="1628" w:type="dxa"/>
                  <w:tcBorders>
                    <w:top w:val="nil"/>
                    <w:left w:val="nil"/>
                    <w:bottom w:val="nil"/>
                    <w:right w:val="nil"/>
                  </w:tcBorders>
                </w:tcPr>
                <w:p w14:paraId="613685E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0.120</w:t>
                  </w:r>
                </w:p>
              </w:tc>
              <w:tc>
                <w:tcPr>
                  <w:tcW w:w="1491" w:type="dxa"/>
                  <w:tcBorders>
                    <w:top w:val="nil"/>
                    <w:left w:val="nil"/>
                    <w:bottom w:val="nil"/>
                    <w:right w:val="nil"/>
                  </w:tcBorders>
                </w:tcPr>
                <w:p w14:paraId="03BBC2C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0.302</w:t>
                  </w:r>
                </w:p>
              </w:tc>
              <w:tc>
                <w:tcPr>
                  <w:tcW w:w="1559" w:type="dxa"/>
                  <w:tcBorders>
                    <w:top w:val="nil"/>
                    <w:left w:val="nil"/>
                    <w:bottom w:val="nil"/>
                    <w:right w:val="nil"/>
                  </w:tcBorders>
                </w:tcPr>
                <w:p w14:paraId="552B967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0.727</w:t>
                  </w:r>
                  <w:r w:rsidRPr="00D3100C">
                    <w:rPr>
                      <w:rFonts w:ascii="Garamond" w:eastAsiaTheme="minorEastAsia" w:hAnsi="Garamond" w:cs="Times New Roman"/>
                      <w:sz w:val="19"/>
                      <w:szCs w:val="19"/>
                      <w:vertAlign w:val="superscript"/>
                      <w:lang w:val="en-US" w:eastAsia="en-GB"/>
                    </w:rPr>
                    <w:t>*</w:t>
                  </w:r>
                </w:p>
              </w:tc>
            </w:tr>
            <w:tr w:rsidR="00D3100C" w:rsidRPr="00D3100C" w14:paraId="64F1E69B" w14:textId="77777777" w:rsidTr="00DA5EDB">
              <w:tc>
                <w:tcPr>
                  <w:tcW w:w="2977" w:type="dxa"/>
                  <w:tcBorders>
                    <w:top w:val="nil"/>
                    <w:left w:val="nil"/>
                    <w:bottom w:val="nil"/>
                    <w:right w:val="nil"/>
                  </w:tcBorders>
                </w:tcPr>
                <w:p w14:paraId="25BCA72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165F58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(0.191)</w:t>
                  </w:r>
                </w:p>
              </w:tc>
              <w:tc>
                <w:tcPr>
                  <w:tcW w:w="1628" w:type="dxa"/>
                  <w:tcBorders>
                    <w:top w:val="nil"/>
                    <w:left w:val="nil"/>
                    <w:bottom w:val="nil"/>
                    <w:right w:val="nil"/>
                  </w:tcBorders>
                </w:tcPr>
                <w:p w14:paraId="4F8A601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(0.207)</w:t>
                  </w:r>
                </w:p>
              </w:tc>
              <w:tc>
                <w:tcPr>
                  <w:tcW w:w="1491" w:type="dxa"/>
                  <w:tcBorders>
                    <w:top w:val="nil"/>
                    <w:left w:val="nil"/>
                    <w:bottom w:val="nil"/>
                    <w:right w:val="nil"/>
                  </w:tcBorders>
                </w:tcPr>
                <w:p w14:paraId="0A9536D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(0.222)</w:t>
                  </w:r>
                </w:p>
              </w:tc>
              <w:tc>
                <w:tcPr>
                  <w:tcW w:w="1559" w:type="dxa"/>
                  <w:tcBorders>
                    <w:top w:val="nil"/>
                    <w:left w:val="nil"/>
                    <w:bottom w:val="nil"/>
                    <w:right w:val="nil"/>
                  </w:tcBorders>
                </w:tcPr>
                <w:p w14:paraId="1965797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(0.370)</w:t>
                  </w:r>
                </w:p>
              </w:tc>
            </w:tr>
            <w:tr w:rsidR="00D3100C" w:rsidRPr="00D3100C" w14:paraId="620F374F" w14:textId="77777777" w:rsidTr="00DA5EDB">
              <w:tc>
                <w:tcPr>
                  <w:tcW w:w="2977" w:type="dxa"/>
                  <w:tcBorders>
                    <w:top w:val="nil"/>
                    <w:left w:val="nil"/>
                    <w:bottom w:val="nil"/>
                    <w:right w:val="nil"/>
                  </w:tcBorders>
                </w:tcPr>
                <w:p w14:paraId="2F28A55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55CF7E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A9FB40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BC98F0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E82269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B0C812F" w14:textId="77777777" w:rsidTr="00DA5EDB">
              <w:tc>
                <w:tcPr>
                  <w:tcW w:w="2977" w:type="dxa"/>
                  <w:tcBorders>
                    <w:top w:val="nil"/>
                    <w:left w:val="nil"/>
                    <w:bottom w:val="nil"/>
                    <w:right w:val="nil"/>
                  </w:tcBorders>
                </w:tcPr>
                <w:p w14:paraId="7CC9C46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Credit Union/ Cooperative</w:t>
                  </w:r>
                </w:p>
              </w:tc>
              <w:tc>
                <w:tcPr>
                  <w:tcW w:w="1701" w:type="dxa"/>
                  <w:tcBorders>
                    <w:top w:val="nil"/>
                    <w:left w:val="nil"/>
                    <w:bottom w:val="nil"/>
                    <w:right w:val="nil"/>
                  </w:tcBorders>
                </w:tcPr>
                <w:p w14:paraId="6380F3D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0.452</w:t>
                  </w:r>
                </w:p>
              </w:tc>
              <w:tc>
                <w:tcPr>
                  <w:tcW w:w="1628" w:type="dxa"/>
                  <w:tcBorders>
                    <w:top w:val="nil"/>
                    <w:left w:val="nil"/>
                    <w:bottom w:val="nil"/>
                    <w:right w:val="nil"/>
                  </w:tcBorders>
                </w:tcPr>
                <w:p w14:paraId="6518721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0.339</w:t>
                  </w:r>
                </w:p>
              </w:tc>
              <w:tc>
                <w:tcPr>
                  <w:tcW w:w="1491" w:type="dxa"/>
                  <w:tcBorders>
                    <w:top w:val="nil"/>
                    <w:left w:val="nil"/>
                    <w:bottom w:val="nil"/>
                    <w:right w:val="nil"/>
                  </w:tcBorders>
                </w:tcPr>
                <w:p w14:paraId="75DD285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0.0435</w:t>
                  </w:r>
                </w:p>
              </w:tc>
              <w:tc>
                <w:tcPr>
                  <w:tcW w:w="1559" w:type="dxa"/>
                  <w:tcBorders>
                    <w:top w:val="nil"/>
                    <w:left w:val="nil"/>
                    <w:bottom w:val="nil"/>
                    <w:right w:val="nil"/>
                  </w:tcBorders>
                </w:tcPr>
                <w:p w14:paraId="406202A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1.318</w:t>
                  </w:r>
                  <w:r w:rsidRPr="00D3100C">
                    <w:rPr>
                      <w:rFonts w:ascii="Garamond" w:eastAsiaTheme="minorEastAsia" w:hAnsi="Garamond" w:cs="Times New Roman"/>
                      <w:sz w:val="19"/>
                      <w:szCs w:val="19"/>
                      <w:vertAlign w:val="superscript"/>
                      <w:lang w:val="en-US" w:eastAsia="en-GB"/>
                    </w:rPr>
                    <w:t>*</w:t>
                  </w:r>
                </w:p>
              </w:tc>
            </w:tr>
            <w:tr w:rsidR="00D3100C" w:rsidRPr="00D3100C" w14:paraId="5D0E1AAD" w14:textId="77777777" w:rsidTr="00DA5EDB">
              <w:tc>
                <w:tcPr>
                  <w:tcW w:w="2977" w:type="dxa"/>
                  <w:tcBorders>
                    <w:top w:val="nil"/>
                    <w:left w:val="nil"/>
                    <w:bottom w:val="nil"/>
                    <w:right w:val="nil"/>
                  </w:tcBorders>
                </w:tcPr>
                <w:p w14:paraId="79C4AA9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8D207E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(0.254)</w:t>
                  </w:r>
                </w:p>
              </w:tc>
              <w:tc>
                <w:tcPr>
                  <w:tcW w:w="1628" w:type="dxa"/>
                  <w:tcBorders>
                    <w:top w:val="nil"/>
                    <w:left w:val="nil"/>
                    <w:bottom w:val="nil"/>
                    <w:right w:val="nil"/>
                  </w:tcBorders>
                </w:tcPr>
                <w:p w14:paraId="7C85EBA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(0.281)</w:t>
                  </w:r>
                </w:p>
              </w:tc>
              <w:tc>
                <w:tcPr>
                  <w:tcW w:w="1491" w:type="dxa"/>
                  <w:tcBorders>
                    <w:top w:val="nil"/>
                    <w:left w:val="nil"/>
                    <w:bottom w:val="nil"/>
                    <w:right w:val="nil"/>
                  </w:tcBorders>
                </w:tcPr>
                <w:p w14:paraId="38AF45F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(0.292)</w:t>
                  </w:r>
                </w:p>
              </w:tc>
              <w:tc>
                <w:tcPr>
                  <w:tcW w:w="1559" w:type="dxa"/>
                  <w:tcBorders>
                    <w:top w:val="nil"/>
                    <w:left w:val="nil"/>
                    <w:bottom w:val="nil"/>
                    <w:right w:val="nil"/>
                  </w:tcBorders>
                </w:tcPr>
                <w:p w14:paraId="371C8B0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(0.515)</w:t>
                  </w:r>
                </w:p>
              </w:tc>
            </w:tr>
            <w:tr w:rsidR="00D3100C" w:rsidRPr="00D3100C" w14:paraId="7FEB431A" w14:textId="77777777" w:rsidTr="00DA5EDB">
              <w:tc>
                <w:tcPr>
                  <w:tcW w:w="2977" w:type="dxa"/>
                  <w:tcBorders>
                    <w:top w:val="nil"/>
                    <w:left w:val="nil"/>
                    <w:bottom w:val="nil"/>
                    <w:right w:val="nil"/>
                  </w:tcBorders>
                </w:tcPr>
                <w:p w14:paraId="0122533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CDF1BD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63B6C5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0B8CA5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C36731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D596517" w14:textId="77777777" w:rsidTr="00DA5EDB">
              <w:tc>
                <w:tcPr>
                  <w:tcW w:w="2977" w:type="dxa"/>
                  <w:tcBorders>
                    <w:top w:val="nil"/>
                    <w:left w:val="nil"/>
                    <w:bottom w:val="nil"/>
                    <w:right w:val="nil"/>
                  </w:tcBorders>
                </w:tcPr>
                <w:p w14:paraId="7F7A2A5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NBFIs</w:t>
                  </w:r>
                </w:p>
              </w:tc>
              <w:tc>
                <w:tcPr>
                  <w:tcW w:w="1701" w:type="dxa"/>
                  <w:tcBorders>
                    <w:top w:val="nil"/>
                    <w:left w:val="nil"/>
                    <w:bottom w:val="nil"/>
                    <w:right w:val="nil"/>
                  </w:tcBorders>
                </w:tcPr>
                <w:p w14:paraId="0CB81D9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0.0391</w:t>
                  </w:r>
                </w:p>
              </w:tc>
              <w:tc>
                <w:tcPr>
                  <w:tcW w:w="1628" w:type="dxa"/>
                  <w:tcBorders>
                    <w:top w:val="nil"/>
                    <w:left w:val="nil"/>
                    <w:bottom w:val="nil"/>
                    <w:right w:val="nil"/>
                  </w:tcBorders>
                </w:tcPr>
                <w:p w14:paraId="0E54ABD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0.0499</w:t>
                  </w:r>
                </w:p>
              </w:tc>
              <w:tc>
                <w:tcPr>
                  <w:tcW w:w="1491" w:type="dxa"/>
                  <w:tcBorders>
                    <w:top w:val="nil"/>
                    <w:left w:val="nil"/>
                    <w:bottom w:val="nil"/>
                    <w:right w:val="nil"/>
                  </w:tcBorders>
                </w:tcPr>
                <w:p w14:paraId="6150F32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-0.153</w:t>
                  </w:r>
                </w:p>
              </w:tc>
              <w:tc>
                <w:tcPr>
                  <w:tcW w:w="1559" w:type="dxa"/>
                  <w:tcBorders>
                    <w:top w:val="nil"/>
                    <w:left w:val="nil"/>
                    <w:bottom w:val="nil"/>
                    <w:right w:val="nil"/>
                  </w:tcBorders>
                </w:tcPr>
                <w:p w14:paraId="798C104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0.852</w:t>
                  </w:r>
                </w:p>
              </w:tc>
            </w:tr>
            <w:tr w:rsidR="00D3100C" w:rsidRPr="00D3100C" w14:paraId="72282D69" w14:textId="77777777" w:rsidTr="00DA5EDB">
              <w:tc>
                <w:tcPr>
                  <w:tcW w:w="2977" w:type="dxa"/>
                  <w:tcBorders>
                    <w:top w:val="nil"/>
                    <w:left w:val="nil"/>
                    <w:bottom w:val="nil"/>
                    <w:right w:val="nil"/>
                  </w:tcBorders>
                </w:tcPr>
                <w:p w14:paraId="3987C90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93892D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(0.225)</w:t>
                  </w:r>
                </w:p>
              </w:tc>
              <w:tc>
                <w:tcPr>
                  <w:tcW w:w="1628" w:type="dxa"/>
                  <w:tcBorders>
                    <w:top w:val="nil"/>
                    <w:left w:val="nil"/>
                    <w:bottom w:val="nil"/>
                    <w:right w:val="nil"/>
                  </w:tcBorders>
                </w:tcPr>
                <w:p w14:paraId="7A665F3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(0.248)</w:t>
                  </w:r>
                </w:p>
              </w:tc>
              <w:tc>
                <w:tcPr>
                  <w:tcW w:w="1491" w:type="dxa"/>
                  <w:tcBorders>
                    <w:top w:val="nil"/>
                    <w:left w:val="nil"/>
                    <w:bottom w:val="nil"/>
                    <w:right w:val="nil"/>
                  </w:tcBorders>
                </w:tcPr>
                <w:p w14:paraId="4460307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(0.259)</w:t>
                  </w:r>
                </w:p>
              </w:tc>
              <w:tc>
                <w:tcPr>
                  <w:tcW w:w="1559" w:type="dxa"/>
                  <w:tcBorders>
                    <w:top w:val="nil"/>
                    <w:left w:val="nil"/>
                    <w:bottom w:val="nil"/>
                    <w:right w:val="nil"/>
                  </w:tcBorders>
                </w:tcPr>
                <w:p w14:paraId="392F99B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(0.460)</w:t>
                  </w:r>
                </w:p>
              </w:tc>
            </w:tr>
            <w:tr w:rsidR="00D3100C" w:rsidRPr="00D3100C" w14:paraId="6D1BC420" w14:textId="77777777" w:rsidTr="00DA5EDB">
              <w:tc>
                <w:tcPr>
                  <w:tcW w:w="2977" w:type="dxa"/>
                  <w:tcBorders>
                    <w:top w:val="nil"/>
                    <w:left w:val="nil"/>
                    <w:bottom w:val="nil"/>
                    <w:right w:val="nil"/>
                  </w:tcBorders>
                </w:tcPr>
                <w:p w14:paraId="0A62F6A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19C3E1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2074D7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5D33251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0E22EE4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3FD46512" w14:textId="77777777" w:rsidTr="00DA5EDB">
              <w:tc>
                <w:tcPr>
                  <w:tcW w:w="2977" w:type="dxa"/>
                  <w:tcBorders>
                    <w:top w:val="nil"/>
                    <w:left w:val="nil"/>
                    <w:bottom w:val="nil"/>
                    <w:right w:val="nil"/>
                  </w:tcBorders>
                </w:tcPr>
                <w:p w14:paraId="5D3FF18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NGOs</w:t>
                  </w:r>
                </w:p>
              </w:tc>
              <w:tc>
                <w:tcPr>
                  <w:tcW w:w="1701" w:type="dxa"/>
                  <w:tcBorders>
                    <w:top w:val="nil"/>
                    <w:left w:val="nil"/>
                    <w:bottom w:val="nil"/>
                    <w:right w:val="nil"/>
                  </w:tcBorders>
                </w:tcPr>
                <w:p w14:paraId="7921326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-1.171</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0996ED3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-1.388</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7E17042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-1.383</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5407870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0.0243</w:t>
                  </w:r>
                </w:p>
              </w:tc>
            </w:tr>
            <w:tr w:rsidR="00D3100C" w:rsidRPr="00D3100C" w14:paraId="70B6294C" w14:textId="77777777" w:rsidTr="00DA5EDB">
              <w:tc>
                <w:tcPr>
                  <w:tcW w:w="2977" w:type="dxa"/>
                  <w:tcBorders>
                    <w:top w:val="nil"/>
                    <w:left w:val="nil"/>
                    <w:bottom w:val="nil"/>
                    <w:right w:val="nil"/>
                  </w:tcBorders>
                </w:tcPr>
                <w:p w14:paraId="5236469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73F140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(0.256)</w:t>
                  </w:r>
                </w:p>
              </w:tc>
              <w:tc>
                <w:tcPr>
                  <w:tcW w:w="1628" w:type="dxa"/>
                  <w:tcBorders>
                    <w:top w:val="nil"/>
                    <w:left w:val="nil"/>
                    <w:bottom w:val="nil"/>
                    <w:right w:val="nil"/>
                  </w:tcBorders>
                </w:tcPr>
                <w:p w14:paraId="19EF3B9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(0.286)</w:t>
                  </w:r>
                </w:p>
              </w:tc>
              <w:tc>
                <w:tcPr>
                  <w:tcW w:w="1491" w:type="dxa"/>
                  <w:tcBorders>
                    <w:top w:val="nil"/>
                    <w:left w:val="nil"/>
                    <w:bottom w:val="nil"/>
                    <w:right w:val="nil"/>
                  </w:tcBorders>
                </w:tcPr>
                <w:p w14:paraId="09CDBF7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(0.294)</w:t>
                  </w:r>
                </w:p>
              </w:tc>
              <w:tc>
                <w:tcPr>
                  <w:tcW w:w="1559" w:type="dxa"/>
                  <w:tcBorders>
                    <w:top w:val="nil"/>
                    <w:left w:val="nil"/>
                    <w:bottom w:val="nil"/>
                    <w:right w:val="nil"/>
                  </w:tcBorders>
                </w:tcPr>
                <w:p w14:paraId="3535EC4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(0.518)</w:t>
                  </w:r>
                </w:p>
              </w:tc>
            </w:tr>
            <w:tr w:rsidR="00D3100C" w:rsidRPr="00D3100C" w14:paraId="75F0A764" w14:textId="77777777" w:rsidTr="00DA5EDB">
              <w:tc>
                <w:tcPr>
                  <w:tcW w:w="2977" w:type="dxa"/>
                  <w:tcBorders>
                    <w:top w:val="nil"/>
                    <w:left w:val="nil"/>
                    <w:bottom w:val="nil"/>
                    <w:right w:val="nil"/>
                  </w:tcBorders>
                </w:tcPr>
                <w:p w14:paraId="175B29B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F5C3AE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04C9F9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0692238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2F694E6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50C6B944" w14:textId="77777777" w:rsidTr="00DA5EDB">
              <w:tc>
                <w:tcPr>
                  <w:tcW w:w="2977" w:type="dxa"/>
                  <w:tcBorders>
                    <w:top w:val="nil"/>
                    <w:left w:val="nil"/>
                    <w:bottom w:val="nil"/>
                    <w:right w:val="nil"/>
                  </w:tcBorders>
                </w:tcPr>
                <w:p w14:paraId="2C52A47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Other</w:t>
                  </w:r>
                </w:p>
              </w:tc>
              <w:tc>
                <w:tcPr>
                  <w:tcW w:w="1701" w:type="dxa"/>
                  <w:tcBorders>
                    <w:top w:val="nil"/>
                    <w:left w:val="nil"/>
                    <w:bottom w:val="nil"/>
                    <w:right w:val="nil"/>
                  </w:tcBorders>
                </w:tcPr>
                <w:p w14:paraId="797C038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1.312</w:t>
                  </w:r>
                </w:p>
              </w:tc>
              <w:tc>
                <w:tcPr>
                  <w:tcW w:w="1628" w:type="dxa"/>
                  <w:tcBorders>
                    <w:top w:val="nil"/>
                    <w:left w:val="nil"/>
                    <w:bottom w:val="nil"/>
                    <w:right w:val="nil"/>
                  </w:tcBorders>
                </w:tcPr>
                <w:p w14:paraId="25A048E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1.042</w:t>
                  </w:r>
                </w:p>
              </w:tc>
              <w:tc>
                <w:tcPr>
                  <w:tcW w:w="1491" w:type="dxa"/>
                  <w:tcBorders>
                    <w:top w:val="nil"/>
                    <w:left w:val="nil"/>
                    <w:bottom w:val="nil"/>
                    <w:right w:val="nil"/>
                  </w:tcBorders>
                </w:tcPr>
                <w:p w14:paraId="1118BCE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0.941</w:t>
                  </w:r>
                </w:p>
              </w:tc>
              <w:tc>
                <w:tcPr>
                  <w:tcW w:w="1559" w:type="dxa"/>
                  <w:tcBorders>
                    <w:top w:val="nil"/>
                    <w:left w:val="nil"/>
                    <w:bottom w:val="nil"/>
                    <w:right w:val="nil"/>
                  </w:tcBorders>
                </w:tcPr>
                <w:p w14:paraId="7D12AEB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1.754</w:t>
                  </w:r>
                </w:p>
              </w:tc>
            </w:tr>
            <w:tr w:rsidR="00D3100C" w:rsidRPr="00D3100C" w14:paraId="7403DC54" w14:textId="77777777" w:rsidTr="00DA5EDB">
              <w:tc>
                <w:tcPr>
                  <w:tcW w:w="2977" w:type="dxa"/>
                  <w:tcBorders>
                    <w:top w:val="nil"/>
                    <w:left w:val="nil"/>
                    <w:bottom w:val="nil"/>
                    <w:right w:val="nil"/>
                  </w:tcBorders>
                </w:tcPr>
                <w:p w14:paraId="72BE447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85640A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(0.792)</w:t>
                  </w:r>
                </w:p>
              </w:tc>
              <w:tc>
                <w:tcPr>
                  <w:tcW w:w="1628" w:type="dxa"/>
                  <w:tcBorders>
                    <w:top w:val="nil"/>
                    <w:left w:val="nil"/>
                    <w:bottom w:val="nil"/>
                    <w:right w:val="nil"/>
                  </w:tcBorders>
                </w:tcPr>
                <w:p w14:paraId="6FFA5CC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(0.971)</w:t>
                  </w:r>
                </w:p>
              </w:tc>
              <w:tc>
                <w:tcPr>
                  <w:tcW w:w="1491" w:type="dxa"/>
                  <w:tcBorders>
                    <w:top w:val="nil"/>
                    <w:left w:val="nil"/>
                    <w:bottom w:val="nil"/>
                    <w:right w:val="nil"/>
                  </w:tcBorders>
                </w:tcPr>
                <w:p w14:paraId="72C6BEB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(0.979)</w:t>
                  </w:r>
                </w:p>
              </w:tc>
              <w:tc>
                <w:tcPr>
                  <w:tcW w:w="1559" w:type="dxa"/>
                  <w:tcBorders>
                    <w:top w:val="nil"/>
                    <w:left w:val="nil"/>
                    <w:bottom w:val="nil"/>
                    <w:right w:val="nil"/>
                  </w:tcBorders>
                </w:tcPr>
                <w:p w14:paraId="4D8EA2A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(1.173)</w:t>
                  </w:r>
                </w:p>
              </w:tc>
            </w:tr>
            <w:tr w:rsidR="00D3100C" w:rsidRPr="00D3100C" w14:paraId="6FF3E31E" w14:textId="77777777" w:rsidTr="00DA5EDB">
              <w:tc>
                <w:tcPr>
                  <w:tcW w:w="2977" w:type="dxa"/>
                  <w:tcBorders>
                    <w:top w:val="nil"/>
                    <w:left w:val="nil"/>
                    <w:bottom w:val="nil"/>
                    <w:right w:val="nil"/>
                  </w:tcBorders>
                </w:tcPr>
                <w:p w14:paraId="53286AA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090E82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6228002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339BCBE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AE9A1D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0B4C597" w14:textId="77777777" w:rsidTr="00DA5EDB">
              <w:tc>
                <w:tcPr>
                  <w:tcW w:w="2977" w:type="dxa"/>
                  <w:tcBorders>
                    <w:top w:val="nil"/>
                    <w:left w:val="nil"/>
                    <w:bottom w:val="nil"/>
                    <w:right w:val="nil"/>
                  </w:tcBorders>
                </w:tcPr>
                <w:p w14:paraId="7A5CE08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Rural Bank</w:t>
                  </w:r>
                </w:p>
              </w:tc>
              <w:tc>
                <w:tcPr>
                  <w:tcW w:w="1701" w:type="dxa"/>
                  <w:tcBorders>
                    <w:top w:val="nil"/>
                    <w:left w:val="nil"/>
                    <w:bottom w:val="nil"/>
                    <w:right w:val="nil"/>
                  </w:tcBorders>
                </w:tcPr>
                <w:p w14:paraId="581E3A7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-1.689</w:t>
                  </w:r>
                </w:p>
              </w:tc>
              <w:tc>
                <w:tcPr>
                  <w:tcW w:w="1628" w:type="dxa"/>
                  <w:tcBorders>
                    <w:top w:val="nil"/>
                    <w:left w:val="nil"/>
                    <w:bottom w:val="nil"/>
                    <w:right w:val="nil"/>
                  </w:tcBorders>
                </w:tcPr>
                <w:p w14:paraId="1AB4B8B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-15.13</w:t>
                  </w:r>
                </w:p>
              </w:tc>
              <w:tc>
                <w:tcPr>
                  <w:tcW w:w="1491" w:type="dxa"/>
                  <w:tcBorders>
                    <w:top w:val="nil"/>
                    <w:left w:val="nil"/>
                    <w:bottom w:val="nil"/>
                    <w:right w:val="nil"/>
                  </w:tcBorders>
                </w:tcPr>
                <w:p w14:paraId="221F697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-15.11</w:t>
                  </w:r>
                </w:p>
              </w:tc>
              <w:tc>
                <w:tcPr>
                  <w:tcW w:w="1559" w:type="dxa"/>
                  <w:tcBorders>
                    <w:top w:val="nil"/>
                    <w:left w:val="nil"/>
                    <w:bottom w:val="nil"/>
                    <w:right w:val="nil"/>
                  </w:tcBorders>
                </w:tcPr>
                <w:p w14:paraId="2A1E1FC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-1.543</w:t>
                  </w:r>
                </w:p>
              </w:tc>
            </w:tr>
            <w:tr w:rsidR="00D3100C" w:rsidRPr="00D3100C" w14:paraId="11AC5D38" w14:textId="77777777" w:rsidTr="00DA5EDB">
              <w:tc>
                <w:tcPr>
                  <w:tcW w:w="2977" w:type="dxa"/>
                  <w:tcBorders>
                    <w:top w:val="nil"/>
                    <w:left w:val="nil"/>
                    <w:bottom w:val="nil"/>
                    <w:right w:val="nil"/>
                  </w:tcBorders>
                </w:tcPr>
                <w:p w14:paraId="120D1E9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C5ADCC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(1.045)</w:t>
                  </w:r>
                </w:p>
              </w:tc>
              <w:tc>
                <w:tcPr>
                  <w:tcW w:w="1628" w:type="dxa"/>
                  <w:tcBorders>
                    <w:top w:val="nil"/>
                    <w:left w:val="nil"/>
                    <w:bottom w:val="nil"/>
                    <w:right w:val="nil"/>
                  </w:tcBorders>
                </w:tcPr>
                <w:p w14:paraId="64D3621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(1411.2)</w:t>
                  </w:r>
                </w:p>
              </w:tc>
              <w:tc>
                <w:tcPr>
                  <w:tcW w:w="1491" w:type="dxa"/>
                  <w:tcBorders>
                    <w:top w:val="nil"/>
                    <w:left w:val="nil"/>
                    <w:bottom w:val="nil"/>
                    <w:right w:val="nil"/>
                  </w:tcBorders>
                </w:tcPr>
                <w:p w14:paraId="1C66792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(2392.4)</w:t>
                  </w:r>
                </w:p>
              </w:tc>
              <w:tc>
                <w:tcPr>
                  <w:tcW w:w="1559" w:type="dxa"/>
                  <w:tcBorders>
                    <w:top w:val="nil"/>
                    <w:left w:val="nil"/>
                    <w:bottom w:val="nil"/>
                    <w:right w:val="nil"/>
                  </w:tcBorders>
                </w:tcPr>
                <w:p w14:paraId="22437A0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(1.128)</w:t>
                  </w:r>
                </w:p>
              </w:tc>
            </w:tr>
            <w:tr w:rsidR="00D3100C" w:rsidRPr="00D3100C" w14:paraId="3A5FA61B" w14:textId="77777777" w:rsidTr="00DA5EDB">
              <w:tc>
                <w:tcPr>
                  <w:tcW w:w="2977" w:type="dxa"/>
                  <w:tcBorders>
                    <w:top w:val="nil"/>
                    <w:left w:val="nil"/>
                    <w:bottom w:val="nil"/>
                    <w:right w:val="nil"/>
                  </w:tcBorders>
                </w:tcPr>
                <w:p w14:paraId="1C80F38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A0C49A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6471846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1F2026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C52AA6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51109062" w14:textId="77777777" w:rsidTr="00DA5EDB">
              <w:tc>
                <w:tcPr>
                  <w:tcW w:w="2977" w:type="dxa"/>
                  <w:tcBorders>
                    <w:top w:val="nil"/>
                    <w:left w:val="nil"/>
                    <w:bottom w:val="nil"/>
                    <w:right w:val="nil"/>
                  </w:tcBorders>
                </w:tcPr>
                <w:p w14:paraId="0274235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Constant</w:t>
                  </w:r>
                </w:p>
              </w:tc>
              <w:tc>
                <w:tcPr>
                  <w:tcW w:w="1701" w:type="dxa"/>
                  <w:tcBorders>
                    <w:top w:val="nil"/>
                    <w:left w:val="nil"/>
                    <w:bottom w:val="nil"/>
                    <w:right w:val="nil"/>
                  </w:tcBorders>
                </w:tcPr>
                <w:p w14:paraId="3C7B952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-0.823</w:t>
                  </w:r>
                </w:p>
              </w:tc>
              <w:tc>
                <w:tcPr>
                  <w:tcW w:w="1628" w:type="dxa"/>
                  <w:tcBorders>
                    <w:top w:val="nil"/>
                    <w:left w:val="nil"/>
                    <w:bottom w:val="nil"/>
                    <w:right w:val="nil"/>
                  </w:tcBorders>
                </w:tcPr>
                <w:p w14:paraId="6C167C0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0.166</w:t>
                  </w:r>
                </w:p>
              </w:tc>
              <w:tc>
                <w:tcPr>
                  <w:tcW w:w="1491" w:type="dxa"/>
                  <w:tcBorders>
                    <w:top w:val="nil"/>
                    <w:left w:val="nil"/>
                    <w:bottom w:val="nil"/>
                    <w:right w:val="nil"/>
                  </w:tcBorders>
                </w:tcPr>
                <w:p w14:paraId="35A1B8A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0.440</w:t>
                  </w:r>
                </w:p>
              </w:tc>
              <w:tc>
                <w:tcPr>
                  <w:tcW w:w="1559" w:type="dxa"/>
                  <w:tcBorders>
                    <w:top w:val="nil"/>
                    <w:left w:val="nil"/>
                    <w:bottom w:val="nil"/>
                    <w:right w:val="nil"/>
                  </w:tcBorders>
                </w:tcPr>
                <w:p w14:paraId="1835552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-18.66</w:t>
                  </w:r>
                </w:p>
              </w:tc>
            </w:tr>
            <w:tr w:rsidR="00D3100C" w:rsidRPr="00D3100C" w14:paraId="6A7F7DC1" w14:textId="77777777" w:rsidTr="00DA5EDB">
              <w:tc>
                <w:tcPr>
                  <w:tcW w:w="2977" w:type="dxa"/>
                  <w:tcBorders>
                    <w:top w:val="nil"/>
                    <w:left w:val="nil"/>
                    <w:bottom w:val="nil"/>
                    <w:right w:val="nil"/>
                  </w:tcBorders>
                </w:tcPr>
                <w:p w14:paraId="037FE9E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D3DF94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(1.203)</w:t>
                  </w:r>
                </w:p>
              </w:tc>
              <w:tc>
                <w:tcPr>
                  <w:tcW w:w="1628" w:type="dxa"/>
                  <w:tcBorders>
                    <w:top w:val="nil"/>
                    <w:left w:val="nil"/>
                    <w:bottom w:val="nil"/>
                    <w:right w:val="nil"/>
                  </w:tcBorders>
                </w:tcPr>
                <w:p w14:paraId="2D90B38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(1.266)</w:t>
                  </w:r>
                </w:p>
              </w:tc>
              <w:tc>
                <w:tcPr>
                  <w:tcW w:w="1491" w:type="dxa"/>
                  <w:tcBorders>
                    <w:top w:val="nil"/>
                    <w:left w:val="nil"/>
                    <w:bottom w:val="nil"/>
                    <w:right w:val="nil"/>
                  </w:tcBorders>
                </w:tcPr>
                <w:p w14:paraId="2344AF6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(1.318)</w:t>
                  </w:r>
                </w:p>
              </w:tc>
              <w:tc>
                <w:tcPr>
                  <w:tcW w:w="1559" w:type="dxa"/>
                  <w:tcBorders>
                    <w:top w:val="nil"/>
                    <w:left w:val="nil"/>
                    <w:bottom w:val="nil"/>
                    <w:right w:val="nil"/>
                  </w:tcBorders>
                </w:tcPr>
                <w:p w14:paraId="1D0A6022" w14:textId="77777777" w:rsid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(1865.5)</w:t>
                  </w:r>
                </w:p>
                <w:p w14:paraId="3216BE09" w14:textId="77777777" w:rsid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p w14:paraId="2D85364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r>
            <w:tr w:rsidR="00D3100C" w:rsidRPr="00D3100C" w14:paraId="1829D5A1" w14:textId="77777777" w:rsidTr="00DA5EDB">
              <w:tc>
                <w:tcPr>
                  <w:tcW w:w="2977" w:type="dxa"/>
                  <w:tcBorders>
                    <w:top w:val="single" w:sz="4" w:space="0" w:color="auto"/>
                    <w:left w:val="nil"/>
                    <w:bottom w:val="nil"/>
                    <w:right w:val="nil"/>
                  </w:tcBorders>
                </w:tcPr>
                <w:p w14:paraId="38085804" w14:textId="112014C6" w:rsidR="00D3100C" w:rsidRPr="008632B4" w:rsidRDefault="008632B4" w:rsidP="00D3100C">
                  <w:pPr>
                    <w:widowControl w:val="0"/>
                    <w:autoSpaceDE w:val="0"/>
                    <w:autoSpaceDN w:val="0"/>
                    <w:adjustRightInd w:val="0"/>
                    <w:spacing w:after="0" w:line="240" w:lineRule="auto"/>
                    <w:rPr>
                      <w:rFonts w:ascii="Garamond" w:eastAsiaTheme="minorEastAsia" w:hAnsi="Garamond" w:cs="Times New Roman"/>
                      <w:b/>
                      <w:bCs/>
                      <w:sz w:val="19"/>
                      <w:szCs w:val="19"/>
                      <w:lang w:val="en-US" w:eastAsia="en-GB"/>
                    </w:rPr>
                  </w:pPr>
                  <w:r w:rsidRPr="008632B4">
                    <w:rPr>
                      <w:rFonts w:ascii="Garamond" w:eastAsiaTheme="minorEastAsia" w:hAnsi="Garamond" w:cs="Times New Roman"/>
                      <w:b/>
                      <w:bCs/>
                      <w:sz w:val="19"/>
                      <w:szCs w:val="19"/>
                      <w:lang w:val="en-US" w:eastAsia="en-GB"/>
                    </w:rPr>
                    <w:lastRenderedPageBreak/>
                    <w:t>FS</w:t>
                  </w:r>
                </w:p>
              </w:tc>
              <w:tc>
                <w:tcPr>
                  <w:tcW w:w="1701" w:type="dxa"/>
                  <w:tcBorders>
                    <w:top w:val="single" w:sz="4" w:space="0" w:color="auto"/>
                    <w:left w:val="nil"/>
                    <w:bottom w:val="nil"/>
                    <w:right w:val="nil"/>
                  </w:tcBorders>
                </w:tcPr>
                <w:p w14:paraId="3325517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628" w:type="dxa"/>
                  <w:tcBorders>
                    <w:top w:val="single" w:sz="4" w:space="0" w:color="auto"/>
                    <w:left w:val="nil"/>
                    <w:bottom w:val="nil"/>
                    <w:right w:val="nil"/>
                  </w:tcBorders>
                </w:tcPr>
                <w:p w14:paraId="39B23A8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491" w:type="dxa"/>
                  <w:tcBorders>
                    <w:top w:val="single" w:sz="4" w:space="0" w:color="auto"/>
                    <w:left w:val="nil"/>
                    <w:bottom w:val="nil"/>
                    <w:right w:val="nil"/>
                  </w:tcBorders>
                </w:tcPr>
                <w:p w14:paraId="057C757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559" w:type="dxa"/>
                  <w:tcBorders>
                    <w:top w:val="single" w:sz="4" w:space="0" w:color="auto"/>
                    <w:left w:val="nil"/>
                    <w:bottom w:val="nil"/>
                    <w:right w:val="nil"/>
                  </w:tcBorders>
                </w:tcPr>
                <w:p w14:paraId="12B3D61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r>
            <w:tr w:rsidR="00D3100C" w:rsidRPr="00D3100C" w14:paraId="59298A7A" w14:textId="77777777" w:rsidTr="00DA5EDB">
              <w:tc>
                <w:tcPr>
                  <w:tcW w:w="2977" w:type="dxa"/>
                  <w:tcBorders>
                    <w:top w:val="nil"/>
                    <w:left w:val="nil"/>
                    <w:bottom w:val="nil"/>
                    <w:right w:val="nil"/>
                  </w:tcBorders>
                </w:tcPr>
                <w:p w14:paraId="17F532B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Age Dummy- Mature</w:t>
                  </w:r>
                </w:p>
              </w:tc>
              <w:tc>
                <w:tcPr>
                  <w:tcW w:w="1701" w:type="dxa"/>
                  <w:tcBorders>
                    <w:top w:val="nil"/>
                    <w:left w:val="nil"/>
                    <w:bottom w:val="nil"/>
                    <w:right w:val="nil"/>
                  </w:tcBorders>
                </w:tcPr>
                <w:p w14:paraId="34A77D4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-0.732</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187E151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-1.118</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37FBD65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-1.174</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535AB04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-0.571</w:t>
                  </w:r>
                  <w:r w:rsidRPr="00D3100C">
                    <w:rPr>
                      <w:rFonts w:ascii="Garamond" w:eastAsiaTheme="minorEastAsia" w:hAnsi="Garamond" w:cs="Times New Roman"/>
                      <w:sz w:val="19"/>
                      <w:szCs w:val="19"/>
                      <w:vertAlign w:val="superscript"/>
                      <w:lang w:val="en-US" w:eastAsia="en-GB"/>
                    </w:rPr>
                    <w:t>*</w:t>
                  </w:r>
                </w:p>
              </w:tc>
            </w:tr>
            <w:tr w:rsidR="00D3100C" w:rsidRPr="00D3100C" w14:paraId="31515888" w14:textId="77777777" w:rsidTr="00DA5EDB">
              <w:tc>
                <w:tcPr>
                  <w:tcW w:w="2977" w:type="dxa"/>
                  <w:tcBorders>
                    <w:top w:val="nil"/>
                    <w:left w:val="nil"/>
                    <w:bottom w:val="nil"/>
                    <w:right w:val="nil"/>
                  </w:tcBorders>
                </w:tcPr>
                <w:p w14:paraId="29B25FB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B0F7AF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(0.149)</w:t>
                  </w:r>
                </w:p>
              </w:tc>
              <w:tc>
                <w:tcPr>
                  <w:tcW w:w="1628" w:type="dxa"/>
                  <w:tcBorders>
                    <w:top w:val="nil"/>
                    <w:left w:val="nil"/>
                    <w:bottom w:val="nil"/>
                    <w:right w:val="nil"/>
                  </w:tcBorders>
                </w:tcPr>
                <w:p w14:paraId="5BED8DD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(0.177)</w:t>
                  </w:r>
                </w:p>
              </w:tc>
              <w:tc>
                <w:tcPr>
                  <w:tcW w:w="1491" w:type="dxa"/>
                  <w:tcBorders>
                    <w:top w:val="nil"/>
                    <w:left w:val="nil"/>
                    <w:bottom w:val="nil"/>
                    <w:right w:val="nil"/>
                  </w:tcBorders>
                </w:tcPr>
                <w:p w14:paraId="4366E30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(0.199)</w:t>
                  </w:r>
                </w:p>
              </w:tc>
              <w:tc>
                <w:tcPr>
                  <w:tcW w:w="1559" w:type="dxa"/>
                  <w:tcBorders>
                    <w:top w:val="nil"/>
                    <w:left w:val="nil"/>
                    <w:bottom w:val="nil"/>
                    <w:right w:val="nil"/>
                  </w:tcBorders>
                </w:tcPr>
                <w:p w14:paraId="5D200AF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(0.242)</w:t>
                  </w:r>
                </w:p>
              </w:tc>
            </w:tr>
            <w:tr w:rsidR="00D3100C" w:rsidRPr="00D3100C" w14:paraId="560E0D08" w14:textId="77777777" w:rsidTr="00DA5EDB">
              <w:tc>
                <w:tcPr>
                  <w:tcW w:w="2977" w:type="dxa"/>
                  <w:tcBorders>
                    <w:top w:val="nil"/>
                    <w:left w:val="nil"/>
                    <w:bottom w:val="nil"/>
                    <w:right w:val="nil"/>
                  </w:tcBorders>
                </w:tcPr>
                <w:p w14:paraId="18BE391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4A0FF7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F758FD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1C1AE3A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4E9C1CE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5B7ADF9B" w14:textId="77777777" w:rsidTr="00DA5EDB">
              <w:tc>
                <w:tcPr>
                  <w:tcW w:w="2977" w:type="dxa"/>
                  <w:tcBorders>
                    <w:top w:val="nil"/>
                    <w:left w:val="nil"/>
                    <w:bottom w:val="nil"/>
                    <w:right w:val="nil"/>
                  </w:tcBorders>
                </w:tcPr>
                <w:p w14:paraId="7416C57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Age Dummy- Young</w:t>
                  </w:r>
                </w:p>
              </w:tc>
              <w:tc>
                <w:tcPr>
                  <w:tcW w:w="1701" w:type="dxa"/>
                  <w:tcBorders>
                    <w:top w:val="nil"/>
                    <w:left w:val="nil"/>
                    <w:bottom w:val="nil"/>
                    <w:right w:val="nil"/>
                  </w:tcBorders>
                </w:tcPr>
                <w:p w14:paraId="28A1829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-0.507</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571B2B6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-0.938</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485DCF4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-1.049</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51E50EF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-0.178</w:t>
                  </w:r>
                </w:p>
              </w:tc>
            </w:tr>
            <w:tr w:rsidR="00D3100C" w:rsidRPr="00D3100C" w14:paraId="7825F8A3" w14:textId="77777777" w:rsidTr="00DA5EDB">
              <w:tc>
                <w:tcPr>
                  <w:tcW w:w="2977" w:type="dxa"/>
                  <w:tcBorders>
                    <w:top w:val="nil"/>
                    <w:left w:val="nil"/>
                    <w:bottom w:val="nil"/>
                    <w:right w:val="nil"/>
                  </w:tcBorders>
                </w:tcPr>
                <w:p w14:paraId="13E1360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1E2293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(0.155)</w:t>
                  </w:r>
                </w:p>
              </w:tc>
              <w:tc>
                <w:tcPr>
                  <w:tcW w:w="1628" w:type="dxa"/>
                  <w:tcBorders>
                    <w:top w:val="nil"/>
                    <w:left w:val="nil"/>
                    <w:bottom w:val="nil"/>
                    <w:right w:val="nil"/>
                  </w:tcBorders>
                </w:tcPr>
                <w:p w14:paraId="1C5332A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(0.183)</w:t>
                  </w:r>
                </w:p>
              </w:tc>
              <w:tc>
                <w:tcPr>
                  <w:tcW w:w="1491" w:type="dxa"/>
                  <w:tcBorders>
                    <w:top w:val="nil"/>
                    <w:left w:val="nil"/>
                    <w:bottom w:val="nil"/>
                    <w:right w:val="nil"/>
                  </w:tcBorders>
                </w:tcPr>
                <w:p w14:paraId="3ECB72E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(0.210)</w:t>
                  </w:r>
                </w:p>
              </w:tc>
              <w:tc>
                <w:tcPr>
                  <w:tcW w:w="1559" w:type="dxa"/>
                  <w:tcBorders>
                    <w:top w:val="nil"/>
                    <w:left w:val="nil"/>
                    <w:bottom w:val="nil"/>
                    <w:right w:val="nil"/>
                  </w:tcBorders>
                </w:tcPr>
                <w:p w14:paraId="1E031AC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(0.233)</w:t>
                  </w:r>
                </w:p>
              </w:tc>
            </w:tr>
            <w:tr w:rsidR="00D3100C" w:rsidRPr="00D3100C" w14:paraId="39EB5414" w14:textId="77777777" w:rsidTr="00DA5EDB">
              <w:tc>
                <w:tcPr>
                  <w:tcW w:w="2977" w:type="dxa"/>
                  <w:tcBorders>
                    <w:top w:val="nil"/>
                    <w:left w:val="nil"/>
                    <w:bottom w:val="nil"/>
                    <w:right w:val="nil"/>
                  </w:tcBorders>
                </w:tcPr>
                <w:p w14:paraId="63C06A9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7C619E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5DD17E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DEAAFF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2F6E6A2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51C7FE8C" w14:textId="77777777" w:rsidTr="00DA5EDB">
              <w:tc>
                <w:tcPr>
                  <w:tcW w:w="2977" w:type="dxa"/>
                  <w:tcBorders>
                    <w:top w:val="nil"/>
                    <w:left w:val="nil"/>
                    <w:bottom w:val="nil"/>
                    <w:right w:val="nil"/>
                  </w:tcBorders>
                </w:tcPr>
                <w:p w14:paraId="14054B0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Central Africa Dummy</w:t>
                  </w:r>
                </w:p>
              </w:tc>
              <w:tc>
                <w:tcPr>
                  <w:tcW w:w="1701" w:type="dxa"/>
                  <w:tcBorders>
                    <w:top w:val="nil"/>
                    <w:left w:val="nil"/>
                    <w:bottom w:val="nil"/>
                    <w:right w:val="nil"/>
                  </w:tcBorders>
                </w:tcPr>
                <w:p w14:paraId="2A1CE5A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-0.0992</w:t>
                  </w:r>
                </w:p>
              </w:tc>
              <w:tc>
                <w:tcPr>
                  <w:tcW w:w="1628" w:type="dxa"/>
                  <w:tcBorders>
                    <w:top w:val="nil"/>
                    <w:left w:val="nil"/>
                    <w:bottom w:val="nil"/>
                    <w:right w:val="nil"/>
                  </w:tcBorders>
                </w:tcPr>
                <w:p w14:paraId="31A2E66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-0.119</w:t>
                  </w:r>
                </w:p>
              </w:tc>
              <w:tc>
                <w:tcPr>
                  <w:tcW w:w="1491" w:type="dxa"/>
                  <w:tcBorders>
                    <w:top w:val="nil"/>
                    <w:left w:val="nil"/>
                    <w:bottom w:val="nil"/>
                    <w:right w:val="nil"/>
                  </w:tcBorders>
                </w:tcPr>
                <w:p w14:paraId="516EA44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-0.0704</w:t>
                  </w:r>
                </w:p>
              </w:tc>
              <w:tc>
                <w:tcPr>
                  <w:tcW w:w="1559" w:type="dxa"/>
                  <w:tcBorders>
                    <w:top w:val="nil"/>
                    <w:left w:val="nil"/>
                    <w:bottom w:val="nil"/>
                    <w:right w:val="nil"/>
                  </w:tcBorders>
                </w:tcPr>
                <w:p w14:paraId="1CA06ED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-0.408</w:t>
                  </w:r>
                </w:p>
              </w:tc>
            </w:tr>
            <w:tr w:rsidR="00D3100C" w:rsidRPr="00D3100C" w14:paraId="6E9E150F" w14:textId="77777777" w:rsidTr="00DA5EDB">
              <w:tc>
                <w:tcPr>
                  <w:tcW w:w="2977" w:type="dxa"/>
                  <w:tcBorders>
                    <w:top w:val="nil"/>
                    <w:left w:val="nil"/>
                    <w:bottom w:val="nil"/>
                    <w:right w:val="nil"/>
                  </w:tcBorders>
                </w:tcPr>
                <w:p w14:paraId="007D2AA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CDA5B2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(0.216)</w:t>
                  </w:r>
                </w:p>
              </w:tc>
              <w:tc>
                <w:tcPr>
                  <w:tcW w:w="1628" w:type="dxa"/>
                  <w:tcBorders>
                    <w:top w:val="nil"/>
                    <w:left w:val="nil"/>
                    <w:bottom w:val="nil"/>
                    <w:right w:val="nil"/>
                  </w:tcBorders>
                </w:tcPr>
                <w:p w14:paraId="3FE7C52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(0.241)</w:t>
                  </w:r>
                </w:p>
              </w:tc>
              <w:tc>
                <w:tcPr>
                  <w:tcW w:w="1491" w:type="dxa"/>
                  <w:tcBorders>
                    <w:top w:val="nil"/>
                    <w:left w:val="nil"/>
                    <w:bottom w:val="nil"/>
                    <w:right w:val="nil"/>
                  </w:tcBorders>
                </w:tcPr>
                <w:p w14:paraId="39825FC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(0.279)</w:t>
                  </w:r>
                </w:p>
              </w:tc>
              <w:tc>
                <w:tcPr>
                  <w:tcW w:w="1559" w:type="dxa"/>
                  <w:tcBorders>
                    <w:top w:val="nil"/>
                    <w:left w:val="nil"/>
                    <w:bottom w:val="nil"/>
                    <w:right w:val="nil"/>
                  </w:tcBorders>
                </w:tcPr>
                <w:p w14:paraId="59A01DA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(0.375)</w:t>
                  </w:r>
                </w:p>
              </w:tc>
            </w:tr>
            <w:tr w:rsidR="00D3100C" w:rsidRPr="00D3100C" w14:paraId="2262B305" w14:textId="77777777" w:rsidTr="00DA5EDB">
              <w:tc>
                <w:tcPr>
                  <w:tcW w:w="2977" w:type="dxa"/>
                  <w:tcBorders>
                    <w:top w:val="nil"/>
                    <w:left w:val="nil"/>
                    <w:bottom w:val="nil"/>
                    <w:right w:val="nil"/>
                  </w:tcBorders>
                </w:tcPr>
                <w:p w14:paraId="419AE3A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E1C333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4AE6A67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0D8E090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1CFC9EB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42919C7" w14:textId="77777777" w:rsidTr="00DA5EDB">
              <w:tc>
                <w:tcPr>
                  <w:tcW w:w="2977" w:type="dxa"/>
                  <w:tcBorders>
                    <w:top w:val="nil"/>
                    <w:left w:val="nil"/>
                    <w:bottom w:val="nil"/>
                    <w:right w:val="nil"/>
                  </w:tcBorders>
                </w:tcPr>
                <w:p w14:paraId="3F7A920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North Africa Dummy</w:t>
                  </w:r>
                </w:p>
              </w:tc>
              <w:tc>
                <w:tcPr>
                  <w:tcW w:w="1701" w:type="dxa"/>
                  <w:tcBorders>
                    <w:top w:val="nil"/>
                    <w:left w:val="nil"/>
                    <w:bottom w:val="nil"/>
                    <w:right w:val="nil"/>
                  </w:tcBorders>
                </w:tcPr>
                <w:p w14:paraId="5C4197E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-0.989</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5B6E101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-0.864</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286C875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-0.873</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669102E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-0.817</w:t>
                  </w:r>
                </w:p>
              </w:tc>
            </w:tr>
            <w:tr w:rsidR="00D3100C" w:rsidRPr="00D3100C" w14:paraId="042332B7" w14:textId="77777777" w:rsidTr="00DA5EDB">
              <w:tc>
                <w:tcPr>
                  <w:tcW w:w="2977" w:type="dxa"/>
                  <w:tcBorders>
                    <w:top w:val="nil"/>
                    <w:left w:val="nil"/>
                    <w:bottom w:val="nil"/>
                    <w:right w:val="nil"/>
                  </w:tcBorders>
                </w:tcPr>
                <w:p w14:paraId="17CEDA8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5A27B2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(0.239)</w:t>
                  </w:r>
                </w:p>
              </w:tc>
              <w:tc>
                <w:tcPr>
                  <w:tcW w:w="1628" w:type="dxa"/>
                  <w:tcBorders>
                    <w:top w:val="nil"/>
                    <w:left w:val="nil"/>
                    <w:bottom w:val="nil"/>
                    <w:right w:val="nil"/>
                  </w:tcBorders>
                </w:tcPr>
                <w:p w14:paraId="755C838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(0.248)</w:t>
                  </w:r>
                </w:p>
              </w:tc>
              <w:tc>
                <w:tcPr>
                  <w:tcW w:w="1491" w:type="dxa"/>
                  <w:tcBorders>
                    <w:top w:val="nil"/>
                    <w:left w:val="nil"/>
                    <w:bottom w:val="nil"/>
                    <w:right w:val="nil"/>
                  </w:tcBorders>
                </w:tcPr>
                <w:p w14:paraId="792DC60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(0.263)</w:t>
                  </w:r>
                </w:p>
              </w:tc>
              <w:tc>
                <w:tcPr>
                  <w:tcW w:w="1559" w:type="dxa"/>
                  <w:tcBorders>
                    <w:top w:val="nil"/>
                    <w:left w:val="nil"/>
                    <w:bottom w:val="nil"/>
                    <w:right w:val="nil"/>
                  </w:tcBorders>
                </w:tcPr>
                <w:p w14:paraId="6C11DB9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(0.550)</w:t>
                  </w:r>
                </w:p>
              </w:tc>
            </w:tr>
            <w:tr w:rsidR="00D3100C" w:rsidRPr="00D3100C" w14:paraId="287CABB2" w14:textId="77777777" w:rsidTr="00DA5EDB">
              <w:tc>
                <w:tcPr>
                  <w:tcW w:w="2977" w:type="dxa"/>
                  <w:tcBorders>
                    <w:top w:val="nil"/>
                    <w:left w:val="nil"/>
                    <w:bottom w:val="nil"/>
                    <w:right w:val="nil"/>
                  </w:tcBorders>
                </w:tcPr>
                <w:p w14:paraId="555D42C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5D71A1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5810C9B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171801F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0F115F2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3D74CA40" w14:textId="77777777" w:rsidTr="00DA5EDB">
              <w:tc>
                <w:tcPr>
                  <w:tcW w:w="2977" w:type="dxa"/>
                  <w:tcBorders>
                    <w:top w:val="nil"/>
                    <w:left w:val="nil"/>
                    <w:bottom w:val="nil"/>
                    <w:right w:val="nil"/>
                  </w:tcBorders>
                </w:tcPr>
                <w:p w14:paraId="51D3928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Southern Africa Dummy</w:t>
                  </w:r>
                </w:p>
              </w:tc>
              <w:tc>
                <w:tcPr>
                  <w:tcW w:w="1701" w:type="dxa"/>
                  <w:tcBorders>
                    <w:top w:val="nil"/>
                    <w:left w:val="nil"/>
                    <w:bottom w:val="nil"/>
                    <w:right w:val="nil"/>
                  </w:tcBorders>
                </w:tcPr>
                <w:p w14:paraId="3CA9D84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0.950</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5ADA15D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0.831</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7B83FBD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0.848</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11607BA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1.527</w:t>
                  </w:r>
                  <w:r w:rsidRPr="00D3100C">
                    <w:rPr>
                      <w:rFonts w:ascii="Garamond" w:eastAsiaTheme="minorEastAsia" w:hAnsi="Garamond" w:cs="Times New Roman"/>
                      <w:sz w:val="19"/>
                      <w:szCs w:val="19"/>
                      <w:vertAlign w:val="superscript"/>
                      <w:lang w:val="en-US" w:eastAsia="en-GB"/>
                    </w:rPr>
                    <w:t>***</w:t>
                  </w:r>
                </w:p>
              </w:tc>
            </w:tr>
            <w:tr w:rsidR="00D3100C" w:rsidRPr="00D3100C" w14:paraId="76E52508" w14:textId="77777777" w:rsidTr="00DA5EDB">
              <w:tc>
                <w:tcPr>
                  <w:tcW w:w="2977" w:type="dxa"/>
                  <w:tcBorders>
                    <w:top w:val="nil"/>
                    <w:left w:val="nil"/>
                    <w:bottom w:val="nil"/>
                    <w:right w:val="nil"/>
                  </w:tcBorders>
                </w:tcPr>
                <w:p w14:paraId="447FDA8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7EE7E3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(0.173)</w:t>
                  </w:r>
                </w:p>
              </w:tc>
              <w:tc>
                <w:tcPr>
                  <w:tcW w:w="1628" w:type="dxa"/>
                  <w:tcBorders>
                    <w:top w:val="nil"/>
                    <w:left w:val="nil"/>
                    <w:bottom w:val="nil"/>
                    <w:right w:val="nil"/>
                  </w:tcBorders>
                </w:tcPr>
                <w:p w14:paraId="136D381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(0.183)</w:t>
                  </w:r>
                </w:p>
              </w:tc>
              <w:tc>
                <w:tcPr>
                  <w:tcW w:w="1491" w:type="dxa"/>
                  <w:tcBorders>
                    <w:top w:val="nil"/>
                    <w:left w:val="nil"/>
                    <w:bottom w:val="nil"/>
                    <w:right w:val="nil"/>
                  </w:tcBorders>
                </w:tcPr>
                <w:p w14:paraId="600E571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(0.195)</w:t>
                  </w:r>
                </w:p>
              </w:tc>
              <w:tc>
                <w:tcPr>
                  <w:tcW w:w="1559" w:type="dxa"/>
                  <w:tcBorders>
                    <w:top w:val="nil"/>
                    <w:left w:val="nil"/>
                    <w:bottom w:val="nil"/>
                    <w:right w:val="nil"/>
                  </w:tcBorders>
                </w:tcPr>
                <w:p w14:paraId="21312F0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(0.443)</w:t>
                  </w:r>
                </w:p>
              </w:tc>
            </w:tr>
            <w:tr w:rsidR="00D3100C" w:rsidRPr="00D3100C" w14:paraId="3F1DACF5" w14:textId="77777777" w:rsidTr="00DA5EDB">
              <w:tc>
                <w:tcPr>
                  <w:tcW w:w="2977" w:type="dxa"/>
                  <w:tcBorders>
                    <w:top w:val="nil"/>
                    <w:left w:val="nil"/>
                    <w:bottom w:val="nil"/>
                    <w:right w:val="nil"/>
                  </w:tcBorders>
                </w:tcPr>
                <w:p w14:paraId="4FCAA4C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C2076A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7475CBD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661B21F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39F31FF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409B4895" w14:textId="77777777" w:rsidTr="00DA5EDB">
              <w:tc>
                <w:tcPr>
                  <w:tcW w:w="2977" w:type="dxa"/>
                  <w:tcBorders>
                    <w:top w:val="nil"/>
                    <w:left w:val="nil"/>
                    <w:bottom w:val="nil"/>
                    <w:right w:val="nil"/>
                  </w:tcBorders>
                </w:tcPr>
                <w:p w14:paraId="7080FA4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West Africa Dummy</w:t>
                  </w:r>
                </w:p>
              </w:tc>
              <w:tc>
                <w:tcPr>
                  <w:tcW w:w="1701" w:type="dxa"/>
                  <w:tcBorders>
                    <w:top w:val="nil"/>
                    <w:left w:val="nil"/>
                    <w:bottom w:val="nil"/>
                    <w:right w:val="nil"/>
                  </w:tcBorders>
                </w:tcPr>
                <w:p w14:paraId="1F0DAC3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-0.189</w:t>
                  </w:r>
                </w:p>
              </w:tc>
              <w:tc>
                <w:tcPr>
                  <w:tcW w:w="1628" w:type="dxa"/>
                  <w:tcBorders>
                    <w:top w:val="nil"/>
                    <w:left w:val="nil"/>
                    <w:bottom w:val="nil"/>
                    <w:right w:val="nil"/>
                  </w:tcBorders>
                </w:tcPr>
                <w:p w14:paraId="6A9485B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-0.253</w:t>
                  </w:r>
                </w:p>
              </w:tc>
              <w:tc>
                <w:tcPr>
                  <w:tcW w:w="1491" w:type="dxa"/>
                  <w:tcBorders>
                    <w:top w:val="nil"/>
                    <w:left w:val="nil"/>
                    <w:bottom w:val="nil"/>
                    <w:right w:val="nil"/>
                  </w:tcBorders>
                </w:tcPr>
                <w:p w14:paraId="5EDB494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-0.203</w:t>
                  </w:r>
                </w:p>
              </w:tc>
              <w:tc>
                <w:tcPr>
                  <w:tcW w:w="1559" w:type="dxa"/>
                  <w:tcBorders>
                    <w:top w:val="nil"/>
                    <w:left w:val="nil"/>
                    <w:bottom w:val="nil"/>
                    <w:right w:val="nil"/>
                  </w:tcBorders>
                </w:tcPr>
                <w:p w14:paraId="1D96E35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0.0221</w:t>
                  </w:r>
                </w:p>
              </w:tc>
            </w:tr>
            <w:tr w:rsidR="00D3100C" w:rsidRPr="00D3100C" w14:paraId="148B08D7" w14:textId="77777777" w:rsidTr="00DA5EDB">
              <w:tc>
                <w:tcPr>
                  <w:tcW w:w="2977" w:type="dxa"/>
                  <w:tcBorders>
                    <w:top w:val="nil"/>
                    <w:left w:val="nil"/>
                    <w:bottom w:val="nil"/>
                    <w:right w:val="nil"/>
                  </w:tcBorders>
                </w:tcPr>
                <w:p w14:paraId="203C51C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519E40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(0.143)</w:t>
                  </w:r>
                </w:p>
              </w:tc>
              <w:tc>
                <w:tcPr>
                  <w:tcW w:w="1628" w:type="dxa"/>
                  <w:tcBorders>
                    <w:top w:val="nil"/>
                    <w:left w:val="nil"/>
                    <w:bottom w:val="nil"/>
                    <w:right w:val="nil"/>
                  </w:tcBorders>
                </w:tcPr>
                <w:p w14:paraId="0D4CFAB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(0.152)</w:t>
                  </w:r>
                </w:p>
              </w:tc>
              <w:tc>
                <w:tcPr>
                  <w:tcW w:w="1491" w:type="dxa"/>
                  <w:tcBorders>
                    <w:top w:val="nil"/>
                    <w:left w:val="nil"/>
                    <w:bottom w:val="nil"/>
                    <w:right w:val="nil"/>
                  </w:tcBorders>
                </w:tcPr>
                <w:p w14:paraId="5D3B1E1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(0.163)</w:t>
                  </w:r>
                </w:p>
              </w:tc>
              <w:tc>
                <w:tcPr>
                  <w:tcW w:w="1559" w:type="dxa"/>
                  <w:tcBorders>
                    <w:top w:val="nil"/>
                    <w:left w:val="nil"/>
                    <w:bottom w:val="nil"/>
                    <w:right w:val="nil"/>
                  </w:tcBorders>
                </w:tcPr>
                <w:p w14:paraId="3FFE298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(0.269)</w:t>
                  </w:r>
                </w:p>
              </w:tc>
            </w:tr>
            <w:tr w:rsidR="00D3100C" w:rsidRPr="00D3100C" w14:paraId="232D5E6E" w14:textId="77777777" w:rsidTr="00DA5EDB">
              <w:tc>
                <w:tcPr>
                  <w:tcW w:w="2977" w:type="dxa"/>
                  <w:tcBorders>
                    <w:top w:val="nil"/>
                    <w:left w:val="nil"/>
                    <w:bottom w:val="nil"/>
                    <w:right w:val="nil"/>
                  </w:tcBorders>
                </w:tcPr>
                <w:p w14:paraId="34DEE4D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5FCEF0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36BD0B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4A32D42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1B017D3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2AD4B5EF" w14:textId="77777777" w:rsidTr="00DA5EDB">
              <w:tc>
                <w:tcPr>
                  <w:tcW w:w="2977" w:type="dxa"/>
                  <w:tcBorders>
                    <w:top w:val="nil"/>
                    <w:left w:val="nil"/>
                    <w:bottom w:val="nil"/>
                    <w:right w:val="nil"/>
                  </w:tcBorders>
                </w:tcPr>
                <w:p w14:paraId="1E8C655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Size (</w:t>
                  </w:r>
                  <w:proofErr w:type="spellStart"/>
                  <w:r w:rsidRPr="00D3100C">
                    <w:rPr>
                      <w:rFonts w:ascii="Garamond" w:eastAsiaTheme="minorEastAsia" w:hAnsi="Garamond" w:cs="Times New Roman"/>
                      <w:sz w:val="19"/>
                      <w:szCs w:val="19"/>
                      <w:lang w:val="en-US" w:eastAsia="en-GB"/>
                    </w:rPr>
                    <w:t>lassets</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0B17DFF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-0.217</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2DF702A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-0.276</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782CD1C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-0.269</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6A78795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-0.0400</w:t>
                  </w:r>
                </w:p>
              </w:tc>
            </w:tr>
            <w:tr w:rsidR="00D3100C" w:rsidRPr="00D3100C" w14:paraId="79349F6A" w14:textId="77777777" w:rsidTr="00DA5EDB">
              <w:tc>
                <w:tcPr>
                  <w:tcW w:w="2977" w:type="dxa"/>
                  <w:tcBorders>
                    <w:top w:val="nil"/>
                    <w:left w:val="nil"/>
                    <w:bottom w:val="nil"/>
                    <w:right w:val="nil"/>
                  </w:tcBorders>
                </w:tcPr>
                <w:p w14:paraId="3D5460C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9125D2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(0.0307)</w:t>
                  </w:r>
                </w:p>
              </w:tc>
              <w:tc>
                <w:tcPr>
                  <w:tcW w:w="1628" w:type="dxa"/>
                  <w:tcBorders>
                    <w:top w:val="nil"/>
                    <w:left w:val="nil"/>
                    <w:bottom w:val="nil"/>
                    <w:right w:val="nil"/>
                  </w:tcBorders>
                </w:tcPr>
                <w:p w14:paraId="008D9D3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(0.0362)</w:t>
                  </w:r>
                </w:p>
              </w:tc>
              <w:tc>
                <w:tcPr>
                  <w:tcW w:w="1491" w:type="dxa"/>
                  <w:tcBorders>
                    <w:top w:val="nil"/>
                    <w:left w:val="nil"/>
                    <w:bottom w:val="nil"/>
                    <w:right w:val="nil"/>
                  </w:tcBorders>
                </w:tcPr>
                <w:p w14:paraId="53D4B88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(0.0403)</w:t>
                  </w:r>
                </w:p>
              </w:tc>
              <w:tc>
                <w:tcPr>
                  <w:tcW w:w="1559" w:type="dxa"/>
                  <w:tcBorders>
                    <w:top w:val="nil"/>
                    <w:left w:val="nil"/>
                    <w:bottom w:val="nil"/>
                    <w:right w:val="nil"/>
                  </w:tcBorders>
                </w:tcPr>
                <w:p w14:paraId="22B79DF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(0.0568)</w:t>
                  </w:r>
                </w:p>
              </w:tc>
            </w:tr>
            <w:tr w:rsidR="00D3100C" w:rsidRPr="00D3100C" w14:paraId="71FA111E" w14:textId="77777777" w:rsidTr="00DA5EDB">
              <w:tc>
                <w:tcPr>
                  <w:tcW w:w="2977" w:type="dxa"/>
                  <w:tcBorders>
                    <w:top w:val="nil"/>
                    <w:left w:val="nil"/>
                    <w:bottom w:val="nil"/>
                    <w:right w:val="nil"/>
                  </w:tcBorders>
                </w:tcPr>
                <w:p w14:paraId="72D4A1A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24ACFD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6B14909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0EFD06F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1C011E7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DA73E60" w14:textId="77777777" w:rsidTr="00DA5EDB">
              <w:tc>
                <w:tcPr>
                  <w:tcW w:w="2977" w:type="dxa"/>
                  <w:tcBorders>
                    <w:top w:val="nil"/>
                    <w:left w:val="nil"/>
                    <w:bottom w:val="nil"/>
                    <w:right w:val="nil"/>
                  </w:tcBorders>
                </w:tcPr>
                <w:p w14:paraId="216FA8F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GDP Growth Annual</w:t>
                  </w:r>
                </w:p>
              </w:tc>
              <w:tc>
                <w:tcPr>
                  <w:tcW w:w="1701" w:type="dxa"/>
                  <w:tcBorders>
                    <w:top w:val="nil"/>
                    <w:left w:val="nil"/>
                    <w:bottom w:val="nil"/>
                    <w:right w:val="nil"/>
                  </w:tcBorders>
                </w:tcPr>
                <w:p w14:paraId="53B1789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-0.0293</w:t>
                  </w:r>
                </w:p>
              </w:tc>
              <w:tc>
                <w:tcPr>
                  <w:tcW w:w="1628" w:type="dxa"/>
                  <w:tcBorders>
                    <w:top w:val="nil"/>
                    <w:left w:val="nil"/>
                    <w:bottom w:val="nil"/>
                    <w:right w:val="nil"/>
                  </w:tcBorders>
                </w:tcPr>
                <w:p w14:paraId="5A6D5FC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-0.0270</w:t>
                  </w:r>
                </w:p>
              </w:tc>
              <w:tc>
                <w:tcPr>
                  <w:tcW w:w="1491" w:type="dxa"/>
                  <w:tcBorders>
                    <w:top w:val="nil"/>
                    <w:left w:val="nil"/>
                    <w:bottom w:val="nil"/>
                    <w:right w:val="nil"/>
                  </w:tcBorders>
                </w:tcPr>
                <w:p w14:paraId="30FF297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-0.0284</w:t>
                  </w:r>
                </w:p>
              </w:tc>
              <w:tc>
                <w:tcPr>
                  <w:tcW w:w="1559" w:type="dxa"/>
                  <w:tcBorders>
                    <w:top w:val="nil"/>
                    <w:left w:val="nil"/>
                    <w:bottom w:val="nil"/>
                    <w:right w:val="nil"/>
                  </w:tcBorders>
                </w:tcPr>
                <w:p w14:paraId="47E740A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-0.0558</w:t>
                  </w:r>
                </w:p>
              </w:tc>
            </w:tr>
            <w:tr w:rsidR="00D3100C" w:rsidRPr="00D3100C" w14:paraId="71203670" w14:textId="77777777" w:rsidTr="00DA5EDB">
              <w:tc>
                <w:tcPr>
                  <w:tcW w:w="2977" w:type="dxa"/>
                  <w:tcBorders>
                    <w:top w:val="nil"/>
                    <w:left w:val="nil"/>
                    <w:bottom w:val="nil"/>
                    <w:right w:val="nil"/>
                  </w:tcBorders>
                </w:tcPr>
                <w:p w14:paraId="6410B33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FB7B2E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(0.0161)</w:t>
                  </w:r>
                </w:p>
              </w:tc>
              <w:tc>
                <w:tcPr>
                  <w:tcW w:w="1628" w:type="dxa"/>
                  <w:tcBorders>
                    <w:top w:val="nil"/>
                    <w:left w:val="nil"/>
                    <w:bottom w:val="nil"/>
                    <w:right w:val="nil"/>
                  </w:tcBorders>
                </w:tcPr>
                <w:p w14:paraId="7557EA3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(0.0172)</w:t>
                  </w:r>
                </w:p>
              </w:tc>
              <w:tc>
                <w:tcPr>
                  <w:tcW w:w="1491" w:type="dxa"/>
                  <w:tcBorders>
                    <w:top w:val="nil"/>
                    <w:left w:val="nil"/>
                    <w:bottom w:val="nil"/>
                    <w:right w:val="nil"/>
                  </w:tcBorders>
                </w:tcPr>
                <w:p w14:paraId="48C0275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(0.0184)</w:t>
                  </w:r>
                </w:p>
              </w:tc>
              <w:tc>
                <w:tcPr>
                  <w:tcW w:w="1559" w:type="dxa"/>
                  <w:tcBorders>
                    <w:top w:val="nil"/>
                    <w:left w:val="nil"/>
                    <w:bottom w:val="nil"/>
                    <w:right w:val="nil"/>
                  </w:tcBorders>
                </w:tcPr>
                <w:p w14:paraId="0EB2818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(0.0316)</w:t>
                  </w:r>
                </w:p>
              </w:tc>
            </w:tr>
            <w:tr w:rsidR="00D3100C" w:rsidRPr="00D3100C" w14:paraId="63FB3C37" w14:textId="77777777" w:rsidTr="00DA5EDB">
              <w:tc>
                <w:tcPr>
                  <w:tcW w:w="2977" w:type="dxa"/>
                  <w:tcBorders>
                    <w:top w:val="nil"/>
                    <w:left w:val="nil"/>
                    <w:bottom w:val="nil"/>
                    <w:right w:val="nil"/>
                  </w:tcBorders>
                </w:tcPr>
                <w:p w14:paraId="7BD5667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4C7CB5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FD10E7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5225C69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0E40B8B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5F2DB9F" w14:textId="77777777" w:rsidTr="00DA5EDB">
              <w:tc>
                <w:tcPr>
                  <w:tcW w:w="2977" w:type="dxa"/>
                  <w:tcBorders>
                    <w:top w:val="nil"/>
                    <w:left w:val="nil"/>
                    <w:bottom w:val="nil"/>
                    <w:right w:val="nil"/>
                  </w:tcBorders>
                </w:tcPr>
                <w:p w14:paraId="3841EDD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Institutional Quality (</w:t>
                  </w:r>
                  <w:proofErr w:type="spellStart"/>
                  <w:r w:rsidRPr="00D3100C">
                    <w:rPr>
                      <w:rFonts w:ascii="Garamond" w:eastAsiaTheme="minorEastAsia" w:hAnsi="Garamond" w:cs="Times New Roman"/>
                      <w:sz w:val="19"/>
                      <w:szCs w:val="19"/>
                      <w:lang w:val="en-US" w:eastAsia="en-GB"/>
                    </w:rPr>
                    <w:t>dkkm</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544EEFA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-0.120</w:t>
                  </w:r>
                </w:p>
              </w:tc>
              <w:tc>
                <w:tcPr>
                  <w:tcW w:w="1628" w:type="dxa"/>
                  <w:tcBorders>
                    <w:top w:val="nil"/>
                    <w:left w:val="nil"/>
                    <w:bottom w:val="nil"/>
                    <w:right w:val="nil"/>
                  </w:tcBorders>
                </w:tcPr>
                <w:p w14:paraId="734BE41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-0.161</w:t>
                  </w:r>
                </w:p>
              </w:tc>
              <w:tc>
                <w:tcPr>
                  <w:tcW w:w="1491" w:type="dxa"/>
                  <w:tcBorders>
                    <w:top w:val="nil"/>
                    <w:left w:val="nil"/>
                    <w:bottom w:val="nil"/>
                    <w:right w:val="nil"/>
                  </w:tcBorders>
                </w:tcPr>
                <w:p w14:paraId="417AB9D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-0.220</w:t>
                  </w:r>
                </w:p>
              </w:tc>
              <w:tc>
                <w:tcPr>
                  <w:tcW w:w="1559" w:type="dxa"/>
                  <w:tcBorders>
                    <w:top w:val="nil"/>
                    <w:left w:val="nil"/>
                    <w:bottom w:val="nil"/>
                    <w:right w:val="nil"/>
                  </w:tcBorders>
                </w:tcPr>
                <w:p w14:paraId="1C3986B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0.278</w:t>
                  </w:r>
                </w:p>
              </w:tc>
            </w:tr>
            <w:tr w:rsidR="00D3100C" w:rsidRPr="00D3100C" w14:paraId="2CC9A110" w14:textId="77777777" w:rsidTr="00DA5EDB">
              <w:tc>
                <w:tcPr>
                  <w:tcW w:w="2977" w:type="dxa"/>
                  <w:tcBorders>
                    <w:top w:val="nil"/>
                    <w:left w:val="nil"/>
                    <w:bottom w:val="nil"/>
                    <w:right w:val="nil"/>
                  </w:tcBorders>
                </w:tcPr>
                <w:p w14:paraId="30E0503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872CFB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(0.254)</w:t>
                  </w:r>
                </w:p>
              </w:tc>
              <w:tc>
                <w:tcPr>
                  <w:tcW w:w="1628" w:type="dxa"/>
                  <w:tcBorders>
                    <w:top w:val="nil"/>
                    <w:left w:val="nil"/>
                    <w:bottom w:val="nil"/>
                    <w:right w:val="nil"/>
                  </w:tcBorders>
                </w:tcPr>
                <w:p w14:paraId="5798332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(0.275)</w:t>
                  </w:r>
                </w:p>
              </w:tc>
              <w:tc>
                <w:tcPr>
                  <w:tcW w:w="1491" w:type="dxa"/>
                  <w:tcBorders>
                    <w:top w:val="nil"/>
                    <w:left w:val="nil"/>
                    <w:bottom w:val="nil"/>
                    <w:right w:val="nil"/>
                  </w:tcBorders>
                </w:tcPr>
                <w:p w14:paraId="04EECFB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(0.299)</w:t>
                  </w:r>
                </w:p>
              </w:tc>
              <w:tc>
                <w:tcPr>
                  <w:tcW w:w="1559" w:type="dxa"/>
                  <w:tcBorders>
                    <w:top w:val="nil"/>
                    <w:left w:val="nil"/>
                    <w:bottom w:val="nil"/>
                    <w:right w:val="nil"/>
                  </w:tcBorders>
                </w:tcPr>
                <w:p w14:paraId="58A4291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(0.476)</w:t>
                  </w:r>
                </w:p>
              </w:tc>
            </w:tr>
            <w:tr w:rsidR="00D3100C" w:rsidRPr="00D3100C" w14:paraId="3A701CBC" w14:textId="77777777" w:rsidTr="00DA5EDB">
              <w:tc>
                <w:tcPr>
                  <w:tcW w:w="2977" w:type="dxa"/>
                  <w:tcBorders>
                    <w:top w:val="nil"/>
                    <w:left w:val="nil"/>
                    <w:bottom w:val="nil"/>
                    <w:right w:val="nil"/>
                  </w:tcBorders>
                </w:tcPr>
                <w:p w14:paraId="4E34BBC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813A5E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04D0005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3AA8A06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21F6B9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5E7062E6" w14:textId="77777777" w:rsidTr="00DA5EDB">
              <w:tc>
                <w:tcPr>
                  <w:tcW w:w="2977" w:type="dxa"/>
                  <w:tcBorders>
                    <w:top w:val="nil"/>
                    <w:left w:val="nil"/>
                    <w:bottom w:val="nil"/>
                    <w:right w:val="nil"/>
                  </w:tcBorders>
                </w:tcPr>
                <w:p w14:paraId="7A0B22D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Education (</w:t>
                  </w:r>
                  <w:proofErr w:type="spellStart"/>
                  <w:r w:rsidRPr="00D3100C">
                    <w:rPr>
                      <w:rFonts w:ascii="Garamond" w:eastAsiaTheme="minorEastAsia" w:hAnsi="Garamond" w:cs="Times New Roman"/>
                      <w:sz w:val="19"/>
                      <w:szCs w:val="19"/>
                      <w:lang w:val="en-US" w:eastAsia="en-GB"/>
                    </w:rPr>
                    <w:t>deduc</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1844D4C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-0.220</w:t>
                  </w:r>
                </w:p>
              </w:tc>
              <w:tc>
                <w:tcPr>
                  <w:tcW w:w="1628" w:type="dxa"/>
                  <w:tcBorders>
                    <w:top w:val="nil"/>
                    <w:left w:val="nil"/>
                    <w:bottom w:val="nil"/>
                    <w:right w:val="nil"/>
                  </w:tcBorders>
                </w:tcPr>
                <w:p w14:paraId="23A35FD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0.481</w:t>
                  </w:r>
                </w:p>
              </w:tc>
              <w:tc>
                <w:tcPr>
                  <w:tcW w:w="1491" w:type="dxa"/>
                  <w:tcBorders>
                    <w:top w:val="nil"/>
                    <w:left w:val="nil"/>
                    <w:bottom w:val="nil"/>
                    <w:right w:val="nil"/>
                  </w:tcBorders>
                </w:tcPr>
                <w:p w14:paraId="4D9F64A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-0.529</w:t>
                  </w:r>
                </w:p>
              </w:tc>
              <w:tc>
                <w:tcPr>
                  <w:tcW w:w="1559" w:type="dxa"/>
                  <w:tcBorders>
                    <w:top w:val="nil"/>
                    <w:left w:val="nil"/>
                    <w:bottom w:val="nil"/>
                    <w:right w:val="nil"/>
                  </w:tcBorders>
                </w:tcPr>
                <w:p w14:paraId="76E586C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1.806</w:t>
                  </w:r>
                </w:p>
              </w:tc>
            </w:tr>
            <w:tr w:rsidR="00D3100C" w:rsidRPr="00D3100C" w14:paraId="5A2D47B6" w14:textId="77777777" w:rsidTr="00DA5EDB">
              <w:tc>
                <w:tcPr>
                  <w:tcW w:w="2977" w:type="dxa"/>
                  <w:tcBorders>
                    <w:top w:val="nil"/>
                    <w:left w:val="nil"/>
                    <w:bottom w:val="nil"/>
                    <w:right w:val="nil"/>
                  </w:tcBorders>
                </w:tcPr>
                <w:p w14:paraId="188EECE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E22D0C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(1.623)</w:t>
                  </w:r>
                </w:p>
              </w:tc>
              <w:tc>
                <w:tcPr>
                  <w:tcW w:w="1628" w:type="dxa"/>
                  <w:tcBorders>
                    <w:top w:val="nil"/>
                    <w:left w:val="nil"/>
                    <w:bottom w:val="nil"/>
                    <w:right w:val="nil"/>
                  </w:tcBorders>
                </w:tcPr>
                <w:p w14:paraId="58B035F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(1.733)</w:t>
                  </w:r>
                </w:p>
              </w:tc>
              <w:tc>
                <w:tcPr>
                  <w:tcW w:w="1491" w:type="dxa"/>
                  <w:tcBorders>
                    <w:top w:val="nil"/>
                    <w:left w:val="nil"/>
                    <w:bottom w:val="nil"/>
                    <w:right w:val="nil"/>
                  </w:tcBorders>
                </w:tcPr>
                <w:p w14:paraId="7B1400A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(1.916)</w:t>
                  </w:r>
                </w:p>
              </w:tc>
              <w:tc>
                <w:tcPr>
                  <w:tcW w:w="1559" w:type="dxa"/>
                  <w:tcBorders>
                    <w:top w:val="nil"/>
                    <w:left w:val="nil"/>
                    <w:bottom w:val="nil"/>
                    <w:right w:val="nil"/>
                  </w:tcBorders>
                </w:tcPr>
                <w:p w14:paraId="4968F28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(2.806)</w:t>
                  </w:r>
                </w:p>
              </w:tc>
            </w:tr>
            <w:tr w:rsidR="00D3100C" w:rsidRPr="00D3100C" w14:paraId="5F860252" w14:textId="77777777" w:rsidTr="00DA5EDB">
              <w:tc>
                <w:tcPr>
                  <w:tcW w:w="2977" w:type="dxa"/>
                  <w:tcBorders>
                    <w:top w:val="nil"/>
                    <w:left w:val="nil"/>
                    <w:bottom w:val="nil"/>
                    <w:right w:val="nil"/>
                  </w:tcBorders>
                </w:tcPr>
                <w:p w14:paraId="1624F81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34D940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72354B1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018F0DE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813ED5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299287C4" w14:textId="77777777" w:rsidTr="00DA5EDB">
              <w:tc>
                <w:tcPr>
                  <w:tcW w:w="2977" w:type="dxa"/>
                  <w:tcBorders>
                    <w:top w:val="nil"/>
                    <w:left w:val="nil"/>
                    <w:bottom w:val="nil"/>
                    <w:right w:val="nil"/>
                  </w:tcBorders>
                </w:tcPr>
                <w:p w14:paraId="3313DA8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Financial development (</w:t>
                  </w:r>
                  <w:proofErr w:type="spellStart"/>
                  <w:r w:rsidRPr="00D3100C">
                    <w:rPr>
                      <w:rFonts w:ascii="Garamond" w:eastAsiaTheme="minorEastAsia" w:hAnsi="Garamond" w:cs="Times New Roman"/>
                      <w:sz w:val="19"/>
                      <w:szCs w:val="19"/>
                      <w:lang w:val="en-US" w:eastAsia="en-GB"/>
                    </w:rPr>
                    <w:t>fd_no_mfi</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1BB4607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0.113</w:t>
                  </w:r>
                </w:p>
              </w:tc>
              <w:tc>
                <w:tcPr>
                  <w:tcW w:w="1628" w:type="dxa"/>
                  <w:tcBorders>
                    <w:top w:val="nil"/>
                    <w:left w:val="nil"/>
                    <w:bottom w:val="nil"/>
                    <w:right w:val="nil"/>
                  </w:tcBorders>
                </w:tcPr>
                <w:p w14:paraId="71E577C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0.137</w:t>
                  </w:r>
                </w:p>
              </w:tc>
              <w:tc>
                <w:tcPr>
                  <w:tcW w:w="1491" w:type="dxa"/>
                  <w:tcBorders>
                    <w:top w:val="nil"/>
                    <w:left w:val="nil"/>
                    <w:bottom w:val="nil"/>
                    <w:right w:val="nil"/>
                  </w:tcBorders>
                </w:tcPr>
                <w:p w14:paraId="0B307F6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0.200</w:t>
                  </w:r>
                </w:p>
              </w:tc>
              <w:tc>
                <w:tcPr>
                  <w:tcW w:w="1559" w:type="dxa"/>
                  <w:tcBorders>
                    <w:top w:val="nil"/>
                    <w:left w:val="nil"/>
                    <w:bottom w:val="nil"/>
                    <w:right w:val="nil"/>
                  </w:tcBorders>
                </w:tcPr>
                <w:p w14:paraId="5E95881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-0.160</w:t>
                  </w:r>
                </w:p>
              </w:tc>
            </w:tr>
            <w:tr w:rsidR="00D3100C" w:rsidRPr="00D3100C" w14:paraId="487DE547" w14:textId="77777777" w:rsidTr="00DA5EDB">
              <w:tc>
                <w:tcPr>
                  <w:tcW w:w="2977" w:type="dxa"/>
                  <w:tcBorders>
                    <w:top w:val="nil"/>
                    <w:left w:val="nil"/>
                    <w:bottom w:val="nil"/>
                    <w:right w:val="nil"/>
                  </w:tcBorders>
                </w:tcPr>
                <w:p w14:paraId="756F208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33FA8F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(0.0854)</w:t>
                  </w:r>
                </w:p>
              </w:tc>
              <w:tc>
                <w:tcPr>
                  <w:tcW w:w="1628" w:type="dxa"/>
                  <w:tcBorders>
                    <w:top w:val="nil"/>
                    <w:left w:val="nil"/>
                    <w:bottom w:val="nil"/>
                    <w:right w:val="nil"/>
                  </w:tcBorders>
                </w:tcPr>
                <w:p w14:paraId="7C42085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(0.0935)</w:t>
                  </w:r>
                </w:p>
              </w:tc>
              <w:tc>
                <w:tcPr>
                  <w:tcW w:w="1491" w:type="dxa"/>
                  <w:tcBorders>
                    <w:top w:val="nil"/>
                    <w:left w:val="nil"/>
                    <w:bottom w:val="nil"/>
                    <w:right w:val="nil"/>
                  </w:tcBorders>
                </w:tcPr>
                <w:p w14:paraId="0C46A7B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(0.106)</w:t>
                  </w:r>
                </w:p>
              </w:tc>
              <w:tc>
                <w:tcPr>
                  <w:tcW w:w="1559" w:type="dxa"/>
                  <w:tcBorders>
                    <w:top w:val="nil"/>
                    <w:left w:val="nil"/>
                    <w:bottom w:val="nil"/>
                    <w:right w:val="nil"/>
                  </w:tcBorders>
                </w:tcPr>
                <w:p w14:paraId="0D9C83E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(0.147)</w:t>
                  </w:r>
                </w:p>
              </w:tc>
            </w:tr>
            <w:tr w:rsidR="00D3100C" w:rsidRPr="00D3100C" w14:paraId="1BE21367" w14:textId="77777777" w:rsidTr="00DA5EDB">
              <w:tc>
                <w:tcPr>
                  <w:tcW w:w="2977" w:type="dxa"/>
                  <w:tcBorders>
                    <w:top w:val="nil"/>
                    <w:left w:val="nil"/>
                    <w:bottom w:val="nil"/>
                    <w:right w:val="nil"/>
                  </w:tcBorders>
                </w:tcPr>
                <w:p w14:paraId="20D1A7E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6229A2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88109E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966028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497B57B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593E037" w14:textId="77777777" w:rsidTr="00DA5EDB">
              <w:tc>
                <w:tcPr>
                  <w:tcW w:w="2977" w:type="dxa"/>
                </w:tcPr>
                <w:p w14:paraId="4B0F282A"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r w:rsidRPr="00D3100C">
                    <w:rPr>
                      <w:rFonts w:ascii="Garamond" w:eastAsiaTheme="minorEastAsia" w:hAnsi="Garamond" w:cs="Times New Roman"/>
                      <w:sz w:val="19"/>
                      <w:szCs w:val="19"/>
                      <w:lang w:val="en-US" w:eastAsia="en-GB"/>
                    </w:rPr>
                    <w:t>Civil Law Dummy</w:t>
                  </w:r>
                </w:p>
              </w:tc>
              <w:tc>
                <w:tcPr>
                  <w:tcW w:w="1701" w:type="dxa"/>
                  <w:tcBorders>
                    <w:top w:val="nil"/>
                    <w:left w:val="nil"/>
                    <w:bottom w:val="nil"/>
                    <w:right w:val="nil"/>
                  </w:tcBorders>
                </w:tcPr>
                <w:p w14:paraId="1F84B39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0.424</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40EB7E8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0.369</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2560E6F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0.303</w:t>
                  </w:r>
                </w:p>
              </w:tc>
              <w:tc>
                <w:tcPr>
                  <w:tcW w:w="1559" w:type="dxa"/>
                  <w:tcBorders>
                    <w:top w:val="nil"/>
                    <w:left w:val="nil"/>
                    <w:bottom w:val="nil"/>
                    <w:right w:val="nil"/>
                  </w:tcBorders>
                </w:tcPr>
                <w:p w14:paraId="118A66B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0.421</w:t>
                  </w:r>
                </w:p>
              </w:tc>
            </w:tr>
            <w:tr w:rsidR="00D3100C" w:rsidRPr="00D3100C" w14:paraId="32AE045E" w14:textId="77777777" w:rsidTr="00DA5EDB">
              <w:tc>
                <w:tcPr>
                  <w:tcW w:w="2977" w:type="dxa"/>
                </w:tcPr>
                <w:p w14:paraId="150D4E03"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p>
              </w:tc>
              <w:tc>
                <w:tcPr>
                  <w:tcW w:w="1701" w:type="dxa"/>
                  <w:tcBorders>
                    <w:top w:val="nil"/>
                    <w:left w:val="nil"/>
                    <w:bottom w:val="nil"/>
                    <w:right w:val="nil"/>
                  </w:tcBorders>
                </w:tcPr>
                <w:p w14:paraId="3A768D2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(0.141)</w:t>
                  </w:r>
                </w:p>
              </w:tc>
              <w:tc>
                <w:tcPr>
                  <w:tcW w:w="1628" w:type="dxa"/>
                  <w:tcBorders>
                    <w:top w:val="nil"/>
                    <w:left w:val="nil"/>
                    <w:bottom w:val="nil"/>
                    <w:right w:val="nil"/>
                  </w:tcBorders>
                </w:tcPr>
                <w:p w14:paraId="7110DBC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(0.151)</w:t>
                  </w:r>
                </w:p>
              </w:tc>
              <w:tc>
                <w:tcPr>
                  <w:tcW w:w="1491" w:type="dxa"/>
                  <w:tcBorders>
                    <w:top w:val="nil"/>
                    <w:left w:val="nil"/>
                    <w:bottom w:val="nil"/>
                    <w:right w:val="nil"/>
                  </w:tcBorders>
                </w:tcPr>
                <w:p w14:paraId="2ECBD18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(0.163)</w:t>
                  </w:r>
                </w:p>
              </w:tc>
              <w:tc>
                <w:tcPr>
                  <w:tcW w:w="1559" w:type="dxa"/>
                  <w:tcBorders>
                    <w:top w:val="nil"/>
                    <w:left w:val="nil"/>
                    <w:bottom w:val="nil"/>
                    <w:right w:val="nil"/>
                  </w:tcBorders>
                </w:tcPr>
                <w:p w14:paraId="5C332F6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(0.264)</w:t>
                  </w:r>
                </w:p>
              </w:tc>
            </w:tr>
            <w:tr w:rsidR="00D3100C" w:rsidRPr="00D3100C" w14:paraId="5A053583" w14:textId="77777777" w:rsidTr="00DA5EDB">
              <w:tc>
                <w:tcPr>
                  <w:tcW w:w="2977" w:type="dxa"/>
                </w:tcPr>
                <w:p w14:paraId="58EA5959"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p>
              </w:tc>
              <w:tc>
                <w:tcPr>
                  <w:tcW w:w="1701" w:type="dxa"/>
                  <w:tcBorders>
                    <w:top w:val="nil"/>
                    <w:left w:val="nil"/>
                    <w:bottom w:val="nil"/>
                    <w:right w:val="nil"/>
                  </w:tcBorders>
                </w:tcPr>
                <w:p w14:paraId="317284F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1631B0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2115AC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0ED344D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98AB153" w14:textId="77777777" w:rsidTr="00DA5EDB">
              <w:tc>
                <w:tcPr>
                  <w:tcW w:w="2977" w:type="dxa"/>
                </w:tcPr>
                <w:p w14:paraId="14E2C606"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r w:rsidRPr="00D3100C">
                    <w:rPr>
                      <w:rFonts w:ascii="Garamond" w:eastAsiaTheme="minorEastAsia" w:hAnsi="Garamond" w:cs="Times New Roman"/>
                      <w:sz w:val="19"/>
                      <w:szCs w:val="19"/>
                      <w:lang w:val="en-US" w:eastAsia="en-GB"/>
                    </w:rPr>
                    <w:t>Others- Legal Tradition Dummy</w:t>
                  </w:r>
                </w:p>
              </w:tc>
              <w:tc>
                <w:tcPr>
                  <w:tcW w:w="1701" w:type="dxa"/>
                  <w:tcBorders>
                    <w:top w:val="nil"/>
                    <w:left w:val="nil"/>
                    <w:bottom w:val="nil"/>
                    <w:right w:val="nil"/>
                  </w:tcBorders>
                </w:tcPr>
                <w:p w14:paraId="5AD3891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-0.279</w:t>
                  </w:r>
                </w:p>
              </w:tc>
              <w:tc>
                <w:tcPr>
                  <w:tcW w:w="1628" w:type="dxa"/>
                  <w:tcBorders>
                    <w:top w:val="nil"/>
                    <w:left w:val="nil"/>
                    <w:bottom w:val="nil"/>
                    <w:right w:val="nil"/>
                  </w:tcBorders>
                </w:tcPr>
                <w:p w14:paraId="003EA74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-0.597</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7EA2F3B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-0.622</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4C6C15B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0.176</w:t>
                  </w:r>
                </w:p>
              </w:tc>
            </w:tr>
            <w:tr w:rsidR="00D3100C" w:rsidRPr="00D3100C" w14:paraId="3E5EDFAC" w14:textId="77777777" w:rsidTr="00DA5EDB">
              <w:tc>
                <w:tcPr>
                  <w:tcW w:w="2977" w:type="dxa"/>
                  <w:tcBorders>
                    <w:top w:val="nil"/>
                    <w:left w:val="nil"/>
                    <w:bottom w:val="nil"/>
                    <w:right w:val="nil"/>
                  </w:tcBorders>
                </w:tcPr>
                <w:p w14:paraId="08C1A9C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89BDF7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(0.154)</w:t>
                  </w:r>
                </w:p>
              </w:tc>
              <w:tc>
                <w:tcPr>
                  <w:tcW w:w="1628" w:type="dxa"/>
                  <w:tcBorders>
                    <w:top w:val="nil"/>
                    <w:left w:val="nil"/>
                    <w:bottom w:val="nil"/>
                    <w:right w:val="nil"/>
                  </w:tcBorders>
                </w:tcPr>
                <w:p w14:paraId="5ED972D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(0.165)</w:t>
                  </w:r>
                </w:p>
              </w:tc>
              <w:tc>
                <w:tcPr>
                  <w:tcW w:w="1491" w:type="dxa"/>
                  <w:tcBorders>
                    <w:top w:val="nil"/>
                    <w:left w:val="nil"/>
                    <w:bottom w:val="nil"/>
                    <w:right w:val="nil"/>
                  </w:tcBorders>
                </w:tcPr>
                <w:p w14:paraId="5718417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(0.175)</w:t>
                  </w:r>
                </w:p>
              </w:tc>
              <w:tc>
                <w:tcPr>
                  <w:tcW w:w="1559" w:type="dxa"/>
                  <w:tcBorders>
                    <w:top w:val="nil"/>
                    <w:left w:val="nil"/>
                    <w:bottom w:val="nil"/>
                    <w:right w:val="nil"/>
                  </w:tcBorders>
                </w:tcPr>
                <w:p w14:paraId="5893EFA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(0.342)</w:t>
                  </w:r>
                </w:p>
              </w:tc>
            </w:tr>
            <w:tr w:rsidR="00D3100C" w:rsidRPr="00D3100C" w14:paraId="46141AB2" w14:textId="77777777" w:rsidTr="00DA5EDB">
              <w:tc>
                <w:tcPr>
                  <w:tcW w:w="2977" w:type="dxa"/>
                  <w:tcBorders>
                    <w:top w:val="nil"/>
                    <w:left w:val="nil"/>
                    <w:bottom w:val="nil"/>
                    <w:right w:val="nil"/>
                  </w:tcBorders>
                </w:tcPr>
                <w:p w14:paraId="58B78DD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4C87DF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6A94596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58375A0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5E85978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7E3F7D4A" w14:textId="77777777" w:rsidTr="00DA5EDB">
              <w:tc>
                <w:tcPr>
                  <w:tcW w:w="2977" w:type="dxa"/>
                  <w:tcBorders>
                    <w:top w:val="nil"/>
                    <w:left w:val="nil"/>
                    <w:bottom w:val="nil"/>
                    <w:right w:val="nil"/>
                  </w:tcBorders>
                </w:tcPr>
                <w:p w14:paraId="0C50FF0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Credit Union/ Cooperative</w:t>
                  </w:r>
                </w:p>
              </w:tc>
              <w:tc>
                <w:tcPr>
                  <w:tcW w:w="1701" w:type="dxa"/>
                  <w:tcBorders>
                    <w:top w:val="nil"/>
                    <w:left w:val="nil"/>
                    <w:bottom w:val="nil"/>
                    <w:right w:val="nil"/>
                  </w:tcBorders>
                </w:tcPr>
                <w:p w14:paraId="1A54534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0.207</w:t>
                  </w:r>
                </w:p>
              </w:tc>
              <w:tc>
                <w:tcPr>
                  <w:tcW w:w="1628" w:type="dxa"/>
                  <w:tcBorders>
                    <w:top w:val="nil"/>
                    <w:left w:val="nil"/>
                    <w:bottom w:val="nil"/>
                    <w:right w:val="nil"/>
                  </w:tcBorders>
                </w:tcPr>
                <w:p w14:paraId="300BE3A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-0.0769</w:t>
                  </w:r>
                </w:p>
              </w:tc>
              <w:tc>
                <w:tcPr>
                  <w:tcW w:w="1491" w:type="dxa"/>
                  <w:tcBorders>
                    <w:top w:val="nil"/>
                    <w:left w:val="nil"/>
                    <w:bottom w:val="nil"/>
                    <w:right w:val="nil"/>
                  </w:tcBorders>
                </w:tcPr>
                <w:p w14:paraId="53291FC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-0.110</w:t>
                  </w:r>
                </w:p>
              </w:tc>
              <w:tc>
                <w:tcPr>
                  <w:tcW w:w="1559" w:type="dxa"/>
                  <w:tcBorders>
                    <w:top w:val="nil"/>
                    <w:left w:val="nil"/>
                    <w:bottom w:val="nil"/>
                    <w:right w:val="nil"/>
                  </w:tcBorders>
                </w:tcPr>
                <w:p w14:paraId="6BB4481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0.712</w:t>
                  </w:r>
                </w:p>
              </w:tc>
            </w:tr>
            <w:tr w:rsidR="00D3100C" w:rsidRPr="00D3100C" w14:paraId="481DBDDF" w14:textId="77777777" w:rsidTr="00DA5EDB">
              <w:tc>
                <w:tcPr>
                  <w:tcW w:w="2977" w:type="dxa"/>
                  <w:tcBorders>
                    <w:top w:val="nil"/>
                    <w:left w:val="nil"/>
                    <w:bottom w:val="nil"/>
                    <w:right w:val="nil"/>
                  </w:tcBorders>
                </w:tcPr>
                <w:p w14:paraId="64B66A5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51B033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(0.232)</w:t>
                  </w:r>
                </w:p>
              </w:tc>
              <w:tc>
                <w:tcPr>
                  <w:tcW w:w="1628" w:type="dxa"/>
                  <w:tcBorders>
                    <w:top w:val="nil"/>
                    <w:left w:val="nil"/>
                    <w:bottom w:val="nil"/>
                    <w:right w:val="nil"/>
                  </w:tcBorders>
                </w:tcPr>
                <w:p w14:paraId="385847B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(0.258)</w:t>
                  </w:r>
                </w:p>
              </w:tc>
              <w:tc>
                <w:tcPr>
                  <w:tcW w:w="1491" w:type="dxa"/>
                  <w:tcBorders>
                    <w:top w:val="nil"/>
                    <w:left w:val="nil"/>
                    <w:bottom w:val="nil"/>
                    <w:right w:val="nil"/>
                  </w:tcBorders>
                </w:tcPr>
                <w:p w14:paraId="2DC47B1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(0.280)</w:t>
                  </w:r>
                </w:p>
              </w:tc>
              <w:tc>
                <w:tcPr>
                  <w:tcW w:w="1559" w:type="dxa"/>
                  <w:tcBorders>
                    <w:top w:val="nil"/>
                    <w:left w:val="nil"/>
                    <w:bottom w:val="nil"/>
                    <w:right w:val="nil"/>
                  </w:tcBorders>
                </w:tcPr>
                <w:p w14:paraId="65B411D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(0.425)</w:t>
                  </w:r>
                </w:p>
              </w:tc>
            </w:tr>
            <w:tr w:rsidR="00D3100C" w:rsidRPr="00D3100C" w14:paraId="5569274F" w14:textId="77777777" w:rsidTr="00DA5EDB">
              <w:tc>
                <w:tcPr>
                  <w:tcW w:w="2977" w:type="dxa"/>
                  <w:tcBorders>
                    <w:top w:val="nil"/>
                    <w:left w:val="nil"/>
                    <w:bottom w:val="nil"/>
                    <w:right w:val="nil"/>
                  </w:tcBorders>
                </w:tcPr>
                <w:p w14:paraId="380A008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2C255A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245D3DD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819338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9D96E4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7883E573" w14:textId="77777777" w:rsidTr="00DA5EDB">
              <w:tc>
                <w:tcPr>
                  <w:tcW w:w="2977" w:type="dxa"/>
                  <w:tcBorders>
                    <w:top w:val="nil"/>
                    <w:left w:val="nil"/>
                    <w:bottom w:val="nil"/>
                    <w:right w:val="nil"/>
                  </w:tcBorders>
                </w:tcPr>
                <w:p w14:paraId="3E15E96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NBFIs</w:t>
                  </w:r>
                </w:p>
              </w:tc>
              <w:tc>
                <w:tcPr>
                  <w:tcW w:w="1701" w:type="dxa"/>
                  <w:tcBorders>
                    <w:top w:val="nil"/>
                    <w:left w:val="nil"/>
                    <w:bottom w:val="nil"/>
                    <w:right w:val="nil"/>
                  </w:tcBorders>
                </w:tcPr>
                <w:p w14:paraId="69A7D6E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0.544</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66EB53F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0.380</w:t>
                  </w:r>
                </w:p>
              </w:tc>
              <w:tc>
                <w:tcPr>
                  <w:tcW w:w="1491" w:type="dxa"/>
                  <w:tcBorders>
                    <w:top w:val="nil"/>
                    <w:left w:val="nil"/>
                    <w:bottom w:val="nil"/>
                    <w:right w:val="nil"/>
                  </w:tcBorders>
                </w:tcPr>
                <w:p w14:paraId="6D024AC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0.525</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0BFCB3A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0.436</w:t>
                  </w:r>
                </w:p>
              </w:tc>
            </w:tr>
            <w:tr w:rsidR="00D3100C" w:rsidRPr="00D3100C" w14:paraId="08D62EEF" w14:textId="77777777" w:rsidTr="00DA5EDB">
              <w:tc>
                <w:tcPr>
                  <w:tcW w:w="2977" w:type="dxa"/>
                  <w:tcBorders>
                    <w:top w:val="nil"/>
                    <w:left w:val="nil"/>
                    <w:bottom w:val="nil"/>
                    <w:right w:val="nil"/>
                  </w:tcBorders>
                </w:tcPr>
                <w:p w14:paraId="7706754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DCEBCA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(0.200)</w:t>
                  </w:r>
                </w:p>
              </w:tc>
              <w:tc>
                <w:tcPr>
                  <w:tcW w:w="1628" w:type="dxa"/>
                  <w:tcBorders>
                    <w:top w:val="nil"/>
                    <w:left w:val="nil"/>
                    <w:bottom w:val="nil"/>
                    <w:right w:val="nil"/>
                  </w:tcBorders>
                </w:tcPr>
                <w:p w14:paraId="0F2816A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(0.221)</w:t>
                  </w:r>
                </w:p>
              </w:tc>
              <w:tc>
                <w:tcPr>
                  <w:tcW w:w="1491" w:type="dxa"/>
                  <w:tcBorders>
                    <w:top w:val="nil"/>
                    <w:left w:val="nil"/>
                    <w:bottom w:val="nil"/>
                    <w:right w:val="nil"/>
                  </w:tcBorders>
                </w:tcPr>
                <w:p w14:paraId="0FF8EEA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(0.237)</w:t>
                  </w:r>
                </w:p>
              </w:tc>
              <w:tc>
                <w:tcPr>
                  <w:tcW w:w="1559" w:type="dxa"/>
                  <w:tcBorders>
                    <w:top w:val="nil"/>
                    <w:left w:val="nil"/>
                    <w:bottom w:val="nil"/>
                    <w:right w:val="nil"/>
                  </w:tcBorders>
                </w:tcPr>
                <w:p w14:paraId="5BE8B0D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(0.374)</w:t>
                  </w:r>
                </w:p>
              </w:tc>
            </w:tr>
            <w:tr w:rsidR="00D3100C" w:rsidRPr="00D3100C" w14:paraId="458A0568" w14:textId="77777777" w:rsidTr="00DA5EDB">
              <w:tc>
                <w:tcPr>
                  <w:tcW w:w="2977" w:type="dxa"/>
                  <w:tcBorders>
                    <w:top w:val="nil"/>
                    <w:left w:val="nil"/>
                    <w:bottom w:val="nil"/>
                    <w:right w:val="nil"/>
                  </w:tcBorders>
                </w:tcPr>
                <w:p w14:paraId="1BD34B1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3F450A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EC7D3D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316B48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4918553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732F0ED9" w14:textId="77777777" w:rsidTr="00DA5EDB">
              <w:tc>
                <w:tcPr>
                  <w:tcW w:w="2977" w:type="dxa"/>
                  <w:tcBorders>
                    <w:top w:val="nil"/>
                    <w:left w:val="nil"/>
                    <w:bottom w:val="nil"/>
                    <w:right w:val="nil"/>
                  </w:tcBorders>
                </w:tcPr>
                <w:p w14:paraId="5AFE4C3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NGOs</w:t>
                  </w:r>
                </w:p>
              </w:tc>
              <w:tc>
                <w:tcPr>
                  <w:tcW w:w="1701" w:type="dxa"/>
                  <w:tcBorders>
                    <w:top w:val="nil"/>
                    <w:left w:val="nil"/>
                    <w:bottom w:val="nil"/>
                    <w:right w:val="nil"/>
                  </w:tcBorders>
                </w:tcPr>
                <w:p w14:paraId="68BF716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0.289</w:t>
                  </w:r>
                </w:p>
              </w:tc>
              <w:tc>
                <w:tcPr>
                  <w:tcW w:w="1628" w:type="dxa"/>
                  <w:tcBorders>
                    <w:top w:val="nil"/>
                    <w:left w:val="nil"/>
                    <w:bottom w:val="nil"/>
                    <w:right w:val="nil"/>
                  </w:tcBorders>
                </w:tcPr>
                <w:p w14:paraId="136DC9C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0.0240</w:t>
                  </w:r>
                </w:p>
              </w:tc>
              <w:tc>
                <w:tcPr>
                  <w:tcW w:w="1491" w:type="dxa"/>
                  <w:tcBorders>
                    <w:top w:val="nil"/>
                    <w:left w:val="nil"/>
                    <w:bottom w:val="nil"/>
                    <w:right w:val="nil"/>
                  </w:tcBorders>
                </w:tcPr>
                <w:p w14:paraId="75E2462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0.0788</w:t>
                  </w:r>
                </w:p>
              </w:tc>
              <w:tc>
                <w:tcPr>
                  <w:tcW w:w="1559" w:type="dxa"/>
                  <w:tcBorders>
                    <w:top w:val="nil"/>
                    <w:left w:val="nil"/>
                    <w:bottom w:val="nil"/>
                    <w:right w:val="nil"/>
                  </w:tcBorders>
                </w:tcPr>
                <w:p w14:paraId="04A96FB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0.628</w:t>
                  </w:r>
                </w:p>
              </w:tc>
            </w:tr>
            <w:tr w:rsidR="00D3100C" w:rsidRPr="00D3100C" w14:paraId="2A6882C2" w14:textId="77777777" w:rsidTr="00DA5EDB">
              <w:tc>
                <w:tcPr>
                  <w:tcW w:w="2977" w:type="dxa"/>
                  <w:tcBorders>
                    <w:top w:val="nil"/>
                    <w:left w:val="nil"/>
                    <w:bottom w:val="nil"/>
                    <w:right w:val="nil"/>
                  </w:tcBorders>
                </w:tcPr>
                <w:p w14:paraId="6F599F7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C47127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(0.203)</w:t>
                  </w:r>
                </w:p>
              </w:tc>
              <w:tc>
                <w:tcPr>
                  <w:tcW w:w="1628" w:type="dxa"/>
                  <w:tcBorders>
                    <w:top w:val="nil"/>
                    <w:left w:val="nil"/>
                    <w:bottom w:val="nil"/>
                    <w:right w:val="nil"/>
                  </w:tcBorders>
                </w:tcPr>
                <w:p w14:paraId="2D9C134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(0.225)</w:t>
                  </w:r>
                </w:p>
              </w:tc>
              <w:tc>
                <w:tcPr>
                  <w:tcW w:w="1491" w:type="dxa"/>
                  <w:tcBorders>
                    <w:top w:val="nil"/>
                    <w:left w:val="nil"/>
                    <w:bottom w:val="nil"/>
                    <w:right w:val="nil"/>
                  </w:tcBorders>
                </w:tcPr>
                <w:p w14:paraId="579D7A6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(0.242)</w:t>
                  </w:r>
                </w:p>
              </w:tc>
              <w:tc>
                <w:tcPr>
                  <w:tcW w:w="1559" w:type="dxa"/>
                  <w:tcBorders>
                    <w:top w:val="nil"/>
                    <w:left w:val="nil"/>
                    <w:bottom w:val="nil"/>
                    <w:right w:val="nil"/>
                  </w:tcBorders>
                </w:tcPr>
                <w:p w14:paraId="4F6D2D1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(0.390)</w:t>
                  </w:r>
                </w:p>
              </w:tc>
            </w:tr>
            <w:tr w:rsidR="00D3100C" w:rsidRPr="00D3100C" w14:paraId="5FD452EE" w14:textId="77777777" w:rsidTr="00DA5EDB">
              <w:tc>
                <w:tcPr>
                  <w:tcW w:w="2977" w:type="dxa"/>
                  <w:tcBorders>
                    <w:top w:val="nil"/>
                    <w:left w:val="nil"/>
                    <w:bottom w:val="nil"/>
                    <w:right w:val="nil"/>
                  </w:tcBorders>
                </w:tcPr>
                <w:p w14:paraId="066D226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3CE49D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BF2ED2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180F8A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BCF6EA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C186F08" w14:textId="77777777" w:rsidTr="00DA5EDB">
              <w:tc>
                <w:tcPr>
                  <w:tcW w:w="2977" w:type="dxa"/>
                  <w:tcBorders>
                    <w:top w:val="nil"/>
                    <w:left w:val="nil"/>
                    <w:bottom w:val="nil"/>
                    <w:right w:val="nil"/>
                  </w:tcBorders>
                </w:tcPr>
                <w:p w14:paraId="6F7E6E1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Other</w:t>
                  </w:r>
                </w:p>
              </w:tc>
              <w:tc>
                <w:tcPr>
                  <w:tcW w:w="1701" w:type="dxa"/>
                  <w:tcBorders>
                    <w:top w:val="nil"/>
                    <w:left w:val="nil"/>
                    <w:bottom w:val="nil"/>
                    <w:right w:val="nil"/>
                  </w:tcBorders>
                </w:tcPr>
                <w:p w14:paraId="60517AC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0.467</w:t>
                  </w:r>
                </w:p>
              </w:tc>
              <w:tc>
                <w:tcPr>
                  <w:tcW w:w="1628" w:type="dxa"/>
                  <w:tcBorders>
                    <w:top w:val="nil"/>
                    <w:left w:val="nil"/>
                    <w:bottom w:val="nil"/>
                    <w:right w:val="nil"/>
                  </w:tcBorders>
                </w:tcPr>
                <w:p w14:paraId="30E1422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0.485</w:t>
                  </w:r>
                </w:p>
              </w:tc>
              <w:tc>
                <w:tcPr>
                  <w:tcW w:w="1491" w:type="dxa"/>
                  <w:tcBorders>
                    <w:top w:val="nil"/>
                    <w:left w:val="nil"/>
                    <w:bottom w:val="nil"/>
                    <w:right w:val="nil"/>
                  </w:tcBorders>
                </w:tcPr>
                <w:p w14:paraId="4CB280D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0.562</w:t>
                  </w:r>
                </w:p>
              </w:tc>
              <w:tc>
                <w:tcPr>
                  <w:tcW w:w="1559" w:type="dxa"/>
                  <w:tcBorders>
                    <w:top w:val="nil"/>
                    <w:left w:val="nil"/>
                    <w:bottom w:val="nil"/>
                    <w:right w:val="nil"/>
                  </w:tcBorders>
                </w:tcPr>
                <w:p w14:paraId="7704BEC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-1.032</w:t>
                  </w:r>
                </w:p>
              </w:tc>
            </w:tr>
            <w:tr w:rsidR="00D3100C" w:rsidRPr="00D3100C" w14:paraId="4DE152F4" w14:textId="77777777" w:rsidTr="00DA5EDB">
              <w:tc>
                <w:tcPr>
                  <w:tcW w:w="2977" w:type="dxa"/>
                  <w:tcBorders>
                    <w:top w:val="nil"/>
                    <w:left w:val="nil"/>
                    <w:bottom w:val="nil"/>
                    <w:right w:val="nil"/>
                  </w:tcBorders>
                </w:tcPr>
                <w:p w14:paraId="20682DF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7B949E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(0.794)</w:t>
                  </w:r>
                </w:p>
              </w:tc>
              <w:tc>
                <w:tcPr>
                  <w:tcW w:w="1628" w:type="dxa"/>
                  <w:tcBorders>
                    <w:top w:val="nil"/>
                    <w:left w:val="nil"/>
                    <w:bottom w:val="nil"/>
                    <w:right w:val="nil"/>
                  </w:tcBorders>
                </w:tcPr>
                <w:p w14:paraId="7A56156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(0.913)</w:t>
                  </w:r>
                </w:p>
              </w:tc>
              <w:tc>
                <w:tcPr>
                  <w:tcW w:w="1491" w:type="dxa"/>
                  <w:tcBorders>
                    <w:top w:val="nil"/>
                    <w:left w:val="nil"/>
                    <w:bottom w:val="nil"/>
                    <w:right w:val="nil"/>
                  </w:tcBorders>
                </w:tcPr>
                <w:p w14:paraId="53814BB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(0.922)</w:t>
                  </w:r>
                </w:p>
              </w:tc>
              <w:tc>
                <w:tcPr>
                  <w:tcW w:w="1559" w:type="dxa"/>
                  <w:tcBorders>
                    <w:top w:val="nil"/>
                    <w:left w:val="nil"/>
                    <w:bottom w:val="nil"/>
                    <w:right w:val="nil"/>
                  </w:tcBorders>
                </w:tcPr>
                <w:p w14:paraId="2241B59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(1.481)</w:t>
                  </w:r>
                </w:p>
              </w:tc>
            </w:tr>
            <w:tr w:rsidR="00D3100C" w:rsidRPr="00D3100C" w14:paraId="24136655" w14:textId="77777777" w:rsidTr="00DA5EDB">
              <w:tc>
                <w:tcPr>
                  <w:tcW w:w="2977" w:type="dxa"/>
                  <w:tcBorders>
                    <w:top w:val="nil"/>
                    <w:left w:val="nil"/>
                    <w:bottom w:val="nil"/>
                    <w:right w:val="nil"/>
                  </w:tcBorders>
                </w:tcPr>
                <w:p w14:paraId="58382B5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DE3742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9EB19C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6B49215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F90E0F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B59AC53" w14:textId="77777777" w:rsidTr="00DA5EDB">
              <w:tc>
                <w:tcPr>
                  <w:tcW w:w="2977" w:type="dxa"/>
                  <w:tcBorders>
                    <w:top w:val="nil"/>
                    <w:left w:val="nil"/>
                    <w:bottom w:val="nil"/>
                    <w:right w:val="nil"/>
                  </w:tcBorders>
                </w:tcPr>
                <w:p w14:paraId="1749956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Rural Bank</w:t>
                  </w:r>
                </w:p>
              </w:tc>
              <w:tc>
                <w:tcPr>
                  <w:tcW w:w="1701" w:type="dxa"/>
                  <w:tcBorders>
                    <w:top w:val="nil"/>
                    <w:left w:val="nil"/>
                    <w:bottom w:val="nil"/>
                    <w:right w:val="nil"/>
                  </w:tcBorders>
                </w:tcPr>
                <w:p w14:paraId="7CF692E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-2.728</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1A6E57A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-15.65</w:t>
                  </w:r>
                </w:p>
              </w:tc>
              <w:tc>
                <w:tcPr>
                  <w:tcW w:w="1491" w:type="dxa"/>
                  <w:tcBorders>
                    <w:top w:val="nil"/>
                    <w:left w:val="nil"/>
                    <w:bottom w:val="nil"/>
                    <w:right w:val="nil"/>
                  </w:tcBorders>
                </w:tcPr>
                <w:p w14:paraId="162549E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-15.48</w:t>
                  </w:r>
                </w:p>
              </w:tc>
              <w:tc>
                <w:tcPr>
                  <w:tcW w:w="1559" w:type="dxa"/>
                  <w:tcBorders>
                    <w:top w:val="nil"/>
                    <w:left w:val="nil"/>
                    <w:bottom w:val="nil"/>
                    <w:right w:val="nil"/>
                  </w:tcBorders>
                </w:tcPr>
                <w:p w14:paraId="2F91118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-2.521</w:t>
                  </w:r>
                  <w:r w:rsidRPr="00D3100C">
                    <w:rPr>
                      <w:rFonts w:ascii="Garamond" w:eastAsiaTheme="minorEastAsia" w:hAnsi="Garamond" w:cs="Times New Roman"/>
                      <w:sz w:val="19"/>
                      <w:szCs w:val="19"/>
                      <w:vertAlign w:val="superscript"/>
                      <w:lang w:val="en-US" w:eastAsia="en-GB"/>
                    </w:rPr>
                    <w:t>*</w:t>
                  </w:r>
                </w:p>
              </w:tc>
            </w:tr>
            <w:tr w:rsidR="00D3100C" w:rsidRPr="00D3100C" w14:paraId="370C91C2" w14:textId="77777777" w:rsidTr="00DA5EDB">
              <w:tc>
                <w:tcPr>
                  <w:tcW w:w="2977" w:type="dxa"/>
                  <w:tcBorders>
                    <w:top w:val="nil"/>
                    <w:left w:val="nil"/>
                    <w:bottom w:val="nil"/>
                    <w:right w:val="nil"/>
                  </w:tcBorders>
                </w:tcPr>
                <w:p w14:paraId="6A34CEE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6F283B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(1.039)</w:t>
                  </w:r>
                </w:p>
              </w:tc>
              <w:tc>
                <w:tcPr>
                  <w:tcW w:w="1628" w:type="dxa"/>
                  <w:tcBorders>
                    <w:top w:val="nil"/>
                    <w:left w:val="nil"/>
                    <w:bottom w:val="nil"/>
                    <w:right w:val="nil"/>
                  </w:tcBorders>
                </w:tcPr>
                <w:p w14:paraId="20B3800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(1046.2)</w:t>
                  </w:r>
                </w:p>
              </w:tc>
              <w:tc>
                <w:tcPr>
                  <w:tcW w:w="1491" w:type="dxa"/>
                  <w:tcBorders>
                    <w:top w:val="nil"/>
                    <w:left w:val="nil"/>
                    <w:bottom w:val="nil"/>
                    <w:right w:val="nil"/>
                  </w:tcBorders>
                </w:tcPr>
                <w:p w14:paraId="2143A57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(1799.7)</w:t>
                  </w:r>
                </w:p>
              </w:tc>
              <w:tc>
                <w:tcPr>
                  <w:tcW w:w="1559" w:type="dxa"/>
                  <w:tcBorders>
                    <w:top w:val="nil"/>
                    <w:left w:val="nil"/>
                    <w:bottom w:val="nil"/>
                    <w:right w:val="nil"/>
                  </w:tcBorders>
                </w:tcPr>
                <w:p w14:paraId="3B2FE26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(1.086)</w:t>
                  </w:r>
                </w:p>
              </w:tc>
            </w:tr>
            <w:tr w:rsidR="00D3100C" w:rsidRPr="00D3100C" w14:paraId="52BAFA08" w14:textId="77777777" w:rsidTr="00DA5EDB">
              <w:tc>
                <w:tcPr>
                  <w:tcW w:w="2977" w:type="dxa"/>
                  <w:tcBorders>
                    <w:top w:val="nil"/>
                    <w:left w:val="nil"/>
                    <w:bottom w:val="nil"/>
                    <w:right w:val="nil"/>
                  </w:tcBorders>
                </w:tcPr>
                <w:p w14:paraId="7840963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0D0AF6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40E5C50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49C489B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13E4FC9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474E7586" w14:textId="77777777" w:rsidTr="00DA5EDB">
              <w:tc>
                <w:tcPr>
                  <w:tcW w:w="2977" w:type="dxa"/>
                  <w:tcBorders>
                    <w:top w:val="nil"/>
                    <w:left w:val="nil"/>
                    <w:bottom w:val="nil"/>
                    <w:right w:val="nil"/>
                  </w:tcBorders>
                </w:tcPr>
                <w:p w14:paraId="6A16E23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Constant</w:t>
                  </w:r>
                </w:p>
              </w:tc>
              <w:tc>
                <w:tcPr>
                  <w:tcW w:w="1701" w:type="dxa"/>
                  <w:tcBorders>
                    <w:top w:val="nil"/>
                    <w:left w:val="nil"/>
                    <w:bottom w:val="nil"/>
                    <w:right w:val="nil"/>
                  </w:tcBorders>
                </w:tcPr>
                <w:p w14:paraId="0AF0511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3.283</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40647AC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4.706</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69C836A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4.591</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40E5B49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0.158</w:t>
                  </w:r>
                </w:p>
              </w:tc>
            </w:tr>
            <w:tr w:rsidR="00D3100C" w:rsidRPr="00D3100C" w14:paraId="6CCF3D3F" w14:textId="77777777" w:rsidTr="00DA5EDB">
              <w:tc>
                <w:tcPr>
                  <w:tcW w:w="2977" w:type="dxa"/>
                  <w:tcBorders>
                    <w:top w:val="nil"/>
                    <w:left w:val="nil"/>
                    <w:bottom w:val="nil"/>
                    <w:right w:val="nil"/>
                  </w:tcBorders>
                </w:tcPr>
                <w:p w14:paraId="27FF800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FDE768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(0.636)</w:t>
                  </w:r>
                </w:p>
              </w:tc>
              <w:tc>
                <w:tcPr>
                  <w:tcW w:w="1628" w:type="dxa"/>
                  <w:tcBorders>
                    <w:top w:val="nil"/>
                    <w:left w:val="nil"/>
                    <w:bottom w:val="nil"/>
                    <w:right w:val="nil"/>
                  </w:tcBorders>
                </w:tcPr>
                <w:p w14:paraId="64764D3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(0.738)</w:t>
                  </w:r>
                </w:p>
              </w:tc>
              <w:tc>
                <w:tcPr>
                  <w:tcW w:w="1491" w:type="dxa"/>
                  <w:tcBorders>
                    <w:top w:val="nil"/>
                    <w:left w:val="nil"/>
                    <w:bottom w:val="nil"/>
                    <w:right w:val="nil"/>
                  </w:tcBorders>
                </w:tcPr>
                <w:p w14:paraId="297E3DC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(0.804)</w:t>
                  </w:r>
                </w:p>
              </w:tc>
              <w:tc>
                <w:tcPr>
                  <w:tcW w:w="1559" w:type="dxa"/>
                  <w:tcBorders>
                    <w:top w:val="nil"/>
                    <w:left w:val="nil"/>
                    <w:bottom w:val="nil"/>
                    <w:right w:val="nil"/>
                  </w:tcBorders>
                </w:tcPr>
                <w:p w14:paraId="6B15F27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(1.322)</w:t>
                  </w:r>
                </w:p>
                <w:p w14:paraId="44035E8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p w14:paraId="504F1E5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p w14:paraId="064CB92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p w14:paraId="48676E5F" w14:textId="77777777" w:rsid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p w14:paraId="4302199D" w14:textId="77777777" w:rsid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p w14:paraId="429D737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p w14:paraId="2D63E83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r>
            <w:tr w:rsidR="00D3100C" w:rsidRPr="00D3100C" w14:paraId="3DCA2CC5" w14:textId="77777777" w:rsidTr="00DA5EDB">
              <w:tc>
                <w:tcPr>
                  <w:tcW w:w="2977" w:type="dxa"/>
                  <w:tcBorders>
                    <w:top w:val="single" w:sz="4" w:space="0" w:color="auto"/>
                    <w:left w:val="nil"/>
                    <w:bottom w:val="nil"/>
                    <w:right w:val="nil"/>
                  </w:tcBorders>
                </w:tcPr>
                <w:p w14:paraId="656D827C" w14:textId="2A41B627" w:rsidR="00D3100C" w:rsidRPr="008632B4" w:rsidRDefault="008632B4" w:rsidP="00D3100C">
                  <w:pPr>
                    <w:widowControl w:val="0"/>
                    <w:autoSpaceDE w:val="0"/>
                    <w:autoSpaceDN w:val="0"/>
                    <w:adjustRightInd w:val="0"/>
                    <w:spacing w:after="0" w:line="240" w:lineRule="auto"/>
                    <w:rPr>
                      <w:rFonts w:ascii="Garamond" w:eastAsiaTheme="minorEastAsia" w:hAnsi="Garamond" w:cs="Times New Roman"/>
                      <w:b/>
                      <w:bCs/>
                      <w:sz w:val="19"/>
                      <w:szCs w:val="19"/>
                      <w:lang w:val="en-US" w:eastAsia="en-GB"/>
                    </w:rPr>
                  </w:pPr>
                  <w:r w:rsidRPr="008632B4">
                    <w:rPr>
                      <w:rFonts w:ascii="Garamond" w:eastAsiaTheme="minorEastAsia" w:hAnsi="Garamond" w:cs="Times New Roman"/>
                      <w:b/>
                      <w:bCs/>
                      <w:sz w:val="19"/>
                      <w:szCs w:val="19"/>
                      <w:lang w:val="en-US" w:eastAsia="en-GB"/>
                    </w:rPr>
                    <w:lastRenderedPageBreak/>
                    <w:t>SF</w:t>
                  </w:r>
                </w:p>
              </w:tc>
              <w:tc>
                <w:tcPr>
                  <w:tcW w:w="1701" w:type="dxa"/>
                  <w:tcBorders>
                    <w:top w:val="single" w:sz="4" w:space="0" w:color="auto"/>
                    <w:left w:val="nil"/>
                    <w:bottom w:val="nil"/>
                    <w:right w:val="nil"/>
                  </w:tcBorders>
                </w:tcPr>
                <w:p w14:paraId="3533BEC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628" w:type="dxa"/>
                  <w:tcBorders>
                    <w:top w:val="single" w:sz="4" w:space="0" w:color="auto"/>
                    <w:left w:val="nil"/>
                    <w:bottom w:val="nil"/>
                    <w:right w:val="nil"/>
                  </w:tcBorders>
                </w:tcPr>
                <w:p w14:paraId="1D2A386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491" w:type="dxa"/>
                  <w:tcBorders>
                    <w:top w:val="single" w:sz="4" w:space="0" w:color="auto"/>
                    <w:left w:val="nil"/>
                    <w:bottom w:val="nil"/>
                    <w:right w:val="nil"/>
                  </w:tcBorders>
                </w:tcPr>
                <w:p w14:paraId="77C1862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c>
                <w:tcPr>
                  <w:tcW w:w="1559" w:type="dxa"/>
                  <w:tcBorders>
                    <w:top w:val="single" w:sz="4" w:space="0" w:color="auto"/>
                    <w:left w:val="nil"/>
                    <w:bottom w:val="nil"/>
                    <w:right w:val="nil"/>
                  </w:tcBorders>
                </w:tcPr>
                <w:p w14:paraId="56455B3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p>
              </w:tc>
            </w:tr>
            <w:tr w:rsidR="00D3100C" w:rsidRPr="00D3100C" w14:paraId="7A7C8EE2" w14:textId="77777777" w:rsidTr="00DA5EDB">
              <w:tc>
                <w:tcPr>
                  <w:tcW w:w="2977" w:type="dxa"/>
                  <w:tcBorders>
                    <w:top w:val="nil"/>
                    <w:left w:val="nil"/>
                    <w:bottom w:val="nil"/>
                    <w:right w:val="nil"/>
                  </w:tcBorders>
                </w:tcPr>
                <w:p w14:paraId="102453D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Age Dummy- Mature</w:t>
                  </w:r>
                </w:p>
              </w:tc>
              <w:tc>
                <w:tcPr>
                  <w:tcW w:w="1701" w:type="dxa"/>
                  <w:tcBorders>
                    <w:top w:val="nil"/>
                    <w:left w:val="nil"/>
                    <w:bottom w:val="nil"/>
                    <w:right w:val="nil"/>
                  </w:tcBorders>
                </w:tcPr>
                <w:p w14:paraId="5CB1238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-0.00910</w:t>
                  </w:r>
                </w:p>
              </w:tc>
              <w:tc>
                <w:tcPr>
                  <w:tcW w:w="1628" w:type="dxa"/>
                  <w:tcBorders>
                    <w:top w:val="nil"/>
                    <w:left w:val="nil"/>
                    <w:bottom w:val="nil"/>
                    <w:right w:val="nil"/>
                  </w:tcBorders>
                </w:tcPr>
                <w:p w14:paraId="12AC529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-0.199</w:t>
                  </w:r>
                </w:p>
              </w:tc>
              <w:tc>
                <w:tcPr>
                  <w:tcW w:w="1491" w:type="dxa"/>
                  <w:tcBorders>
                    <w:top w:val="nil"/>
                    <w:left w:val="nil"/>
                    <w:bottom w:val="nil"/>
                    <w:right w:val="nil"/>
                  </w:tcBorders>
                </w:tcPr>
                <w:p w14:paraId="77E8A02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-0.393</w:t>
                  </w:r>
                </w:p>
              </w:tc>
              <w:tc>
                <w:tcPr>
                  <w:tcW w:w="1559" w:type="dxa"/>
                  <w:tcBorders>
                    <w:top w:val="nil"/>
                    <w:left w:val="nil"/>
                    <w:bottom w:val="nil"/>
                    <w:right w:val="nil"/>
                  </w:tcBorders>
                </w:tcPr>
                <w:p w14:paraId="3254CE5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0.219</w:t>
                  </w:r>
                </w:p>
              </w:tc>
            </w:tr>
            <w:tr w:rsidR="00D3100C" w:rsidRPr="00D3100C" w14:paraId="21D85789" w14:textId="77777777" w:rsidTr="00DA5EDB">
              <w:tc>
                <w:tcPr>
                  <w:tcW w:w="2977" w:type="dxa"/>
                  <w:tcBorders>
                    <w:top w:val="nil"/>
                    <w:left w:val="nil"/>
                    <w:bottom w:val="nil"/>
                    <w:right w:val="nil"/>
                  </w:tcBorders>
                </w:tcPr>
                <w:p w14:paraId="1782658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07E5FA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(0.184)</w:t>
                  </w:r>
                </w:p>
              </w:tc>
              <w:tc>
                <w:tcPr>
                  <w:tcW w:w="1628" w:type="dxa"/>
                  <w:tcBorders>
                    <w:top w:val="nil"/>
                    <w:left w:val="nil"/>
                    <w:bottom w:val="nil"/>
                    <w:right w:val="nil"/>
                  </w:tcBorders>
                </w:tcPr>
                <w:p w14:paraId="0B27B76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(0.229)</w:t>
                  </w:r>
                </w:p>
              </w:tc>
              <w:tc>
                <w:tcPr>
                  <w:tcW w:w="1491" w:type="dxa"/>
                  <w:tcBorders>
                    <w:top w:val="nil"/>
                    <w:left w:val="nil"/>
                    <w:bottom w:val="nil"/>
                    <w:right w:val="nil"/>
                  </w:tcBorders>
                </w:tcPr>
                <w:p w14:paraId="0DB38CF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(0.259)</w:t>
                  </w:r>
                </w:p>
              </w:tc>
              <w:tc>
                <w:tcPr>
                  <w:tcW w:w="1559" w:type="dxa"/>
                  <w:tcBorders>
                    <w:top w:val="nil"/>
                    <w:left w:val="nil"/>
                    <w:bottom w:val="nil"/>
                    <w:right w:val="nil"/>
                  </w:tcBorders>
                </w:tcPr>
                <w:p w14:paraId="3C33949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(0.277)</w:t>
                  </w:r>
                </w:p>
              </w:tc>
            </w:tr>
            <w:tr w:rsidR="00D3100C" w:rsidRPr="00D3100C" w14:paraId="1CEDBC49" w14:textId="77777777" w:rsidTr="00DA5EDB">
              <w:tc>
                <w:tcPr>
                  <w:tcW w:w="2977" w:type="dxa"/>
                  <w:tcBorders>
                    <w:top w:val="nil"/>
                    <w:left w:val="nil"/>
                    <w:bottom w:val="nil"/>
                    <w:right w:val="nil"/>
                  </w:tcBorders>
                </w:tcPr>
                <w:p w14:paraId="03A2E98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BE4BF5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18C953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94626F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1350C6F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3AC369FF" w14:textId="77777777" w:rsidTr="00DA5EDB">
              <w:tc>
                <w:tcPr>
                  <w:tcW w:w="2977" w:type="dxa"/>
                  <w:tcBorders>
                    <w:top w:val="nil"/>
                    <w:left w:val="nil"/>
                    <w:bottom w:val="nil"/>
                    <w:right w:val="nil"/>
                  </w:tcBorders>
                </w:tcPr>
                <w:p w14:paraId="675D0C1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Age Dummy- Young</w:t>
                  </w:r>
                </w:p>
              </w:tc>
              <w:tc>
                <w:tcPr>
                  <w:tcW w:w="1701" w:type="dxa"/>
                  <w:tcBorders>
                    <w:top w:val="nil"/>
                    <w:left w:val="nil"/>
                    <w:bottom w:val="nil"/>
                    <w:right w:val="nil"/>
                  </w:tcBorders>
                </w:tcPr>
                <w:p w14:paraId="77A5CAC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0.166</w:t>
                  </w:r>
                </w:p>
              </w:tc>
              <w:tc>
                <w:tcPr>
                  <w:tcW w:w="1628" w:type="dxa"/>
                  <w:tcBorders>
                    <w:top w:val="nil"/>
                    <w:left w:val="nil"/>
                    <w:bottom w:val="nil"/>
                    <w:right w:val="nil"/>
                  </w:tcBorders>
                </w:tcPr>
                <w:p w14:paraId="2E625C1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-0.0161</w:t>
                  </w:r>
                </w:p>
              </w:tc>
              <w:tc>
                <w:tcPr>
                  <w:tcW w:w="1491" w:type="dxa"/>
                  <w:tcBorders>
                    <w:top w:val="nil"/>
                    <w:left w:val="nil"/>
                    <w:bottom w:val="nil"/>
                    <w:right w:val="nil"/>
                  </w:tcBorders>
                </w:tcPr>
                <w:p w14:paraId="0E739F9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-0.212</w:t>
                  </w:r>
                </w:p>
              </w:tc>
              <w:tc>
                <w:tcPr>
                  <w:tcW w:w="1559" w:type="dxa"/>
                  <w:tcBorders>
                    <w:top w:val="nil"/>
                    <w:left w:val="nil"/>
                    <w:bottom w:val="nil"/>
                    <w:right w:val="nil"/>
                  </w:tcBorders>
                </w:tcPr>
                <w:p w14:paraId="04BF524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0.475</w:t>
                  </w:r>
                </w:p>
              </w:tc>
            </w:tr>
            <w:tr w:rsidR="00D3100C" w:rsidRPr="00D3100C" w14:paraId="0BE3AE77" w14:textId="77777777" w:rsidTr="00DA5EDB">
              <w:tc>
                <w:tcPr>
                  <w:tcW w:w="2977" w:type="dxa"/>
                  <w:tcBorders>
                    <w:top w:val="nil"/>
                    <w:left w:val="nil"/>
                    <w:bottom w:val="nil"/>
                    <w:right w:val="nil"/>
                  </w:tcBorders>
                </w:tcPr>
                <w:p w14:paraId="75C6221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D15DC7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(0.191)</w:t>
                  </w:r>
                </w:p>
              </w:tc>
              <w:tc>
                <w:tcPr>
                  <w:tcW w:w="1628" w:type="dxa"/>
                  <w:tcBorders>
                    <w:top w:val="nil"/>
                    <w:left w:val="nil"/>
                    <w:bottom w:val="nil"/>
                    <w:right w:val="nil"/>
                  </w:tcBorders>
                </w:tcPr>
                <w:p w14:paraId="5AB87A0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(0.235)</w:t>
                  </w:r>
                </w:p>
              </w:tc>
              <w:tc>
                <w:tcPr>
                  <w:tcW w:w="1491" w:type="dxa"/>
                  <w:tcBorders>
                    <w:top w:val="nil"/>
                    <w:left w:val="nil"/>
                    <w:bottom w:val="nil"/>
                    <w:right w:val="nil"/>
                  </w:tcBorders>
                </w:tcPr>
                <w:p w14:paraId="722F525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(0.268)</w:t>
                  </w:r>
                </w:p>
              </w:tc>
              <w:tc>
                <w:tcPr>
                  <w:tcW w:w="1559" w:type="dxa"/>
                  <w:tcBorders>
                    <w:top w:val="nil"/>
                    <w:left w:val="nil"/>
                    <w:bottom w:val="nil"/>
                    <w:right w:val="nil"/>
                  </w:tcBorders>
                </w:tcPr>
                <w:p w14:paraId="1C76929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(0.272)</w:t>
                  </w:r>
                </w:p>
              </w:tc>
            </w:tr>
            <w:tr w:rsidR="00D3100C" w:rsidRPr="00D3100C" w14:paraId="4D5E6363" w14:textId="77777777" w:rsidTr="00DA5EDB">
              <w:tc>
                <w:tcPr>
                  <w:tcW w:w="2977" w:type="dxa"/>
                  <w:tcBorders>
                    <w:top w:val="nil"/>
                    <w:left w:val="nil"/>
                    <w:bottom w:val="nil"/>
                    <w:right w:val="nil"/>
                  </w:tcBorders>
                </w:tcPr>
                <w:p w14:paraId="38A8B06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A83F02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729FE8D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7BB5866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DF2241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273586A4" w14:textId="77777777" w:rsidTr="00DA5EDB">
              <w:tc>
                <w:tcPr>
                  <w:tcW w:w="2977" w:type="dxa"/>
                  <w:tcBorders>
                    <w:top w:val="nil"/>
                    <w:left w:val="nil"/>
                    <w:bottom w:val="nil"/>
                    <w:right w:val="nil"/>
                  </w:tcBorders>
                </w:tcPr>
                <w:p w14:paraId="3917A44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Central Africa Dummy</w:t>
                  </w:r>
                </w:p>
              </w:tc>
              <w:tc>
                <w:tcPr>
                  <w:tcW w:w="1701" w:type="dxa"/>
                  <w:tcBorders>
                    <w:top w:val="nil"/>
                    <w:left w:val="nil"/>
                    <w:bottom w:val="nil"/>
                    <w:right w:val="nil"/>
                  </w:tcBorders>
                </w:tcPr>
                <w:p w14:paraId="5B0542E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0.579</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73E48A5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0.783</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219BC6B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1.014</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7023C47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-0.248</w:t>
                  </w:r>
                </w:p>
              </w:tc>
            </w:tr>
            <w:tr w:rsidR="00D3100C" w:rsidRPr="00D3100C" w14:paraId="6794EBFE" w14:textId="77777777" w:rsidTr="00DA5EDB">
              <w:tc>
                <w:tcPr>
                  <w:tcW w:w="2977" w:type="dxa"/>
                  <w:tcBorders>
                    <w:top w:val="nil"/>
                    <w:left w:val="nil"/>
                    <w:bottom w:val="nil"/>
                    <w:right w:val="nil"/>
                  </w:tcBorders>
                </w:tcPr>
                <w:p w14:paraId="4B7B010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8E3D71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(0.193)</w:t>
                  </w:r>
                </w:p>
              </w:tc>
              <w:tc>
                <w:tcPr>
                  <w:tcW w:w="1628" w:type="dxa"/>
                  <w:tcBorders>
                    <w:top w:val="nil"/>
                    <w:left w:val="nil"/>
                    <w:bottom w:val="nil"/>
                    <w:right w:val="nil"/>
                  </w:tcBorders>
                </w:tcPr>
                <w:p w14:paraId="67BE795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(0.209)</w:t>
                  </w:r>
                </w:p>
              </w:tc>
              <w:tc>
                <w:tcPr>
                  <w:tcW w:w="1491" w:type="dxa"/>
                  <w:tcBorders>
                    <w:top w:val="nil"/>
                    <w:left w:val="nil"/>
                    <w:bottom w:val="nil"/>
                    <w:right w:val="nil"/>
                  </w:tcBorders>
                </w:tcPr>
                <w:p w14:paraId="1143155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(0.234)</w:t>
                  </w:r>
                </w:p>
              </w:tc>
              <w:tc>
                <w:tcPr>
                  <w:tcW w:w="1559" w:type="dxa"/>
                  <w:tcBorders>
                    <w:top w:val="nil"/>
                    <w:left w:val="nil"/>
                    <w:bottom w:val="nil"/>
                    <w:right w:val="nil"/>
                  </w:tcBorders>
                </w:tcPr>
                <w:p w14:paraId="55959C2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(0.379)</w:t>
                  </w:r>
                </w:p>
              </w:tc>
            </w:tr>
            <w:tr w:rsidR="00D3100C" w:rsidRPr="00D3100C" w14:paraId="5B563B23" w14:textId="77777777" w:rsidTr="00DA5EDB">
              <w:tc>
                <w:tcPr>
                  <w:tcW w:w="2977" w:type="dxa"/>
                  <w:tcBorders>
                    <w:top w:val="nil"/>
                    <w:left w:val="nil"/>
                    <w:bottom w:val="nil"/>
                    <w:right w:val="nil"/>
                  </w:tcBorders>
                </w:tcPr>
                <w:p w14:paraId="572E6F5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B71AD4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431051E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6422189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0B15B89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09983B5A" w14:textId="77777777" w:rsidTr="00DA5EDB">
              <w:tc>
                <w:tcPr>
                  <w:tcW w:w="2977" w:type="dxa"/>
                  <w:tcBorders>
                    <w:top w:val="nil"/>
                    <w:left w:val="nil"/>
                    <w:bottom w:val="nil"/>
                    <w:right w:val="nil"/>
                  </w:tcBorders>
                </w:tcPr>
                <w:p w14:paraId="16278AD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North Africa Dummy</w:t>
                  </w:r>
                </w:p>
              </w:tc>
              <w:tc>
                <w:tcPr>
                  <w:tcW w:w="1701" w:type="dxa"/>
                  <w:tcBorders>
                    <w:top w:val="nil"/>
                    <w:left w:val="nil"/>
                    <w:bottom w:val="nil"/>
                    <w:right w:val="nil"/>
                  </w:tcBorders>
                </w:tcPr>
                <w:p w14:paraId="06069E9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-0.165</w:t>
                  </w:r>
                </w:p>
              </w:tc>
              <w:tc>
                <w:tcPr>
                  <w:tcW w:w="1628" w:type="dxa"/>
                  <w:tcBorders>
                    <w:top w:val="nil"/>
                    <w:left w:val="nil"/>
                    <w:bottom w:val="nil"/>
                    <w:right w:val="nil"/>
                  </w:tcBorders>
                </w:tcPr>
                <w:p w14:paraId="46FE048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-0.336</w:t>
                  </w:r>
                </w:p>
              </w:tc>
              <w:tc>
                <w:tcPr>
                  <w:tcW w:w="1491" w:type="dxa"/>
                  <w:tcBorders>
                    <w:top w:val="nil"/>
                    <w:left w:val="nil"/>
                    <w:bottom w:val="nil"/>
                    <w:right w:val="nil"/>
                  </w:tcBorders>
                </w:tcPr>
                <w:p w14:paraId="1A019A4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-0.418</w:t>
                  </w:r>
                </w:p>
              </w:tc>
              <w:tc>
                <w:tcPr>
                  <w:tcW w:w="1559" w:type="dxa"/>
                  <w:tcBorders>
                    <w:top w:val="nil"/>
                    <w:left w:val="nil"/>
                    <w:bottom w:val="nil"/>
                    <w:right w:val="nil"/>
                  </w:tcBorders>
                </w:tcPr>
                <w:p w14:paraId="4A891FD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-0.127</w:t>
                  </w:r>
                </w:p>
              </w:tc>
            </w:tr>
            <w:tr w:rsidR="00D3100C" w:rsidRPr="00D3100C" w14:paraId="74990ED5" w14:textId="77777777" w:rsidTr="00DA5EDB">
              <w:tc>
                <w:tcPr>
                  <w:tcW w:w="2977" w:type="dxa"/>
                  <w:tcBorders>
                    <w:top w:val="nil"/>
                    <w:left w:val="nil"/>
                    <w:bottom w:val="nil"/>
                    <w:right w:val="nil"/>
                  </w:tcBorders>
                </w:tcPr>
                <w:p w14:paraId="3029ABE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9B4D6A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(0.264)</w:t>
                  </w:r>
                </w:p>
              </w:tc>
              <w:tc>
                <w:tcPr>
                  <w:tcW w:w="1628" w:type="dxa"/>
                  <w:tcBorders>
                    <w:top w:val="nil"/>
                    <w:left w:val="nil"/>
                    <w:bottom w:val="nil"/>
                    <w:right w:val="nil"/>
                  </w:tcBorders>
                </w:tcPr>
                <w:p w14:paraId="399C53D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(0.277)</w:t>
                  </w:r>
                </w:p>
              </w:tc>
              <w:tc>
                <w:tcPr>
                  <w:tcW w:w="1491" w:type="dxa"/>
                  <w:tcBorders>
                    <w:top w:val="nil"/>
                    <w:left w:val="nil"/>
                    <w:bottom w:val="nil"/>
                    <w:right w:val="nil"/>
                  </w:tcBorders>
                </w:tcPr>
                <w:p w14:paraId="3D48F9E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(0.289)</w:t>
                  </w:r>
                </w:p>
              </w:tc>
              <w:tc>
                <w:tcPr>
                  <w:tcW w:w="1559" w:type="dxa"/>
                  <w:tcBorders>
                    <w:top w:val="nil"/>
                    <w:left w:val="nil"/>
                    <w:bottom w:val="nil"/>
                    <w:right w:val="nil"/>
                  </w:tcBorders>
                </w:tcPr>
                <w:p w14:paraId="33A8FA5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(0.754)</w:t>
                  </w:r>
                </w:p>
              </w:tc>
            </w:tr>
            <w:tr w:rsidR="00D3100C" w:rsidRPr="00D3100C" w14:paraId="58B7B003" w14:textId="77777777" w:rsidTr="00DA5EDB">
              <w:tc>
                <w:tcPr>
                  <w:tcW w:w="2977" w:type="dxa"/>
                  <w:tcBorders>
                    <w:top w:val="nil"/>
                    <w:left w:val="nil"/>
                    <w:bottom w:val="nil"/>
                    <w:right w:val="nil"/>
                  </w:tcBorders>
                </w:tcPr>
                <w:p w14:paraId="2EDAEDC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FE1A50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2E84789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B135FD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2151C32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33E8C26E" w14:textId="77777777" w:rsidTr="00DA5EDB">
              <w:tc>
                <w:tcPr>
                  <w:tcW w:w="2977" w:type="dxa"/>
                  <w:tcBorders>
                    <w:top w:val="nil"/>
                    <w:left w:val="nil"/>
                    <w:bottom w:val="nil"/>
                    <w:right w:val="nil"/>
                  </w:tcBorders>
                </w:tcPr>
                <w:p w14:paraId="19E859E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Southern Africa Dummy</w:t>
                  </w:r>
                </w:p>
              </w:tc>
              <w:tc>
                <w:tcPr>
                  <w:tcW w:w="1701" w:type="dxa"/>
                  <w:tcBorders>
                    <w:top w:val="nil"/>
                    <w:left w:val="nil"/>
                    <w:bottom w:val="nil"/>
                    <w:right w:val="nil"/>
                  </w:tcBorders>
                </w:tcPr>
                <w:p w14:paraId="01CEB61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-0.0651</w:t>
                  </w:r>
                </w:p>
              </w:tc>
              <w:tc>
                <w:tcPr>
                  <w:tcW w:w="1628" w:type="dxa"/>
                  <w:tcBorders>
                    <w:top w:val="nil"/>
                    <w:left w:val="nil"/>
                    <w:bottom w:val="nil"/>
                    <w:right w:val="nil"/>
                  </w:tcBorders>
                </w:tcPr>
                <w:p w14:paraId="722C2D6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-0.0275</w:t>
                  </w:r>
                </w:p>
              </w:tc>
              <w:tc>
                <w:tcPr>
                  <w:tcW w:w="1491" w:type="dxa"/>
                  <w:tcBorders>
                    <w:top w:val="nil"/>
                    <w:left w:val="nil"/>
                    <w:bottom w:val="nil"/>
                    <w:right w:val="nil"/>
                  </w:tcBorders>
                </w:tcPr>
                <w:p w14:paraId="23D79AB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0.0671</w:t>
                  </w:r>
                </w:p>
              </w:tc>
              <w:tc>
                <w:tcPr>
                  <w:tcW w:w="1559" w:type="dxa"/>
                  <w:tcBorders>
                    <w:top w:val="nil"/>
                    <w:left w:val="nil"/>
                    <w:bottom w:val="nil"/>
                    <w:right w:val="nil"/>
                  </w:tcBorders>
                </w:tcPr>
                <w:p w14:paraId="215779C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0.144</w:t>
                  </w:r>
                </w:p>
              </w:tc>
            </w:tr>
            <w:tr w:rsidR="00D3100C" w:rsidRPr="00D3100C" w14:paraId="0EFD78EE" w14:textId="77777777" w:rsidTr="00DA5EDB">
              <w:tc>
                <w:tcPr>
                  <w:tcW w:w="2977" w:type="dxa"/>
                  <w:tcBorders>
                    <w:top w:val="nil"/>
                    <w:left w:val="nil"/>
                    <w:bottom w:val="nil"/>
                    <w:right w:val="nil"/>
                  </w:tcBorders>
                </w:tcPr>
                <w:p w14:paraId="0377D3B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701366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(0.221)</w:t>
                  </w:r>
                </w:p>
              </w:tc>
              <w:tc>
                <w:tcPr>
                  <w:tcW w:w="1628" w:type="dxa"/>
                  <w:tcBorders>
                    <w:top w:val="nil"/>
                    <w:left w:val="nil"/>
                    <w:bottom w:val="nil"/>
                    <w:right w:val="nil"/>
                  </w:tcBorders>
                </w:tcPr>
                <w:p w14:paraId="7491902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(0.229)</w:t>
                  </w:r>
                </w:p>
              </w:tc>
              <w:tc>
                <w:tcPr>
                  <w:tcW w:w="1491" w:type="dxa"/>
                  <w:tcBorders>
                    <w:top w:val="nil"/>
                    <w:left w:val="nil"/>
                    <w:bottom w:val="nil"/>
                    <w:right w:val="nil"/>
                  </w:tcBorders>
                </w:tcPr>
                <w:p w14:paraId="0F53BD2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(0.242)</w:t>
                  </w:r>
                </w:p>
              </w:tc>
              <w:tc>
                <w:tcPr>
                  <w:tcW w:w="1559" w:type="dxa"/>
                  <w:tcBorders>
                    <w:top w:val="nil"/>
                    <w:left w:val="nil"/>
                    <w:bottom w:val="nil"/>
                    <w:right w:val="nil"/>
                  </w:tcBorders>
                </w:tcPr>
                <w:p w14:paraId="1A8C2F4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(0.648)</w:t>
                  </w:r>
                </w:p>
              </w:tc>
            </w:tr>
            <w:tr w:rsidR="00D3100C" w:rsidRPr="00D3100C" w14:paraId="6EC6C77A" w14:textId="77777777" w:rsidTr="00DA5EDB">
              <w:tc>
                <w:tcPr>
                  <w:tcW w:w="2977" w:type="dxa"/>
                  <w:tcBorders>
                    <w:top w:val="nil"/>
                    <w:left w:val="nil"/>
                    <w:bottom w:val="nil"/>
                    <w:right w:val="nil"/>
                  </w:tcBorders>
                </w:tcPr>
                <w:p w14:paraId="2D14EB4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6939C3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7DD19D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38350C7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62D313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6FE6B5A" w14:textId="77777777" w:rsidTr="00DA5EDB">
              <w:tc>
                <w:tcPr>
                  <w:tcW w:w="2977" w:type="dxa"/>
                  <w:tcBorders>
                    <w:top w:val="nil"/>
                    <w:left w:val="nil"/>
                    <w:bottom w:val="nil"/>
                    <w:right w:val="nil"/>
                  </w:tcBorders>
                </w:tcPr>
                <w:p w14:paraId="5ADF76C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West Africa Dummy</w:t>
                  </w:r>
                </w:p>
              </w:tc>
              <w:tc>
                <w:tcPr>
                  <w:tcW w:w="1701" w:type="dxa"/>
                  <w:tcBorders>
                    <w:top w:val="nil"/>
                    <w:left w:val="nil"/>
                    <w:bottom w:val="nil"/>
                    <w:right w:val="nil"/>
                  </w:tcBorders>
                </w:tcPr>
                <w:p w14:paraId="49DB7F1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-0.711</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04A758F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-0.767</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230BE93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-0.766</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1AFFEB9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-0.778</w:t>
                  </w:r>
                  <w:r w:rsidRPr="00D3100C">
                    <w:rPr>
                      <w:rFonts w:ascii="Garamond" w:eastAsiaTheme="minorEastAsia" w:hAnsi="Garamond" w:cs="Times New Roman"/>
                      <w:sz w:val="19"/>
                      <w:szCs w:val="19"/>
                      <w:vertAlign w:val="superscript"/>
                      <w:lang w:val="en-US" w:eastAsia="en-GB"/>
                    </w:rPr>
                    <w:t>*</w:t>
                  </w:r>
                </w:p>
              </w:tc>
            </w:tr>
            <w:tr w:rsidR="00D3100C" w:rsidRPr="00D3100C" w14:paraId="128DF6D7" w14:textId="77777777" w:rsidTr="00DA5EDB">
              <w:tc>
                <w:tcPr>
                  <w:tcW w:w="2977" w:type="dxa"/>
                  <w:tcBorders>
                    <w:top w:val="nil"/>
                    <w:left w:val="nil"/>
                    <w:bottom w:val="nil"/>
                    <w:right w:val="nil"/>
                  </w:tcBorders>
                </w:tcPr>
                <w:p w14:paraId="496957E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95EFF1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(0.152)</w:t>
                  </w:r>
                </w:p>
              </w:tc>
              <w:tc>
                <w:tcPr>
                  <w:tcW w:w="1628" w:type="dxa"/>
                  <w:tcBorders>
                    <w:top w:val="nil"/>
                    <w:left w:val="nil"/>
                    <w:bottom w:val="nil"/>
                    <w:right w:val="nil"/>
                  </w:tcBorders>
                </w:tcPr>
                <w:p w14:paraId="7C6C964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(0.165)</w:t>
                  </w:r>
                </w:p>
              </w:tc>
              <w:tc>
                <w:tcPr>
                  <w:tcW w:w="1491" w:type="dxa"/>
                  <w:tcBorders>
                    <w:top w:val="nil"/>
                    <w:left w:val="nil"/>
                    <w:bottom w:val="nil"/>
                    <w:right w:val="nil"/>
                  </w:tcBorders>
                </w:tcPr>
                <w:p w14:paraId="6CCD1C5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(0.178)</w:t>
                  </w:r>
                </w:p>
              </w:tc>
              <w:tc>
                <w:tcPr>
                  <w:tcW w:w="1559" w:type="dxa"/>
                  <w:tcBorders>
                    <w:top w:val="nil"/>
                    <w:left w:val="nil"/>
                    <w:bottom w:val="nil"/>
                    <w:right w:val="nil"/>
                  </w:tcBorders>
                </w:tcPr>
                <w:p w14:paraId="13C548F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(0.304)</w:t>
                  </w:r>
                </w:p>
              </w:tc>
            </w:tr>
            <w:tr w:rsidR="00D3100C" w:rsidRPr="00D3100C" w14:paraId="7146750E" w14:textId="77777777" w:rsidTr="00DA5EDB">
              <w:tc>
                <w:tcPr>
                  <w:tcW w:w="2977" w:type="dxa"/>
                  <w:tcBorders>
                    <w:top w:val="nil"/>
                    <w:left w:val="nil"/>
                    <w:bottom w:val="nil"/>
                    <w:right w:val="nil"/>
                  </w:tcBorders>
                </w:tcPr>
                <w:p w14:paraId="6B43634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3449E7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4A7F346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0D0B68E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09C54DC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9058C8D" w14:textId="77777777" w:rsidTr="00DA5EDB">
              <w:tc>
                <w:tcPr>
                  <w:tcW w:w="2977" w:type="dxa"/>
                  <w:tcBorders>
                    <w:top w:val="nil"/>
                    <w:left w:val="nil"/>
                    <w:bottom w:val="nil"/>
                    <w:right w:val="nil"/>
                  </w:tcBorders>
                </w:tcPr>
                <w:p w14:paraId="3705942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Size (</w:t>
                  </w:r>
                  <w:proofErr w:type="spellStart"/>
                  <w:r w:rsidRPr="00D3100C">
                    <w:rPr>
                      <w:rFonts w:ascii="Garamond" w:eastAsiaTheme="minorEastAsia" w:hAnsi="Garamond" w:cs="Times New Roman"/>
                      <w:sz w:val="19"/>
                      <w:szCs w:val="19"/>
                      <w:lang w:val="en-US" w:eastAsia="en-GB"/>
                    </w:rPr>
                    <w:t>lassets</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6C11253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0.171</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68CE47C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0.205</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4CA5C84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0.258</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0F025F0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0.260</w:t>
                  </w:r>
                  <w:r w:rsidRPr="00D3100C">
                    <w:rPr>
                      <w:rFonts w:ascii="Garamond" w:eastAsiaTheme="minorEastAsia" w:hAnsi="Garamond" w:cs="Times New Roman"/>
                      <w:sz w:val="19"/>
                      <w:szCs w:val="19"/>
                      <w:vertAlign w:val="superscript"/>
                      <w:lang w:val="en-US" w:eastAsia="en-GB"/>
                    </w:rPr>
                    <w:t>***</w:t>
                  </w:r>
                </w:p>
              </w:tc>
            </w:tr>
            <w:tr w:rsidR="00D3100C" w:rsidRPr="00D3100C" w14:paraId="2FC7CB0A" w14:textId="77777777" w:rsidTr="00DA5EDB">
              <w:tc>
                <w:tcPr>
                  <w:tcW w:w="2977" w:type="dxa"/>
                  <w:tcBorders>
                    <w:top w:val="nil"/>
                    <w:left w:val="nil"/>
                    <w:bottom w:val="nil"/>
                    <w:right w:val="nil"/>
                  </w:tcBorders>
                </w:tcPr>
                <w:p w14:paraId="14EDEFB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71207F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(0.0320)</w:t>
                  </w:r>
                </w:p>
              </w:tc>
              <w:tc>
                <w:tcPr>
                  <w:tcW w:w="1628" w:type="dxa"/>
                  <w:tcBorders>
                    <w:top w:val="nil"/>
                    <w:left w:val="nil"/>
                    <w:bottom w:val="nil"/>
                    <w:right w:val="nil"/>
                  </w:tcBorders>
                </w:tcPr>
                <w:p w14:paraId="59C74E7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(0.0361)</w:t>
                  </w:r>
                </w:p>
              </w:tc>
              <w:tc>
                <w:tcPr>
                  <w:tcW w:w="1491" w:type="dxa"/>
                  <w:tcBorders>
                    <w:top w:val="nil"/>
                    <w:left w:val="nil"/>
                    <w:bottom w:val="nil"/>
                    <w:right w:val="nil"/>
                  </w:tcBorders>
                </w:tcPr>
                <w:p w14:paraId="4E1A019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(0.0405)</w:t>
                  </w:r>
                </w:p>
              </w:tc>
              <w:tc>
                <w:tcPr>
                  <w:tcW w:w="1559" w:type="dxa"/>
                  <w:tcBorders>
                    <w:top w:val="nil"/>
                    <w:left w:val="nil"/>
                    <w:bottom w:val="nil"/>
                    <w:right w:val="nil"/>
                  </w:tcBorders>
                </w:tcPr>
                <w:p w14:paraId="56BD1B2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(0.0667)</w:t>
                  </w:r>
                </w:p>
              </w:tc>
            </w:tr>
            <w:tr w:rsidR="00D3100C" w:rsidRPr="00D3100C" w14:paraId="113FDA0C" w14:textId="77777777" w:rsidTr="00DA5EDB">
              <w:tc>
                <w:tcPr>
                  <w:tcW w:w="2977" w:type="dxa"/>
                  <w:tcBorders>
                    <w:top w:val="nil"/>
                    <w:left w:val="nil"/>
                    <w:bottom w:val="nil"/>
                    <w:right w:val="nil"/>
                  </w:tcBorders>
                </w:tcPr>
                <w:p w14:paraId="1EC4FBA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5F5FD6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4907D8F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4D1B9FE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37D2136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2EB81079" w14:textId="77777777" w:rsidTr="00DA5EDB">
              <w:tc>
                <w:tcPr>
                  <w:tcW w:w="2977" w:type="dxa"/>
                  <w:tcBorders>
                    <w:top w:val="nil"/>
                    <w:left w:val="nil"/>
                    <w:bottom w:val="nil"/>
                    <w:right w:val="nil"/>
                  </w:tcBorders>
                </w:tcPr>
                <w:p w14:paraId="599CC09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GDP Growth Annual</w:t>
                  </w:r>
                </w:p>
              </w:tc>
              <w:tc>
                <w:tcPr>
                  <w:tcW w:w="1701" w:type="dxa"/>
                  <w:tcBorders>
                    <w:top w:val="nil"/>
                    <w:left w:val="nil"/>
                    <w:bottom w:val="nil"/>
                    <w:right w:val="nil"/>
                  </w:tcBorders>
                </w:tcPr>
                <w:p w14:paraId="6D9576E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-0.00322</w:t>
                  </w:r>
                </w:p>
              </w:tc>
              <w:tc>
                <w:tcPr>
                  <w:tcW w:w="1628" w:type="dxa"/>
                  <w:tcBorders>
                    <w:top w:val="nil"/>
                    <w:left w:val="nil"/>
                    <w:bottom w:val="nil"/>
                    <w:right w:val="nil"/>
                  </w:tcBorders>
                </w:tcPr>
                <w:p w14:paraId="1A00A85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-0.0135</w:t>
                  </w:r>
                </w:p>
              </w:tc>
              <w:tc>
                <w:tcPr>
                  <w:tcW w:w="1491" w:type="dxa"/>
                  <w:tcBorders>
                    <w:top w:val="nil"/>
                    <w:left w:val="nil"/>
                    <w:bottom w:val="nil"/>
                    <w:right w:val="nil"/>
                  </w:tcBorders>
                </w:tcPr>
                <w:p w14:paraId="26479CE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-0.0233</w:t>
                  </w:r>
                </w:p>
              </w:tc>
              <w:tc>
                <w:tcPr>
                  <w:tcW w:w="1559" w:type="dxa"/>
                  <w:tcBorders>
                    <w:top w:val="nil"/>
                    <w:left w:val="nil"/>
                    <w:bottom w:val="nil"/>
                    <w:right w:val="nil"/>
                  </w:tcBorders>
                </w:tcPr>
                <w:p w14:paraId="245A13D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0.0334</w:t>
                  </w:r>
                </w:p>
              </w:tc>
            </w:tr>
            <w:tr w:rsidR="00D3100C" w:rsidRPr="00D3100C" w14:paraId="5B3CA860" w14:textId="77777777" w:rsidTr="00DA5EDB">
              <w:tc>
                <w:tcPr>
                  <w:tcW w:w="2977" w:type="dxa"/>
                  <w:tcBorders>
                    <w:top w:val="nil"/>
                    <w:left w:val="nil"/>
                    <w:bottom w:val="nil"/>
                    <w:right w:val="nil"/>
                  </w:tcBorders>
                </w:tcPr>
                <w:p w14:paraId="665CC4F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FFD8E8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(0.0169)</w:t>
                  </w:r>
                </w:p>
              </w:tc>
              <w:tc>
                <w:tcPr>
                  <w:tcW w:w="1628" w:type="dxa"/>
                  <w:tcBorders>
                    <w:top w:val="nil"/>
                    <w:left w:val="nil"/>
                    <w:bottom w:val="nil"/>
                    <w:right w:val="nil"/>
                  </w:tcBorders>
                </w:tcPr>
                <w:p w14:paraId="0D52880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(0.0181)</w:t>
                  </w:r>
                </w:p>
              </w:tc>
              <w:tc>
                <w:tcPr>
                  <w:tcW w:w="1491" w:type="dxa"/>
                  <w:tcBorders>
                    <w:top w:val="nil"/>
                    <w:left w:val="nil"/>
                    <w:bottom w:val="nil"/>
                    <w:right w:val="nil"/>
                  </w:tcBorders>
                </w:tcPr>
                <w:p w14:paraId="3238142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(0.0195)</w:t>
                  </w:r>
                </w:p>
              </w:tc>
              <w:tc>
                <w:tcPr>
                  <w:tcW w:w="1559" w:type="dxa"/>
                  <w:tcBorders>
                    <w:top w:val="nil"/>
                    <w:left w:val="nil"/>
                    <w:bottom w:val="nil"/>
                    <w:right w:val="nil"/>
                  </w:tcBorders>
                </w:tcPr>
                <w:p w14:paraId="2C6935A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(0.0340)</w:t>
                  </w:r>
                </w:p>
              </w:tc>
            </w:tr>
            <w:tr w:rsidR="00D3100C" w:rsidRPr="00D3100C" w14:paraId="5A5FE3D5" w14:textId="77777777" w:rsidTr="00DA5EDB">
              <w:tc>
                <w:tcPr>
                  <w:tcW w:w="2977" w:type="dxa"/>
                  <w:tcBorders>
                    <w:top w:val="nil"/>
                    <w:left w:val="nil"/>
                    <w:bottom w:val="nil"/>
                    <w:right w:val="nil"/>
                  </w:tcBorders>
                </w:tcPr>
                <w:p w14:paraId="4114611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5DE612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7F41601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0A11480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5404E20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1C8AB6F8" w14:textId="77777777" w:rsidTr="00DA5EDB">
              <w:tc>
                <w:tcPr>
                  <w:tcW w:w="2977" w:type="dxa"/>
                  <w:tcBorders>
                    <w:top w:val="nil"/>
                    <w:left w:val="nil"/>
                    <w:bottom w:val="nil"/>
                    <w:right w:val="nil"/>
                  </w:tcBorders>
                </w:tcPr>
                <w:p w14:paraId="2BB4528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Institutional Quality (</w:t>
                  </w:r>
                  <w:proofErr w:type="spellStart"/>
                  <w:r w:rsidRPr="00D3100C">
                    <w:rPr>
                      <w:rFonts w:ascii="Garamond" w:eastAsiaTheme="minorEastAsia" w:hAnsi="Garamond" w:cs="Times New Roman"/>
                      <w:sz w:val="19"/>
                      <w:szCs w:val="19"/>
                      <w:lang w:val="en-US" w:eastAsia="en-GB"/>
                    </w:rPr>
                    <w:t>dkkm</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3FCF9B7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-0.326</w:t>
                  </w:r>
                </w:p>
              </w:tc>
              <w:tc>
                <w:tcPr>
                  <w:tcW w:w="1628" w:type="dxa"/>
                  <w:tcBorders>
                    <w:top w:val="nil"/>
                    <w:left w:val="nil"/>
                    <w:bottom w:val="nil"/>
                    <w:right w:val="nil"/>
                  </w:tcBorders>
                </w:tcPr>
                <w:p w14:paraId="1A8C704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-0.300</w:t>
                  </w:r>
                </w:p>
              </w:tc>
              <w:tc>
                <w:tcPr>
                  <w:tcW w:w="1491" w:type="dxa"/>
                  <w:tcBorders>
                    <w:top w:val="nil"/>
                    <w:left w:val="nil"/>
                    <w:bottom w:val="nil"/>
                    <w:right w:val="nil"/>
                  </w:tcBorders>
                </w:tcPr>
                <w:p w14:paraId="18BB851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-0.422</w:t>
                  </w:r>
                </w:p>
              </w:tc>
              <w:tc>
                <w:tcPr>
                  <w:tcW w:w="1559" w:type="dxa"/>
                  <w:tcBorders>
                    <w:top w:val="nil"/>
                    <w:left w:val="nil"/>
                    <w:bottom w:val="nil"/>
                    <w:right w:val="nil"/>
                  </w:tcBorders>
                </w:tcPr>
                <w:p w14:paraId="6CEEB46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-0.528</w:t>
                  </w:r>
                </w:p>
              </w:tc>
            </w:tr>
            <w:tr w:rsidR="00D3100C" w:rsidRPr="00D3100C" w14:paraId="3989D070" w14:textId="77777777" w:rsidTr="00DA5EDB">
              <w:tc>
                <w:tcPr>
                  <w:tcW w:w="2977" w:type="dxa"/>
                  <w:tcBorders>
                    <w:top w:val="nil"/>
                    <w:left w:val="nil"/>
                    <w:bottom w:val="nil"/>
                    <w:right w:val="nil"/>
                  </w:tcBorders>
                </w:tcPr>
                <w:p w14:paraId="109A17B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028DB11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(0.274)</w:t>
                  </w:r>
                </w:p>
              </w:tc>
              <w:tc>
                <w:tcPr>
                  <w:tcW w:w="1628" w:type="dxa"/>
                  <w:tcBorders>
                    <w:top w:val="nil"/>
                    <w:left w:val="nil"/>
                    <w:bottom w:val="nil"/>
                    <w:right w:val="nil"/>
                  </w:tcBorders>
                </w:tcPr>
                <w:p w14:paraId="10CF636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(0.295)</w:t>
                  </w:r>
                </w:p>
              </w:tc>
              <w:tc>
                <w:tcPr>
                  <w:tcW w:w="1491" w:type="dxa"/>
                  <w:tcBorders>
                    <w:top w:val="nil"/>
                    <w:left w:val="nil"/>
                    <w:bottom w:val="nil"/>
                    <w:right w:val="nil"/>
                  </w:tcBorders>
                </w:tcPr>
                <w:p w14:paraId="7F2501B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(0.315)</w:t>
                  </w:r>
                </w:p>
              </w:tc>
              <w:tc>
                <w:tcPr>
                  <w:tcW w:w="1559" w:type="dxa"/>
                  <w:tcBorders>
                    <w:top w:val="nil"/>
                    <w:left w:val="nil"/>
                    <w:bottom w:val="nil"/>
                    <w:right w:val="nil"/>
                  </w:tcBorders>
                </w:tcPr>
                <w:p w14:paraId="49BED8A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(0.557)</w:t>
                  </w:r>
                </w:p>
              </w:tc>
            </w:tr>
            <w:tr w:rsidR="00D3100C" w:rsidRPr="00D3100C" w14:paraId="1C28EE8B" w14:textId="77777777" w:rsidTr="00DA5EDB">
              <w:tc>
                <w:tcPr>
                  <w:tcW w:w="2977" w:type="dxa"/>
                  <w:tcBorders>
                    <w:top w:val="nil"/>
                    <w:left w:val="nil"/>
                    <w:bottom w:val="nil"/>
                    <w:right w:val="nil"/>
                  </w:tcBorders>
                </w:tcPr>
                <w:p w14:paraId="770E2FC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64ADB7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0D395F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402DF8A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3EAA090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1B334758" w14:textId="77777777" w:rsidTr="00DA5EDB">
              <w:tc>
                <w:tcPr>
                  <w:tcW w:w="2977" w:type="dxa"/>
                  <w:tcBorders>
                    <w:top w:val="nil"/>
                    <w:left w:val="nil"/>
                    <w:bottom w:val="nil"/>
                    <w:right w:val="nil"/>
                  </w:tcBorders>
                </w:tcPr>
                <w:p w14:paraId="6954094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Education (</w:t>
                  </w:r>
                  <w:proofErr w:type="spellStart"/>
                  <w:r w:rsidRPr="00D3100C">
                    <w:rPr>
                      <w:rFonts w:ascii="Garamond" w:eastAsiaTheme="minorEastAsia" w:hAnsi="Garamond" w:cs="Times New Roman"/>
                      <w:sz w:val="19"/>
                      <w:szCs w:val="19"/>
                      <w:lang w:val="en-US" w:eastAsia="en-GB"/>
                    </w:rPr>
                    <w:t>deduc</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57F5179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2.445</w:t>
                  </w:r>
                </w:p>
              </w:tc>
              <w:tc>
                <w:tcPr>
                  <w:tcW w:w="1628" w:type="dxa"/>
                  <w:tcBorders>
                    <w:top w:val="nil"/>
                    <w:left w:val="nil"/>
                    <w:bottom w:val="nil"/>
                    <w:right w:val="nil"/>
                  </w:tcBorders>
                </w:tcPr>
                <w:p w14:paraId="70973FD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1.984</w:t>
                  </w:r>
                </w:p>
              </w:tc>
              <w:tc>
                <w:tcPr>
                  <w:tcW w:w="1491" w:type="dxa"/>
                  <w:tcBorders>
                    <w:top w:val="nil"/>
                    <w:left w:val="nil"/>
                    <w:bottom w:val="nil"/>
                    <w:right w:val="nil"/>
                  </w:tcBorders>
                </w:tcPr>
                <w:p w14:paraId="757A081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1.045</w:t>
                  </w:r>
                </w:p>
              </w:tc>
              <w:tc>
                <w:tcPr>
                  <w:tcW w:w="1559" w:type="dxa"/>
                  <w:tcBorders>
                    <w:top w:val="nil"/>
                    <w:left w:val="nil"/>
                    <w:bottom w:val="nil"/>
                    <w:right w:val="nil"/>
                  </w:tcBorders>
                </w:tcPr>
                <w:p w14:paraId="6594DEC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6.626</w:t>
                  </w:r>
                  <w:r w:rsidRPr="00D3100C">
                    <w:rPr>
                      <w:rFonts w:ascii="Garamond" w:eastAsiaTheme="minorEastAsia" w:hAnsi="Garamond" w:cs="Times New Roman"/>
                      <w:sz w:val="19"/>
                      <w:szCs w:val="19"/>
                      <w:vertAlign w:val="superscript"/>
                      <w:lang w:val="en-US" w:eastAsia="en-GB"/>
                    </w:rPr>
                    <w:t>*</w:t>
                  </w:r>
                </w:p>
              </w:tc>
            </w:tr>
            <w:tr w:rsidR="00D3100C" w:rsidRPr="00D3100C" w14:paraId="0E8F9754" w14:textId="77777777" w:rsidTr="00DA5EDB">
              <w:tc>
                <w:tcPr>
                  <w:tcW w:w="2977" w:type="dxa"/>
                  <w:tcBorders>
                    <w:top w:val="nil"/>
                    <w:left w:val="nil"/>
                    <w:bottom w:val="nil"/>
                    <w:right w:val="nil"/>
                  </w:tcBorders>
                </w:tcPr>
                <w:p w14:paraId="1944C6A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E85934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(1.609)</w:t>
                  </w:r>
                </w:p>
              </w:tc>
              <w:tc>
                <w:tcPr>
                  <w:tcW w:w="1628" w:type="dxa"/>
                  <w:tcBorders>
                    <w:top w:val="nil"/>
                    <w:left w:val="nil"/>
                    <w:bottom w:val="nil"/>
                    <w:right w:val="nil"/>
                  </w:tcBorders>
                </w:tcPr>
                <w:p w14:paraId="6571491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(1.736)</w:t>
                  </w:r>
                </w:p>
              </w:tc>
              <w:tc>
                <w:tcPr>
                  <w:tcW w:w="1491" w:type="dxa"/>
                  <w:tcBorders>
                    <w:top w:val="nil"/>
                    <w:left w:val="nil"/>
                    <w:bottom w:val="nil"/>
                    <w:right w:val="nil"/>
                  </w:tcBorders>
                </w:tcPr>
                <w:p w14:paraId="460CE55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(1.924)</w:t>
                  </w:r>
                </w:p>
              </w:tc>
              <w:tc>
                <w:tcPr>
                  <w:tcW w:w="1559" w:type="dxa"/>
                  <w:tcBorders>
                    <w:top w:val="nil"/>
                    <w:left w:val="nil"/>
                    <w:bottom w:val="nil"/>
                    <w:right w:val="nil"/>
                  </w:tcBorders>
                </w:tcPr>
                <w:p w14:paraId="77C653F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(3.069)</w:t>
                  </w:r>
                </w:p>
              </w:tc>
            </w:tr>
            <w:tr w:rsidR="00D3100C" w:rsidRPr="00D3100C" w14:paraId="1FABFC37" w14:textId="77777777" w:rsidTr="00DA5EDB">
              <w:tc>
                <w:tcPr>
                  <w:tcW w:w="2977" w:type="dxa"/>
                  <w:tcBorders>
                    <w:top w:val="nil"/>
                    <w:left w:val="nil"/>
                    <w:bottom w:val="nil"/>
                    <w:right w:val="nil"/>
                  </w:tcBorders>
                </w:tcPr>
                <w:p w14:paraId="35AD2358"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E31B8C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648B04B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4440801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97F31F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3A81A915" w14:textId="77777777" w:rsidTr="00DA5EDB">
              <w:tc>
                <w:tcPr>
                  <w:tcW w:w="2977" w:type="dxa"/>
                  <w:tcBorders>
                    <w:top w:val="nil"/>
                    <w:left w:val="nil"/>
                    <w:bottom w:val="nil"/>
                    <w:right w:val="nil"/>
                  </w:tcBorders>
                </w:tcPr>
                <w:p w14:paraId="23F781A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Financial development (</w:t>
                  </w:r>
                  <w:proofErr w:type="spellStart"/>
                  <w:r w:rsidRPr="00D3100C">
                    <w:rPr>
                      <w:rFonts w:ascii="Garamond" w:eastAsiaTheme="minorEastAsia" w:hAnsi="Garamond" w:cs="Times New Roman"/>
                      <w:sz w:val="19"/>
                      <w:szCs w:val="19"/>
                      <w:lang w:val="en-US" w:eastAsia="en-GB"/>
                    </w:rPr>
                    <w:t>fd_no_mfi</w:t>
                  </w:r>
                  <w:proofErr w:type="spellEnd"/>
                  <w:r w:rsidRPr="00D3100C">
                    <w:rPr>
                      <w:rFonts w:ascii="Garamond" w:eastAsiaTheme="minorEastAsia" w:hAnsi="Garamond" w:cs="Times New Roman"/>
                      <w:sz w:val="19"/>
                      <w:szCs w:val="19"/>
                      <w:lang w:val="en-US" w:eastAsia="en-GB"/>
                    </w:rPr>
                    <w:t>)</w:t>
                  </w:r>
                </w:p>
              </w:tc>
              <w:tc>
                <w:tcPr>
                  <w:tcW w:w="1701" w:type="dxa"/>
                  <w:tcBorders>
                    <w:top w:val="nil"/>
                    <w:left w:val="nil"/>
                    <w:bottom w:val="nil"/>
                    <w:right w:val="nil"/>
                  </w:tcBorders>
                </w:tcPr>
                <w:p w14:paraId="6935BBE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0.116</w:t>
                  </w:r>
                </w:p>
              </w:tc>
              <w:tc>
                <w:tcPr>
                  <w:tcW w:w="1628" w:type="dxa"/>
                  <w:tcBorders>
                    <w:top w:val="nil"/>
                    <w:left w:val="nil"/>
                    <w:bottom w:val="nil"/>
                    <w:right w:val="nil"/>
                  </w:tcBorders>
                </w:tcPr>
                <w:p w14:paraId="4D77989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0.159</w:t>
                  </w:r>
                </w:p>
              </w:tc>
              <w:tc>
                <w:tcPr>
                  <w:tcW w:w="1491" w:type="dxa"/>
                  <w:tcBorders>
                    <w:top w:val="nil"/>
                    <w:left w:val="nil"/>
                    <w:bottom w:val="nil"/>
                    <w:right w:val="nil"/>
                  </w:tcBorders>
                </w:tcPr>
                <w:p w14:paraId="0026A23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0.258</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652AEAE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-0.444</w:t>
                  </w:r>
                  <w:r w:rsidRPr="00D3100C">
                    <w:rPr>
                      <w:rFonts w:ascii="Garamond" w:eastAsiaTheme="minorEastAsia" w:hAnsi="Garamond" w:cs="Times New Roman"/>
                      <w:sz w:val="19"/>
                      <w:szCs w:val="19"/>
                      <w:vertAlign w:val="superscript"/>
                      <w:lang w:val="en-US" w:eastAsia="en-GB"/>
                    </w:rPr>
                    <w:t>*</w:t>
                  </w:r>
                </w:p>
              </w:tc>
            </w:tr>
            <w:tr w:rsidR="00D3100C" w:rsidRPr="00D3100C" w14:paraId="0F3C4C11" w14:textId="77777777" w:rsidTr="00DA5EDB">
              <w:tc>
                <w:tcPr>
                  <w:tcW w:w="2977" w:type="dxa"/>
                  <w:tcBorders>
                    <w:top w:val="nil"/>
                    <w:left w:val="nil"/>
                    <w:bottom w:val="nil"/>
                    <w:right w:val="nil"/>
                  </w:tcBorders>
                </w:tcPr>
                <w:p w14:paraId="1B406FB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20A4DD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(0.0869)</w:t>
                  </w:r>
                </w:p>
              </w:tc>
              <w:tc>
                <w:tcPr>
                  <w:tcW w:w="1628" w:type="dxa"/>
                  <w:tcBorders>
                    <w:top w:val="nil"/>
                    <w:left w:val="nil"/>
                    <w:bottom w:val="nil"/>
                    <w:right w:val="nil"/>
                  </w:tcBorders>
                </w:tcPr>
                <w:p w14:paraId="305A12B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(0.0929)</w:t>
                  </w:r>
                </w:p>
              </w:tc>
              <w:tc>
                <w:tcPr>
                  <w:tcW w:w="1491" w:type="dxa"/>
                  <w:tcBorders>
                    <w:top w:val="nil"/>
                    <w:left w:val="nil"/>
                    <w:bottom w:val="nil"/>
                    <w:right w:val="nil"/>
                  </w:tcBorders>
                </w:tcPr>
                <w:p w14:paraId="0A8BF05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(0.103)</w:t>
                  </w:r>
                </w:p>
              </w:tc>
              <w:tc>
                <w:tcPr>
                  <w:tcW w:w="1559" w:type="dxa"/>
                  <w:tcBorders>
                    <w:top w:val="nil"/>
                    <w:left w:val="nil"/>
                    <w:bottom w:val="nil"/>
                    <w:right w:val="nil"/>
                  </w:tcBorders>
                </w:tcPr>
                <w:p w14:paraId="3590CE0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(0.206)</w:t>
                  </w:r>
                </w:p>
              </w:tc>
            </w:tr>
            <w:tr w:rsidR="00D3100C" w:rsidRPr="00D3100C" w14:paraId="4639E649" w14:textId="77777777" w:rsidTr="00DA5EDB">
              <w:tc>
                <w:tcPr>
                  <w:tcW w:w="2977" w:type="dxa"/>
                  <w:tcBorders>
                    <w:top w:val="nil"/>
                    <w:left w:val="nil"/>
                    <w:bottom w:val="nil"/>
                    <w:right w:val="nil"/>
                  </w:tcBorders>
                </w:tcPr>
                <w:p w14:paraId="173EEF2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468C5B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2275D99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1E28729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10C08EF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1B8F87DF" w14:textId="77777777" w:rsidTr="00DA5EDB">
              <w:tc>
                <w:tcPr>
                  <w:tcW w:w="2977" w:type="dxa"/>
                </w:tcPr>
                <w:p w14:paraId="364453B7"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r w:rsidRPr="00D3100C">
                    <w:rPr>
                      <w:rFonts w:ascii="Garamond" w:eastAsiaTheme="minorEastAsia" w:hAnsi="Garamond" w:cs="Times New Roman"/>
                      <w:sz w:val="19"/>
                      <w:szCs w:val="19"/>
                      <w:lang w:val="en-US" w:eastAsia="en-GB"/>
                    </w:rPr>
                    <w:t>Civil Law Dummy</w:t>
                  </w:r>
                </w:p>
              </w:tc>
              <w:tc>
                <w:tcPr>
                  <w:tcW w:w="1701" w:type="dxa"/>
                  <w:tcBorders>
                    <w:top w:val="nil"/>
                    <w:left w:val="nil"/>
                    <w:bottom w:val="nil"/>
                    <w:right w:val="nil"/>
                  </w:tcBorders>
                </w:tcPr>
                <w:p w14:paraId="764C5B1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0.551</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6A5033E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0.625</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21E368E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0.870</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2C3C2CC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0.124</w:t>
                  </w:r>
                </w:p>
              </w:tc>
            </w:tr>
            <w:tr w:rsidR="00D3100C" w:rsidRPr="00D3100C" w14:paraId="5A6270B8" w14:textId="77777777" w:rsidTr="00DA5EDB">
              <w:tc>
                <w:tcPr>
                  <w:tcW w:w="2977" w:type="dxa"/>
                </w:tcPr>
                <w:p w14:paraId="6C5C2FDB"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p>
              </w:tc>
              <w:tc>
                <w:tcPr>
                  <w:tcW w:w="1701" w:type="dxa"/>
                  <w:tcBorders>
                    <w:top w:val="nil"/>
                    <w:left w:val="nil"/>
                    <w:bottom w:val="nil"/>
                    <w:right w:val="nil"/>
                  </w:tcBorders>
                </w:tcPr>
                <w:p w14:paraId="27A4C71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(0.162)</w:t>
                  </w:r>
                </w:p>
              </w:tc>
              <w:tc>
                <w:tcPr>
                  <w:tcW w:w="1628" w:type="dxa"/>
                  <w:tcBorders>
                    <w:top w:val="nil"/>
                    <w:left w:val="nil"/>
                    <w:bottom w:val="nil"/>
                    <w:right w:val="nil"/>
                  </w:tcBorders>
                </w:tcPr>
                <w:p w14:paraId="777691C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(0.176)</w:t>
                  </w:r>
                </w:p>
              </w:tc>
              <w:tc>
                <w:tcPr>
                  <w:tcW w:w="1491" w:type="dxa"/>
                  <w:tcBorders>
                    <w:top w:val="nil"/>
                    <w:left w:val="nil"/>
                    <w:bottom w:val="nil"/>
                    <w:right w:val="nil"/>
                  </w:tcBorders>
                </w:tcPr>
                <w:p w14:paraId="1AC4342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(0.191)</w:t>
                  </w:r>
                </w:p>
              </w:tc>
              <w:tc>
                <w:tcPr>
                  <w:tcW w:w="1559" w:type="dxa"/>
                  <w:tcBorders>
                    <w:top w:val="nil"/>
                    <w:left w:val="nil"/>
                    <w:bottom w:val="nil"/>
                    <w:right w:val="nil"/>
                  </w:tcBorders>
                </w:tcPr>
                <w:p w14:paraId="7411652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(0.309)</w:t>
                  </w:r>
                </w:p>
              </w:tc>
            </w:tr>
            <w:tr w:rsidR="00D3100C" w:rsidRPr="00D3100C" w14:paraId="048C3586" w14:textId="77777777" w:rsidTr="00DA5EDB">
              <w:tc>
                <w:tcPr>
                  <w:tcW w:w="2977" w:type="dxa"/>
                </w:tcPr>
                <w:p w14:paraId="0D8B1DE3"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p>
              </w:tc>
              <w:tc>
                <w:tcPr>
                  <w:tcW w:w="1701" w:type="dxa"/>
                  <w:tcBorders>
                    <w:top w:val="nil"/>
                    <w:left w:val="nil"/>
                    <w:bottom w:val="nil"/>
                    <w:right w:val="nil"/>
                  </w:tcBorders>
                </w:tcPr>
                <w:p w14:paraId="2D06352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6232E38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554F864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66DE987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7DB99B9C" w14:textId="77777777" w:rsidTr="00DA5EDB">
              <w:tc>
                <w:tcPr>
                  <w:tcW w:w="2977" w:type="dxa"/>
                </w:tcPr>
                <w:p w14:paraId="11EE07CF" w14:textId="77777777" w:rsidR="00D3100C" w:rsidRPr="00D3100C" w:rsidRDefault="00D3100C" w:rsidP="00D3100C">
                  <w:pPr>
                    <w:widowControl w:val="0"/>
                    <w:autoSpaceDE w:val="0"/>
                    <w:autoSpaceDN w:val="0"/>
                    <w:adjustRightInd w:val="0"/>
                    <w:spacing w:after="0" w:line="240" w:lineRule="auto"/>
                    <w:rPr>
                      <w:rFonts w:eastAsiaTheme="minorEastAsia" w:cs="Times New Roman"/>
                      <w:sz w:val="20"/>
                      <w:szCs w:val="20"/>
                      <w:lang w:eastAsia="en-GB"/>
                    </w:rPr>
                  </w:pPr>
                  <w:r w:rsidRPr="00D3100C">
                    <w:rPr>
                      <w:rFonts w:ascii="Garamond" w:eastAsiaTheme="minorEastAsia" w:hAnsi="Garamond" w:cs="Times New Roman"/>
                      <w:sz w:val="19"/>
                      <w:szCs w:val="19"/>
                      <w:lang w:val="en-US" w:eastAsia="en-GB"/>
                    </w:rPr>
                    <w:t>Others- Legal Tradition Dummy</w:t>
                  </w:r>
                </w:p>
              </w:tc>
              <w:tc>
                <w:tcPr>
                  <w:tcW w:w="1701" w:type="dxa"/>
                  <w:tcBorders>
                    <w:top w:val="nil"/>
                    <w:left w:val="nil"/>
                    <w:bottom w:val="nil"/>
                    <w:right w:val="nil"/>
                  </w:tcBorders>
                </w:tcPr>
                <w:p w14:paraId="73AE578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0.154</w:t>
                  </w:r>
                </w:p>
              </w:tc>
              <w:tc>
                <w:tcPr>
                  <w:tcW w:w="1628" w:type="dxa"/>
                  <w:tcBorders>
                    <w:top w:val="nil"/>
                    <w:left w:val="nil"/>
                    <w:bottom w:val="nil"/>
                    <w:right w:val="nil"/>
                  </w:tcBorders>
                </w:tcPr>
                <w:p w14:paraId="0260D34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0.187</w:t>
                  </w:r>
                </w:p>
              </w:tc>
              <w:tc>
                <w:tcPr>
                  <w:tcW w:w="1491" w:type="dxa"/>
                  <w:tcBorders>
                    <w:top w:val="nil"/>
                    <w:left w:val="nil"/>
                    <w:bottom w:val="nil"/>
                    <w:right w:val="nil"/>
                  </w:tcBorders>
                </w:tcPr>
                <w:p w14:paraId="579505C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0.272</w:t>
                  </w:r>
                </w:p>
              </w:tc>
              <w:tc>
                <w:tcPr>
                  <w:tcW w:w="1559" w:type="dxa"/>
                  <w:tcBorders>
                    <w:top w:val="nil"/>
                    <w:left w:val="nil"/>
                    <w:bottom w:val="nil"/>
                    <w:right w:val="nil"/>
                  </w:tcBorders>
                </w:tcPr>
                <w:p w14:paraId="0B0C9B9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0.264</w:t>
                  </w:r>
                </w:p>
              </w:tc>
            </w:tr>
            <w:tr w:rsidR="00D3100C" w:rsidRPr="00D3100C" w14:paraId="60199301" w14:textId="77777777" w:rsidTr="00DA5EDB">
              <w:tc>
                <w:tcPr>
                  <w:tcW w:w="2977" w:type="dxa"/>
                  <w:tcBorders>
                    <w:top w:val="nil"/>
                    <w:left w:val="nil"/>
                    <w:bottom w:val="nil"/>
                    <w:right w:val="nil"/>
                  </w:tcBorders>
                </w:tcPr>
                <w:p w14:paraId="5493B2DF"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141F0F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(0.161)</w:t>
                  </w:r>
                </w:p>
              </w:tc>
              <w:tc>
                <w:tcPr>
                  <w:tcW w:w="1628" w:type="dxa"/>
                  <w:tcBorders>
                    <w:top w:val="nil"/>
                    <w:left w:val="nil"/>
                    <w:bottom w:val="nil"/>
                    <w:right w:val="nil"/>
                  </w:tcBorders>
                </w:tcPr>
                <w:p w14:paraId="19C56F4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(0.172)</w:t>
                  </w:r>
                </w:p>
              </w:tc>
              <w:tc>
                <w:tcPr>
                  <w:tcW w:w="1491" w:type="dxa"/>
                  <w:tcBorders>
                    <w:top w:val="nil"/>
                    <w:left w:val="nil"/>
                    <w:bottom w:val="nil"/>
                    <w:right w:val="nil"/>
                  </w:tcBorders>
                </w:tcPr>
                <w:p w14:paraId="46499CF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(0.185)</w:t>
                  </w:r>
                </w:p>
              </w:tc>
              <w:tc>
                <w:tcPr>
                  <w:tcW w:w="1559" w:type="dxa"/>
                  <w:tcBorders>
                    <w:top w:val="nil"/>
                    <w:left w:val="nil"/>
                    <w:bottom w:val="nil"/>
                    <w:right w:val="nil"/>
                  </w:tcBorders>
                </w:tcPr>
                <w:p w14:paraId="1117FB8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(0.348)</w:t>
                  </w:r>
                </w:p>
              </w:tc>
            </w:tr>
            <w:tr w:rsidR="00D3100C" w:rsidRPr="00D3100C" w14:paraId="2774EC6D" w14:textId="77777777" w:rsidTr="00DA5EDB">
              <w:tc>
                <w:tcPr>
                  <w:tcW w:w="2977" w:type="dxa"/>
                  <w:tcBorders>
                    <w:top w:val="nil"/>
                    <w:left w:val="nil"/>
                    <w:bottom w:val="nil"/>
                    <w:right w:val="nil"/>
                  </w:tcBorders>
                </w:tcPr>
                <w:p w14:paraId="50297E3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2DB7FD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9C4F52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33FD0DD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0E09C27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69899E44" w14:textId="77777777" w:rsidTr="00DA5EDB">
              <w:tc>
                <w:tcPr>
                  <w:tcW w:w="2977" w:type="dxa"/>
                  <w:tcBorders>
                    <w:top w:val="nil"/>
                    <w:left w:val="nil"/>
                    <w:bottom w:val="nil"/>
                    <w:right w:val="nil"/>
                  </w:tcBorders>
                </w:tcPr>
                <w:p w14:paraId="4B9ECBBE"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Credit Union/ Cooperative</w:t>
                  </w:r>
                </w:p>
              </w:tc>
              <w:tc>
                <w:tcPr>
                  <w:tcW w:w="1701" w:type="dxa"/>
                  <w:tcBorders>
                    <w:top w:val="nil"/>
                    <w:left w:val="nil"/>
                    <w:bottom w:val="nil"/>
                    <w:right w:val="nil"/>
                  </w:tcBorders>
                </w:tcPr>
                <w:p w14:paraId="25FB101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0.637</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2BA42010"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0.624</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526ECF0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0.302</w:t>
                  </w:r>
                </w:p>
              </w:tc>
              <w:tc>
                <w:tcPr>
                  <w:tcW w:w="1559" w:type="dxa"/>
                  <w:tcBorders>
                    <w:top w:val="nil"/>
                    <w:left w:val="nil"/>
                    <w:bottom w:val="nil"/>
                    <w:right w:val="nil"/>
                  </w:tcBorders>
                </w:tcPr>
                <w:p w14:paraId="0008B80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1.747</w:t>
                  </w:r>
                  <w:r w:rsidRPr="00D3100C">
                    <w:rPr>
                      <w:rFonts w:ascii="Garamond" w:eastAsiaTheme="minorEastAsia" w:hAnsi="Garamond" w:cs="Times New Roman"/>
                      <w:sz w:val="19"/>
                      <w:szCs w:val="19"/>
                      <w:vertAlign w:val="superscript"/>
                      <w:lang w:val="en-US" w:eastAsia="en-GB"/>
                    </w:rPr>
                    <w:t>***</w:t>
                  </w:r>
                </w:p>
              </w:tc>
            </w:tr>
            <w:tr w:rsidR="00D3100C" w:rsidRPr="00D3100C" w14:paraId="62532A7D" w14:textId="77777777" w:rsidTr="00DA5EDB">
              <w:tc>
                <w:tcPr>
                  <w:tcW w:w="2977" w:type="dxa"/>
                  <w:tcBorders>
                    <w:top w:val="nil"/>
                    <w:left w:val="nil"/>
                    <w:bottom w:val="nil"/>
                    <w:right w:val="nil"/>
                  </w:tcBorders>
                </w:tcPr>
                <w:p w14:paraId="5F8984D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9BA60C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(0.214)</w:t>
                  </w:r>
                </w:p>
              </w:tc>
              <w:tc>
                <w:tcPr>
                  <w:tcW w:w="1628" w:type="dxa"/>
                  <w:tcBorders>
                    <w:top w:val="nil"/>
                    <w:left w:val="nil"/>
                    <w:bottom w:val="nil"/>
                    <w:right w:val="nil"/>
                  </w:tcBorders>
                </w:tcPr>
                <w:p w14:paraId="3E1EC9D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(0.233)</w:t>
                  </w:r>
                </w:p>
              </w:tc>
              <w:tc>
                <w:tcPr>
                  <w:tcW w:w="1491" w:type="dxa"/>
                  <w:tcBorders>
                    <w:top w:val="nil"/>
                    <w:left w:val="nil"/>
                    <w:bottom w:val="nil"/>
                    <w:right w:val="nil"/>
                  </w:tcBorders>
                </w:tcPr>
                <w:p w14:paraId="3E32355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(0.247)</w:t>
                  </w:r>
                </w:p>
              </w:tc>
              <w:tc>
                <w:tcPr>
                  <w:tcW w:w="1559" w:type="dxa"/>
                  <w:tcBorders>
                    <w:top w:val="nil"/>
                    <w:left w:val="nil"/>
                    <w:bottom w:val="nil"/>
                    <w:right w:val="nil"/>
                  </w:tcBorders>
                </w:tcPr>
                <w:p w14:paraId="27361F1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(0.455)</w:t>
                  </w:r>
                </w:p>
              </w:tc>
            </w:tr>
            <w:tr w:rsidR="00D3100C" w:rsidRPr="00D3100C" w14:paraId="3A5DD48A" w14:textId="77777777" w:rsidTr="00DA5EDB">
              <w:tc>
                <w:tcPr>
                  <w:tcW w:w="2977" w:type="dxa"/>
                  <w:tcBorders>
                    <w:top w:val="nil"/>
                    <w:left w:val="nil"/>
                    <w:bottom w:val="nil"/>
                    <w:right w:val="nil"/>
                  </w:tcBorders>
                </w:tcPr>
                <w:p w14:paraId="2B91F0A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18C9F81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173F071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67FEA49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2EFCFC0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24FC1E28" w14:textId="77777777" w:rsidTr="00DA5EDB">
              <w:tc>
                <w:tcPr>
                  <w:tcW w:w="2977" w:type="dxa"/>
                  <w:tcBorders>
                    <w:top w:val="nil"/>
                    <w:left w:val="nil"/>
                    <w:bottom w:val="nil"/>
                    <w:right w:val="nil"/>
                  </w:tcBorders>
                </w:tcPr>
                <w:p w14:paraId="3CAF81DB"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NBFIs</w:t>
                  </w:r>
                </w:p>
              </w:tc>
              <w:tc>
                <w:tcPr>
                  <w:tcW w:w="1701" w:type="dxa"/>
                  <w:tcBorders>
                    <w:top w:val="nil"/>
                    <w:left w:val="nil"/>
                    <w:bottom w:val="nil"/>
                    <w:right w:val="nil"/>
                  </w:tcBorders>
                </w:tcPr>
                <w:p w14:paraId="3415929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0.0710</w:t>
                  </w:r>
                </w:p>
              </w:tc>
              <w:tc>
                <w:tcPr>
                  <w:tcW w:w="1628" w:type="dxa"/>
                  <w:tcBorders>
                    <w:top w:val="nil"/>
                    <w:left w:val="nil"/>
                    <w:bottom w:val="nil"/>
                    <w:right w:val="nil"/>
                  </w:tcBorders>
                </w:tcPr>
                <w:p w14:paraId="3AA5712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0.145</w:t>
                  </w:r>
                </w:p>
              </w:tc>
              <w:tc>
                <w:tcPr>
                  <w:tcW w:w="1491" w:type="dxa"/>
                  <w:tcBorders>
                    <w:top w:val="nil"/>
                    <w:left w:val="nil"/>
                    <w:bottom w:val="nil"/>
                    <w:right w:val="nil"/>
                  </w:tcBorders>
                </w:tcPr>
                <w:p w14:paraId="77F2341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0.159</w:t>
                  </w:r>
                </w:p>
              </w:tc>
              <w:tc>
                <w:tcPr>
                  <w:tcW w:w="1559" w:type="dxa"/>
                  <w:tcBorders>
                    <w:top w:val="nil"/>
                    <w:left w:val="nil"/>
                    <w:bottom w:val="nil"/>
                    <w:right w:val="nil"/>
                  </w:tcBorders>
                </w:tcPr>
                <w:p w14:paraId="21C5312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0.619</w:t>
                  </w:r>
                </w:p>
              </w:tc>
            </w:tr>
            <w:tr w:rsidR="00D3100C" w:rsidRPr="00D3100C" w14:paraId="6714A7B5" w14:textId="77777777" w:rsidTr="00DA5EDB">
              <w:tc>
                <w:tcPr>
                  <w:tcW w:w="2977" w:type="dxa"/>
                  <w:tcBorders>
                    <w:top w:val="nil"/>
                    <w:left w:val="nil"/>
                    <w:bottom w:val="nil"/>
                    <w:right w:val="nil"/>
                  </w:tcBorders>
                </w:tcPr>
                <w:p w14:paraId="771DAEB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8C44F3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(0.179)</w:t>
                  </w:r>
                </w:p>
              </w:tc>
              <w:tc>
                <w:tcPr>
                  <w:tcW w:w="1628" w:type="dxa"/>
                  <w:tcBorders>
                    <w:top w:val="nil"/>
                    <w:left w:val="nil"/>
                    <w:bottom w:val="nil"/>
                    <w:right w:val="nil"/>
                  </w:tcBorders>
                </w:tcPr>
                <w:p w14:paraId="2E1FB56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(0.193)</w:t>
                  </w:r>
                </w:p>
              </w:tc>
              <w:tc>
                <w:tcPr>
                  <w:tcW w:w="1491" w:type="dxa"/>
                  <w:tcBorders>
                    <w:top w:val="nil"/>
                    <w:left w:val="nil"/>
                    <w:bottom w:val="nil"/>
                    <w:right w:val="nil"/>
                  </w:tcBorders>
                </w:tcPr>
                <w:p w14:paraId="117E90F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(0.203)</w:t>
                  </w:r>
                </w:p>
              </w:tc>
              <w:tc>
                <w:tcPr>
                  <w:tcW w:w="1559" w:type="dxa"/>
                  <w:tcBorders>
                    <w:top w:val="nil"/>
                    <w:left w:val="nil"/>
                    <w:bottom w:val="nil"/>
                    <w:right w:val="nil"/>
                  </w:tcBorders>
                </w:tcPr>
                <w:p w14:paraId="3F8B8907"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(0.399)</w:t>
                  </w:r>
                </w:p>
              </w:tc>
            </w:tr>
            <w:tr w:rsidR="00D3100C" w:rsidRPr="00D3100C" w14:paraId="1B089D40" w14:textId="77777777" w:rsidTr="00DA5EDB">
              <w:tc>
                <w:tcPr>
                  <w:tcW w:w="2977" w:type="dxa"/>
                  <w:tcBorders>
                    <w:top w:val="nil"/>
                    <w:left w:val="nil"/>
                    <w:bottom w:val="nil"/>
                    <w:right w:val="nil"/>
                  </w:tcBorders>
                </w:tcPr>
                <w:p w14:paraId="1E72C69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343A322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7A3CA94"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19F6EA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7C63C85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5EE08540" w14:textId="77777777" w:rsidTr="00DA5EDB">
              <w:tc>
                <w:tcPr>
                  <w:tcW w:w="2977" w:type="dxa"/>
                  <w:tcBorders>
                    <w:top w:val="nil"/>
                    <w:left w:val="nil"/>
                    <w:bottom w:val="nil"/>
                    <w:right w:val="nil"/>
                  </w:tcBorders>
                </w:tcPr>
                <w:p w14:paraId="34856137"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NGOs</w:t>
                  </w:r>
                </w:p>
              </w:tc>
              <w:tc>
                <w:tcPr>
                  <w:tcW w:w="1701" w:type="dxa"/>
                  <w:tcBorders>
                    <w:top w:val="nil"/>
                    <w:left w:val="nil"/>
                    <w:bottom w:val="nil"/>
                    <w:right w:val="nil"/>
                  </w:tcBorders>
                </w:tcPr>
                <w:p w14:paraId="7BEF40F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-1.461</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249C103C"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-1.349</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122792C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-1.340</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1337CDD8"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-1.213</w:t>
                  </w:r>
                  <w:r w:rsidRPr="00D3100C">
                    <w:rPr>
                      <w:rFonts w:ascii="Garamond" w:eastAsiaTheme="minorEastAsia" w:hAnsi="Garamond" w:cs="Times New Roman"/>
                      <w:sz w:val="19"/>
                      <w:szCs w:val="19"/>
                      <w:vertAlign w:val="superscript"/>
                      <w:lang w:val="en-US" w:eastAsia="en-GB"/>
                    </w:rPr>
                    <w:t>*</w:t>
                  </w:r>
                </w:p>
              </w:tc>
            </w:tr>
            <w:tr w:rsidR="00D3100C" w:rsidRPr="00D3100C" w14:paraId="5E390E15" w14:textId="77777777" w:rsidTr="00DA5EDB">
              <w:tc>
                <w:tcPr>
                  <w:tcW w:w="2977" w:type="dxa"/>
                  <w:tcBorders>
                    <w:top w:val="nil"/>
                    <w:left w:val="nil"/>
                    <w:bottom w:val="nil"/>
                    <w:right w:val="nil"/>
                  </w:tcBorders>
                </w:tcPr>
                <w:p w14:paraId="6664C16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25CDF31"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(0.222)</w:t>
                  </w:r>
                </w:p>
              </w:tc>
              <w:tc>
                <w:tcPr>
                  <w:tcW w:w="1628" w:type="dxa"/>
                  <w:tcBorders>
                    <w:top w:val="nil"/>
                    <w:left w:val="nil"/>
                    <w:bottom w:val="nil"/>
                    <w:right w:val="nil"/>
                  </w:tcBorders>
                </w:tcPr>
                <w:p w14:paraId="7FEB32E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(0.237)</w:t>
                  </w:r>
                </w:p>
              </w:tc>
              <w:tc>
                <w:tcPr>
                  <w:tcW w:w="1491" w:type="dxa"/>
                  <w:tcBorders>
                    <w:top w:val="nil"/>
                    <w:left w:val="nil"/>
                    <w:bottom w:val="nil"/>
                    <w:right w:val="nil"/>
                  </w:tcBorders>
                </w:tcPr>
                <w:p w14:paraId="7D0D2C3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(0.251)</w:t>
                  </w:r>
                </w:p>
              </w:tc>
              <w:tc>
                <w:tcPr>
                  <w:tcW w:w="1559" w:type="dxa"/>
                  <w:tcBorders>
                    <w:top w:val="nil"/>
                    <w:left w:val="nil"/>
                    <w:bottom w:val="nil"/>
                    <w:right w:val="nil"/>
                  </w:tcBorders>
                </w:tcPr>
                <w:p w14:paraId="7D66723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(0.539)</w:t>
                  </w:r>
                </w:p>
              </w:tc>
            </w:tr>
            <w:tr w:rsidR="00D3100C" w:rsidRPr="00D3100C" w14:paraId="630FB9CD" w14:textId="77777777" w:rsidTr="00DA5EDB">
              <w:tc>
                <w:tcPr>
                  <w:tcW w:w="2977" w:type="dxa"/>
                  <w:tcBorders>
                    <w:top w:val="nil"/>
                    <w:left w:val="nil"/>
                    <w:bottom w:val="nil"/>
                    <w:right w:val="nil"/>
                  </w:tcBorders>
                </w:tcPr>
                <w:p w14:paraId="4DDE34F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60A1B7F2"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371ABA2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1764FC1C"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182874A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73C6BEF2" w14:textId="77777777" w:rsidTr="00DA5EDB">
              <w:tc>
                <w:tcPr>
                  <w:tcW w:w="2977" w:type="dxa"/>
                  <w:tcBorders>
                    <w:top w:val="nil"/>
                    <w:left w:val="nil"/>
                    <w:bottom w:val="nil"/>
                    <w:right w:val="nil"/>
                  </w:tcBorders>
                </w:tcPr>
                <w:p w14:paraId="6D57E1D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Other</w:t>
                  </w:r>
                </w:p>
              </w:tc>
              <w:tc>
                <w:tcPr>
                  <w:tcW w:w="1701" w:type="dxa"/>
                  <w:tcBorders>
                    <w:top w:val="nil"/>
                    <w:left w:val="nil"/>
                    <w:bottom w:val="nil"/>
                    <w:right w:val="nil"/>
                  </w:tcBorders>
                </w:tcPr>
                <w:p w14:paraId="5F7FABF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-14.16</w:t>
                  </w:r>
                </w:p>
              </w:tc>
              <w:tc>
                <w:tcPr>
                  <w:tcW w:w="1628" w:type="dxa"/>
                  <w:tcBorders>
                    <w:top w:val="nil"/>
                    <w:left w:val="nil"/>
                    <w:bottom w:val="nil"/>
                    <w:right w:val="nil"/>
                  </w:tcBorders>
                </w:tcPr>
                <w:p w14:paraId="3FF487F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-14.67</w:t>
                  </w:r>
                </w:p>
              </w:tc>
              <w:tc>
                <w:tcPr>
                  <w:tcW w:w="1491" w:type="dxa"/>
                  <w:tcBorders>
                    <w:top w:val="nil"/>
                    <w:left w:val="nil"/>
                    <w:bottom w:val="nil"/>
                    <w:right w:val="nil"/>
                  </w:tcBorders>
                </w:tcPr>
                <w:p w14:paraId="231187F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-14.75</w:t>
                  </w:r>
                </w:p>
              </w:tc>
              <w:tc>
                <w:tcPr>
                  <w:tcW w:w="1559" w:type="dxa"/>
                  <w:tcBorders>
                    <w:top w:val="nil"/>
                    <w:left w:val="nil"/>
                    <w:bottom w:val="nil"/>
                    <w:right w:val="nil"/>
                  </w:tcBorders>
                </w:tcPr>
                <w:p w14:paraId="729907A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-13.55</w:t>
                  </w:r>
                </w:p>
              </w:tc>
            </w:tr>
            <w:tr w:rsidR="00D3100C" w:rsidRPr="00D3100C" w14:paraId="3B273B77" w14:textId="77777777" w:rsidTr="00DA5EDB">
              <w:tc>
                <w:tcPr>
                  <w:tcW w:w="2977" w:type="dxa"/>
                  <w:tcBorders>
                    <w:top w:val="nil"/>
                    <w:left w:val="nil"/>
                    <w:bottom w:val="nil"/>
                    <w:right w:val="nil"/>
                  </w:tcBorders>
                </w:tcPr>
                <w:p w14:paraId="2A9835B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2C5255D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(992.5)</w:t>
                  </w:r>
                </w:p>
              </w:tc>
              <w:tc>
                <w:tcPr>
                  <w:tcW w:w="1628" w:type="dxa"/>
                  <w:tcBorders>
                    <w:top w:val="nil"/>
                    <w:left w:val="nil"/>
                    <w:bottom w:val="nil"/>
                    <w:right w:val="nil"/>
                  </w:tcBorders>
                </w:tcPr>
                <w:p w14:paraId="6DB3420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(1712.3)</w:t>
                  </w:r>
                </w:p>
              </w:tc>
              <w:tc>
                <w:tcPr>
                  <w:tcW w:w="1491" w:type="dxa"/>
                  <w:tcBorders>
                    <w:top w:val="nil"/>
                    <w:left w:val="nil"/>
                    <w:bottom w:val="nil"/>
                    <w:right w:val="nil"/>
                  </w:tcBorders>
                </w:tcPr>
                <w:p w14:paraId="10F950E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(2019.4)</w:t>
                  </w:r>
                </w:p>
              </w:tc>
              <w:tc>
                <w:tcPr>
                  <w:tcW w:w="1559" w:type="dxa"/>
                  <w:tcBorders>
                    <w:top w:val="nil"/>
                    <w:left w:val="nil"/>
                    <w:bottom w:val="nil"/>
                    <w:right w:val="nil"/>
                  </w:tcBorders>
                </w:tcPr>
                <w:p w14:paraId="47A25F1A"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(1297.7)</w:t>
                  </w:r>
                </w:p>
              </w:tc>
            </w:tr>
            <w:tr w:rsidR="00D3100C" w:rsidRPr="00D3100C" w14:paraId="28EF8D9E" w14:textId="77777777" w:rsidTr="00DA5EDB">
              <w:tc>
                <w:tcPr>
                  <w:tcW w:w="2977" w:type="dxa"/>
                  <w:tcBorders>
                    <w:top w:val="nil"/>
                    <w:left w:val="nil"/>
                    <w:bottom w:val="nil"/>
                    <w:right w:val="nil"/>
                  </w:tcBorders>
                </w:tcPr>
                <w:p w14:paraId="6B2127F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7206D923"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0BC50CBA"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2185FC8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2C35D9C1"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3575CE95" w14:textId="77777777" w:rsidTr="00DA5EDB">
              <w:tc>
                <w:tcPr>
                  <w:tcW w:w="2977" w:type="dxa"/>
                  <w:tcBorders>
                    <w:top w:val="nil"/>
                    <w:left w:val="nil"/>
                    <w:bottom w:val="nil"/>
                    <w:right w:val="nil"/>
                  </w:tcBorders>
                </w:tcPr>
                <w:p w14:paraId="0918AB56"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Rural Bank</w:t>
                  </w:r>
                </w:p>
              </w:tc>
              <w:tc>
                <w:tcPr>
                  <w:tcW w:w="1701" w:type="dxa"/>
                  <w:tcBorders>
                    <w:top w:val="nil"/>
                    <w:left w:val="nil"/>
                    <w:bottom w:val="nil"/>
                    <w:right w:val="nil"/>
                  </w:tcBorders>
                </w:tcPr>
                <w:p w14:paraId="1271B9EB"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1.133</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2FF61E46"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1.692</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0FF43C39"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1.596</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27B7138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0.989</w:t>
                  </w:r>
                </w:p>
              </w:tc>
            </w:tr>
            <w:tr w:rsidR="00D3100C" w:rsidRPr="00D3100C" w14:paraId="5D3FF3A6" w14:textId="77777777" w:rsidTr="00DA5EDB">
              <w:tc>
                <w:tcPr>
                  <w:tcW w:w="2977" w:type="dxa"/>
                  <w:tcBorders>
                    <w:top w:val="nil"/>
                    <w:left w:val="nil"/>
                    <w:bottom w:val="nil"/>
                    <w:right w:val="nil"/>
                  </w:tcBorders>
                </w:tcPr>
                <w:p w14:paraId="0382F31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51B54FD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(0.323)</w:t>
                  </w:r>
                </w:p>
              </w:tc>
              <w:tc>
                <w:tcPr>
                  <w:tcW w:w="1628" w:type="dxa"/>
                  <w:tcBorders>
                    <w:top w:val="nil"/>
                    <w:left w:val="nil"/>
                    <w:bottom w:val="nil"/>
                    <w:right w:val="nil"/>
                  </w:tcBorders>
                </w:tcPr>
                <w:p w14:paraId="33C5B13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(0.445)</w:t>
                  </w:r>
                </w:p>
              </w:tc>
              <w:tc>
                <w:tcPr>
                  <w:tcW w:w="1491" w:type="dxa"/>
                  <w:tcBorders>
                    <w:top w:val="nil"/>
                    <w:left w:val="nil"/>
                    <w:bottom w:val="nil"/>
                    <w:right w:val="nil"/>
                  </w:tcBorders>
                </w:tcPr>
                <w:p w14:paraId="422B91D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(0.682)</w:t>
                  </w:r>
                </w:p>
              </w:tc>
              <w:tc>
                <w:tcPr>
                  <w:tcW w:w="1559" w:type="dxa"/>
                  <w:tcBorders>
                    <w:top w:val="nil"/>
                    <w:left w:val="nil"/>
                    <w:bottom w:val="nil"/>
                    <w:right w:val="nil"/>
                  </w:tcBorders>
                </w:tcPr>
                <w:p w14:paraId="1C860A2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(0.511)</w:t>
                  </w:r>
                </w:p>
              </w:tc>
            </w:tr>
            <w:tr w:rsidR="00D3100C" w:rsidRPr="00D3100C" w14:paraId="0175E604" w14:textId="77777777" w:rsidTr="00DA5EDB">
              <w:tc>
                <w:tcPr>
                  <w:tcW w:w="2977" w:type="dxa"/>
                  <w:tcBorders>
                    <w:top w:val="nil"/>
                    <w:left w:val="nil"/>
                    <w:bottom w:val="nil"/>
                    <w:right w:val="nil"/>
                  </w:tcBorders>
                </w:tcPr>
                <w:p w14:paraId="797308B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D220D0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628" w:type="dxa"/>
                  <w:tcBorders>
                    <w:top w:val="nil"/>
                    <w:left w:val="nil"/>
                    <w:bottom w:val="nil"/>
                    <w:right w:val="nil"/>
                  </w:tcBorders>
                </w:tcPr>
                <w:p w14:paraId="2E5B8AF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491" w:type="dxa"/>
                  <w:tcBorders>
                    <w:top w:val="nil"/>
                    <w:left w:val="nil"/>
                    <w:bottom w:val="nil"/>
                    <w:right w:val="nil"/>
                  </w:tcBorders>
                </w:tcPr>
                <w:p w14:paraId="08EEADAD"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559" w:type="dxa"/>
                  <w:tcBorders>
                    <w:top w:val="nil"/>
                    <w:left w:val="nil"/>
                    <w:bottom w:val="nil"/>
                    <w:right w:val="nil"/>
                  </w:tcBorders>
                </w:tcPr>
                <w:p w14:paraId="47898310"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r>
            <w:tr w:rsidR="00D3100C" w:rsidRPr="00D3100C" w14:paraId="715E3568" w14:textId="77777777" w:rsidTr="00DA5EDB">
              <w:tc>
                <w:tcPr>
                  <w:tcW w:w="2977" w:type="dxa"/>
                  <w:tcBorders>
                    <w:top w:val="nil"/>
                    <w:left w:val="nil"/>
                    <w:bottom w:val="nil"/>
                    <w:right w:val="nil"/>
                  </w:tcBorders>
                </w:tcPr>
                <w:p w14:paraId="2305DBD5"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Constant</w:t>
                  </w:r>
                </w:p>
              </w:tc>
              <w:tc>
                <w:tcPr>
                  <w:tcW w:w="1701" w:type="dxa"/>
                  <w:tcBorders>
                    <w:top w:val="nil"/>
                    <w:left w:val="nil"/>
                    <w:bottom w:val="nil"/>
                    <w:right w:val="nil"/>
                  </w:tcBorders>
                </w:tcPr>
                <w:p w14:paraId="32CF2C95"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-3.205</w:t>
                  </w:r>
                  <w:r w:rsidRPr="00D3100C">
                    <w:rPr>
                      <w:rFonts w:ascii="Garamond" w:eastAsiaTheme="minorEastAsia" w:hAnsi="Garamond" w:cs="Times New Roman"/>
                      <w:sz w:val="19"/>
                      <w:szCs w:val="19"/>
                      <w:vertAlign w:val="superscript"/>
                      <w:lang w:val="en-US" w:eastAsia="en-GB"/>
                    </w:rPr>
                    <w:t>***</w:t>
                  </w:r>
                </w:p>
              </w:tc>
              <w:tc>
                <w:tcPr>
                  <w:tcW w:w="1628" w:type="dxa"/>
                  <w:tcBorders>
                    <w:top w:val="nil"/>
                    <w:left w:val="nil"/>
                    <w:bottom w:val="nil"/>
                    <w:right w:val="nil"/>
                  </w:tcBorders>
                </w:tcPr>
                <w:p w14:paraId="50EE29EE"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-3.570</w:t>
                  </w:r>
                  <w:r w:rsidRPr="00D3100C">
                    <w:rPr>
                      <w:rFonts w:ascii="Garamond" w:eastAsiaTheme="minorEastAsia" w:hAnsi="Garamond" w:cs="Times New Roman"/>
                      <w:sz w:val="19"/>
                      <w:szCs w:val="19"/>
                      <w:vertAlign w:val="superscript"/>
                      <w:lang w:val="en-US" w:eastAsia="en-GB"/>
                    </w:rPr>
                    <w:t>***</w:t>
                  </w:r>
                </w:p>
              </w:tc>
              <w:tc>
                <w:tcPr>
                  <w:tcW w:w="1491" w:type="dxa"/>
                  <w:tcBorders>
                    <w:top w:val="nil"/>
                    <w:left w:val="nil"/>
                    <w:bottom w:val="nil"/>
                    <w:right w:val="nil"/>
                  </w:tcBorders>
                </w:tcPr>
                <w:p w14:paraId="5BCB70D4"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-4.205</w:t>
                  </w:r>
                  <w:r w:rsidRPr="00D3100C">
                    <w:rPr>
                      <w:rFonts w:ascii="Garamond" w:eastAsiaTheme="minorEastAsia" w:hAnsi="Garamond" w:cs="Times New Roman"/>
                      <w:sz w:val="19"/>
                      <w:szCs w:val="19"/>
                      <w:vertAlign w:val="superscript"/>
                      <w:lang w:val="en-US" w:eastAsia="en-GB"/>
                    </w:rPr>
                    <w:t>***</w:t>
                  </w:r>
                </w:p>
              </w:tc>
              <w:tc>
                <w:tcPr>
                  <w:tcW w:w="1559" w:type="dxa"/>
                  <w:tcBorders>
                    <w:top w:val="nil"/>
                    <w:left w:val="nil"/>
                    <w:bottom w:val="nil"/>
                    <w:right w:val="nil"/>
                  </w:tcBorders>
                </w:tcPr>
                <w:p w14:paraId="26B4639D"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-20.13</w:t>
                  </w:r>
                </w:p>
              </w:tc>
            </w:tr>
            <w:tr w:rsidR="00D3100C" w:rsidRPr="00D3100C" w14:paraId="70C804CF" w14:textId="77777777" w:rsidTr="00DA5EDB">
              <w:tc>
                <w:tcPr>
                  <w:tcW w:w="2977" w:type="dxa"/>
                  <w:tcBorders>
                    <w:top w:val="nil"/>
                    <w:left w:val="nil"/>
                    <w:bottom w:val="nil"/>
                    <w:right w:val="nil"/>
                  </w:tcBorders>
                </w:tcPr>
                <w:p w14:paraId="4633B989" w14:textId="77777777" w:rsidR="00D3100C" w:rsidRPr="00D3100C" w:rsidRDefault="00D3100C" w:rsidP="00D3100C">
                  <w:pPr>
                    <w:widowControl w:val="0"/>
                    <w:autoSpaceDE w:val="0"/>
                    <w:autoSpaceDN w:val="0"/>
                    <w:adjustRightInd w:val="0"/>
                    <w:spacing w:after="0" w:line="240" w:lineRule="auto"/>
                    <w:rPr>
                      <w:rFonts w:ascii="Garamond" w:eastAsiaTheme="minorEastAsia" w:hAnsi="Garamond" w:cs="Times New Roman"/>
                      <w:sz w:val="19"/>
                      <w:szCs w:val="19"/>
                      <w:lang w:val="en-US" w:eastAsia="en-GB"/>
                    </w:rPr>
                  </w:pPr>
                </w:p>
              </w:tc>
              <w:tc>
                <w:tcPr>
                  <w:tcW w:w="1701" w:type="dxa"/>
                  <w:tcBorders>
                    <w:top w:val="nil"/>
                    <w:left w:val="nil"/>
                    <w:bottom w:val="nil"/>
                    <w:right w:val="nil"/>
                  </w:tcBorders>
                </w:tcPr>
                <w:p w14:paraId="4961A63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(0.740)</w:t>
                  </w:r>
                </w:p>
              </w:tc>
              <w:tc>
                <w:tcPr>
                  <w:tcW w:w="1628" w:type="dxa"/>
                  <w:tcBorders>
                    <w:top w:val="nil"/>
                    <w:left w:val="nil"/>
                    <w:bottom w:val="nil"/>
                    <w:right w:val="nil"/>
                  </w:tcBorders>
                </w:tcPr>
                <w:p w14:paraId="42319572"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(0.810)</w:t>
                  </w:r>
                </w:p>
              </w:tc>
              <w:tc>
                <w:tcPr>
                  <w:tcW w:w="1491" w:type="dxa"/>
                  <w:tcBorders>
                    <w:top w:val="nil"/>
                    <w:left w:val="nil"/>
                    <w:bottom w:val="nil"/>
                    <w:right w:val="nil"/>
                  </w:tcBorders>
                </w:tcPr>
                <w:p w14:paraId="033F029F"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(0.868)</w:t>
                  </w:r>
                </w:p>
              </w:tc>
              <w:tc>
                <w:tcPr>
                  <w:tcW w:w="1559" w:type="dxa"/>
                  <w:tcBorders>
                    <w:top w:val="nil"/>
                    <w:left w:val="nil"/>
                    <w:bottom w:val="nil"/>
                    <w:right w:val="nil"/>
                  </w:tcBorders>
                </w:tcPr>
                <w:p w14:paraId="235436D3" w14:textId="77777777" w:rsidR="00D3100C" w:rsidRPr="00D3100C" w:rsidRDefault="00D3100C" w:rsidP="00D3100C">
                  <w:pPr>
                    <w:widowControl w:val="0"/>
                    <w:autoSpaceDE w:val="0"/>
                    <w:autoSpaceDN w:val="0"/>
                    <w:adjustRightInd w:val="0"/>
                    <w:spacing w:after="0" w:line="240" w:lineRule="auto"/>
                    <w:jc w:val="center"/>
                    <w:rPr>
                      <w:rFonts w:ascii="Garamond" w:eastAsiaTheme="minorEastAsia" w:hAnsi="Garamond" w:cs="Times New Roman"/>
                      <w:sz w:val="19"/>
                      <w:szCs w:val="19"/>
                      <w:lang w:val="en-US" w:eastAsia="en-GB"/>
                    </w:rPr>
                  </w:pPr>
                  <w:r w:rsidRPr="00D3100C">
                    <w:rPr>
                      <w:rFonts w:ascii="Garamond" w:eastAsiaTheme="minorEastAsia" w:hAnsi="Garamond" w:cs="Times New Roman"/>
                      <w:sz w:val="19"/>
                      <w:szCs w:val="19"/>
                      <w:lang w:val="en-US" w:eastAsia="en-GB"/>
                    </w:rPr>
                    <w:t>(1348.1)</w:t>
                  </w:r>
                </w:p>
              </w:tc>
            </w:tr>
          </w:tbl>
          <w:p w14:paraId="446D66F8" w14:textId="77777777" w:rsidR="00D3100C" w:rsidRPr="00D3100C" w:rsidRDefault="00D3100C" w:rsidP="00D3100C">
            <w:pPr>
              <w:rPr>
                <w:rFonts w:ascii="Garamond" w:hAnsi="Garamond"/>
                <w:sz w:val="20"/>
                <w:szCs w:val="20"/>
              </w:rPr>
            </w:pPr>
          </w:p>
        </w:tc>
      </w:tr>
    </w:tbl>
    <w:p w14:paraId="019C0884" w14:textId="77777777" w:rsidR="00D3100C" w:rsidRPr="00D3100C" w:rsidRDefault="00D3100C" w:rsidP="00D3100C">
      <w:pPr>
        <w:widowControl w:val="0"/>
        <w:autoSpaceDE w:val="0"/>
        <w:autoSpaceDN w:val="0"/>
        <w:adjustRightInd w:val="0"/>
        <w:spacing w:after="0" w:line="240" w:lineRule="auto"/>
        <w:jc w:val="center"/>
        <w:rPr>
          <w:rFonts w:ascii="Times New Roman" w:eastAsiaTheme="minorEastAsia" w:hAnsi="Times New Roman" w:cs="Times New Roman"/>
          <w:sz w:val="20"/>
          <w:szCs w:val="20"/>
          <w:lang w:val="en-US" w:eastAsia="en-GB"/>
        </w:rPr>
      </w:pPr>
      <w:r w:rsidRPr="00D3100C">
        <w:rPr>
          <w:rFonts w:ascii="Times New Roman" w:eastAsiaTheme="minorEastAsia" w:hAnsi="Times New Roman" w:cs="Times New Roman"/>
          <w:sz w:val="20"/>
          <w:szCs w:val="20"/>
          <w:lang w:val="en-US" w:eastAsia="en-GB"/>
        </w:rPr>
        <w:lastRenderedPageBreak/>
        <w:t>Standard errors in parentheses</w:t>
      </w:r>
    </w:p>
    <w:p w14:paraId="59FF6A9F" w14:textId="77777777" w:rsidR="00D3100C" w:rsidRPr="00D3100C" w:rsidRDefault="00D3100C" w:rsidP="00D3100C">
      <w:pPr>
        <w:widowControl w:val="0"/>
        <w:autoSpaceDE w:val="0"/>
        <w:autoSpaceDN w:val="0"/>
        <w:adjustRightInd w:val="0"/>
        <w:spacing w:after="0" w:line="240" w:lineRule="auto"/>
        <w:jc w:val="center"/>
        <w:rPr>
          <w:rFonts w:ascii="Times New Roman" w:eastAsiaTheme="minorEastAsia" w:hAnsi="Times New Roman" w:cs="Times New Roman"/>
          <w:sz w:val="20"/>
          <w:szCs w:val="20"/>
          <w:lang w:val="en-US" w:eastAsia="en-GB"/>
        </w:rPr>
      </w:pPr>
      <w:r w:rsidRPr="00D3100C">
        <w:rPr>
          <w:rFonts w:ascii="Times New Roman" w:eastAsiaTheme="minorEastAsia" w:hAnsi="Times New Roman" w:cs="Times New Roman"/>
          <w:sz w:val="20"/>
          <w:szCs w:val="20"/>
          <w:vertAlign w:val="superscript"/>
          <w:lang w:val="en-US" w:eastAsia="en-GB"/>
        </w:rPr>
        <w:t>*</w:t>
      </w:r>
      <w:r w:rsidRPr="00D3100C">
        <w:rPr>
          <w:rFonts w:ascii="Times New Roman" w:eastAsiaTheme="minorEastAsia" w:hAnsi="Times New Roman" w:cs="Times New Roman"/>
          <w:sz w:val="20"/>
          <w:szCs w:val="20"/>
          <w:lang w:val="en-US" w:eastAsia="en-GB"/>
        </w:rPr>
        <w:t xml:space="preserve"> </w:t>
      </w:r>
      <w:r w:rsidRPr="00D3100C">
        <w:rPr>
          <w:rFonts w:ascii="Times New Roman" w:eastAsiaTheme="minorEastAsia" w:hAnsi="Times New Roman" w:cs="Times New Roman"/>
          <w:i/>
          <w:iCs/>
          <w:sz w:val="20"/>
          <w:szCs w:val="20"/>
          <w:lang w:val="en-US" w:eastAsia="en-GB"/>
        </w:rPr>
        <w:t>p</w:t>
      </w:r>
      <w:r w:rsidRPr="00D3100C">
        <w:rPr>
          <w:rFonts w:ascii="Times New Roman" w:eastAsiaTheme="minorEastAsia" w:hAnsi="Times New Roman" w:cs="Times New Roman"/>
          <w:sz w:val="20"/>
          <w:szCs w:val="20"/>
          <w:lang w:val="en-US" w:eastAsia="en-GB"/>
        </w:rPr>
        <w:t xml:space="preserve"> &lt; 0.05, </w:t>
      </w:r>
      <w:r w:rsidRPr="00D3100C">
        <w:rPr>
          <w:rFonts w:ascii="Times New Roman" w:eastAsiaTheme="minorEastAsia" w:hAnsi="Times New Roman" w:cs="Times New Roman"/>
          <w:sz w:val="20"/>
          <w:szCs w:val="20"/>
          <w:vertAlign w:val="superscript"/>
          <w:lang w:val="en-US" w:eastAsia="en-GB"/>
        </w:rPr>
        <w:t>**</w:t>
      </w:r>
      <w:r w:rsidRPr="00D3100C">
        <w:rPr>
          <w:rFonts w:ascii="Times New Roman" w:eastAsiaTheme="minorEastAsia" w:hAnsi="Times New Roman" w:cs="Times New Roman"/>
          <w:sz w:val="20"/>
          <w:szCs w:val="20"/>
          <w:lang w:val="en-US" w:eastAsia="en-GB"/>
        </w:rPr>
        <w:t xml:space="preserve"> </w:t>
      </w:r>
      <w:r w:rsidRPr="00D3100C">
        <w:rPr>
          <w:rFonts w:ascii="Times New Roman" w:eastAsiaTheme="minorEastAsia" w:hAnsi="Times New Roman" w:cs="Times New Roman"/>
          <w:i/>
          <w:iCs/>
          <w:sz w:val="20"/>
          <w:szCs w:val="20"/>
          <w:lang w:val="en-US" w:eastAsia="en-GB"/>
        </w:rPr>
        <w:t>p</w:t>
      </w:r>
      <w:r w:rsidRPr="00D3100C">
        <w:rPr>
          <w:rFonts w:ascii="Times New Roman" w:eastAsiaTheme="minorEastAsia" w:hAnsi="Times New Roman" w:cs="Times New Roman"/>
          <w:sz w:val="20"/>
          <w:szCs w:val="20"/>
          <w:lang w:val="en-US" w:eastAsia="en-GB"/>
        </w:rPr>
        <w:t xml:space="preserve"> &lt; 0.01, </w:t>
      </w:r>
      <w:r w:rsidRPr="00D3100C">
        <w:rPr>
          <w:rFonts w:ascii="Times New Roman" w:eastAsiaTheme="minorEastAsia" w:hAnsi="Times New Roman" w:cs="Times New Roman"/>
          <w:sz w:val="20"/>
          <w:szCs w:val="20"/>
          <w:vertAlign w:val="superscript"/>
          <w:lang w:val="en-US" w:eastAsia="en-GB"/>
        </w:rPr>
        <w:t>***</w:t>
      </w:r>
      <w:r w:rsidRPr="00D3100C">
        <w:rPr>
          <w:rFonts w:ascii="Times New Roman" w:eastAsiaTheme="minorEastAsia" w:hAnsi="Times New Roman" w:cs="Times New Roman"/>
          <w:sz w:val="20"/>
          <w:szCs w:val="20"/>
          <w:lang w:val="en-US" w:eastAsia="en-GB"/>
        </w:rPr>
        <w:t xml:space="preserve"> </w:t>
      </w:r>
      <w:r w:rsidRPr="00D3100C">
        <w:rPr>
          <w:rFonts w:ascii="Times New Roman" w:eastAsiaTheme="minorEastAsia" w:hAnsi="Times New Roman" w:cs="Times New Roman"/>
          <w:i/>
          <w:iCs/>
          <w:sz w:val="20"/>
          <w:szCs w:val="20"/>
          <w:lang w:val="en-US" w:eastAsia="en-GB"/>
        </w:rPr>
        <w:t>p</w:t>
      </w:r>
      <w:r w:rsidRPr="00D3100C">
        <w:rPr>
          <w:rFonts w:ascii="Times New Roman" w:eastAsiaTheme="minorEastAsia" w:hAnsi="Times New Roman" w:cs="Times New Roman"/>
          <w:sz w:val="20"/>
          <w:szCs w:val="20"/>
          <w:lang w:val="en-US" w:eastAsia="en-GB"/>
        </w:rPr>
        <w:t xml:space="preserve"> &lt; 0.001</w:t>
      </w:r>
    </w:p>
    <w:p w14:paraId="36AA3838" w14:textId="77777777" w:rsidR="00D3100C" w:rsidRDefault="00D3100C" w:rsidP="006A76FD">
      <w:pPr>
        <w:rPr>
          <w:rFonts w:ascii="Garamond" w:hAnsi="Garamond"/>
          <w:sz w:val="24"/>
          <w:szCs w:val="24"/>
        </w:rPr>
      </w:pPr>
    </w:p>
    <w:p w14:paraId="3B3B9536" w14:textId="77777777" w:rsidR="006010A7" w:rsidRDefault="006010A7" w:rsidP="00B52DA0">
      <w:pPr>
        <w:rPr>
          <w:rFonts w:ascii="Garamond" w:hAnsi="Garamond"/>
          <w:sz w:val="24"/>
          <w:szCs w:val="24"/>
        </w:rPr>
      </w:pPr>
    </w:p>
    <w:p w14:paraId="77D7FC6D" w14:textId="77777777" w:rsidR="006010A7" w:rsidRDefault="006010A7" w:rsidP="00B52DA0">
      <w:pPr>
        <w:rPr>
          <w:rFonts w:ascii="Garamond" w:hAnsi="Garamond"/>
          <w:sz w:val="24"/>
          <w:szCs w:val="24"/>
        </w:rPr>
      </w:pPr>
    </w:p>
    <w:sectPr w:rsidR="006010A7" w:rsidSect="00776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3DE8F" w14:textId="77777777" w:rsidR="007F0831" w:rsidRDefault="007F0831" w:rsidP="00AE2AE0">
      <w:pPr>
        <w:spacing w:after="0" w:line="240" w:lineRule="auto"/>
      </w:pPr>
      <w:r>
        <w:separator/>
      </w:r>
    </w:p>
  </w:endnote>
  <w:endnote w:type="continuationSeparator" w:id="0">
    <w:p w14:paraId="5CD65FA5" w14:textId="77777777" w:rsidR="007F0831" w:rsidRDefault="007F0831" w:rsidP="00AE2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8589268"/>
      <w:docPartObj>
        <w:docPartGallery w:val="Page Numbers (Bottom of Page)"/>
        <w:docPartUnique/>
      </w:docPartObj>
    </w:sdtPr>
    <w:sdtEndPr>
      <w:rPr>
        <w:noProof/>
      </w:rPr>
    </w:sdtEndPr>
    <w:sdtContent>
      <w:p w14:paraId="0504F336" w14:textId="77777777" w:rsidR="00DC5153" w:rsidRDefault="00DC5153">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29F30B93" w14:textId="77777777" w:rsidR="00DC5153" w:rsidRDefault="00DC5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402C4" w14:textId="77777777" w:rsidR="007F0831" w:rsidRDefault="007F0831" w:rsidP="00AE2AE0">
      <w:pPr>
        <w:spacing w:after="0" w:line="240" w:lineRule="auto"/>
      </w:pPr>
      <w:r>
        <w:separator/>
      </w:r>
    </w:p>
  </w:footnote>
  <w:footnote w:type="continuationSeparator" w:id="0">
    <w:p w14:paraId="2B6932D4" w14:textId="77777777" w:rsidR="007F0831" w:rsidRDefault="007F0831" w:rsidP="00AE2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031B"/>
    <w:multiLevelType w:val="hybridMultilevel"/>
    <w:tmpl w:val="1A70B5DE"/>
    <w:lvl w:ilvl="0" w:tplc="D0EA30A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BA38FF"/>
    <w:multiLevelType w:val="hybridMultilevel"/>
    <w:tmpl w:val="B07858CE"/>
    <w:lvl w:ilvl="0" w:tplc="F23A4C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37D470D"/>
    <w:multiLevelType w:val="hybridMultilevel"/>
    <w:tmpl w:val="BCBCE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8C66B5"/>
    <w:multiLevelType w:val="hybridMultilevel"/>
    <w:tmpl w:val="21F61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F5919"/>
    <w:multiLevelType w:val="hybridMultilevel"/>
    <w:tmpl w:val="DADCA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212B80"/>
    <w:multiLevelType w:val="hybridMultilevel"/>
    <w:tmpl w:val="23F49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862F8C"/>
    <w:multiLevelType w:val="hybridMultilevel"/>
    <w:tmpl w:val="04B28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093201"/>
    <w:multiLevelType w:val="hybridMultilevel"/>
    <w:tmpl w:val="A8BA8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B05F3A"/>
    <w:multiLevelType w:val="hybridMultilevel"/>
    <w:tmpl w:val="E5C44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8E2303"/>
    <w:multiLevelType w:val="multilevel"/>
    <w:tmpl w:val="A5D6AFF2"/>
    <w:lvl w:ilvl="0">
      <w:start w:val="1"/>
      <w:numFmt w:val="decimal"/>
      <w:lvlText w:val="%1."/>
      <w:lvlJc w:val="left"/>
      <w:pPr>
        <w:ind w:left="720" w:hanging="36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6"/>
  </w:num>
  <w:num w:numId="3">
    <w:abstractNumId w:val="3"/>
  </w:num>
  <w:num w:numId="4">
    <w:abstractNumId w:val="1"/>
  </w:num>
  <w:num w:numId="5">
    <w:abstractNumId w:val="0"/>
  </w:num>
  <w:num w:numId="6">
    <w:abstractNumId w:val="2"/>
  </w:num>
  <w:num w:numId="7">
    <w:abstractNumId w:val="5"/>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zNDG3MDa2MDIyszRQ0lEKTi0uzszPAykwNKoFAD729/UtAAAA"/>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s9909saar09se5x9txwfw7ax9wfe2ftrt2&quot;&gt;My EndNote Library-Converted&lt;record-ids&gt;&lt;item&gt;66&lt;/item&gt;&lt;item&gt;104&lt;/item&gt;&lt;item&gt;117&lt;/item&gt;&lt;item&gt;119&lt;/item&gt;&lt;item&gt;155&lt;/item&gt;&lt;item&gt;198&lt;/item&gt;&lt;item&gt;250&lt;/item&gt;&lt;item&gt;261&lt;/item&gt;&lt;item&gt;297&lt;/item&gt;&lt;item&gt;307&lt;/item&gt;&lt;item&gt;328&lt;/item&gt;&lt;item&gt;432&lt;/item&gt;&lt;item&gt;436&lt;/item&gt;&lt;item&gt;443&lt;/item&gt;&lt;item&gt;465&lt;/item&gt;&lt;item&gt;466&lt;/item&gt;&lt;item&gt;482&lt;/item&gt;&lt;item&gt;485&lt;/item&gt;&lt;item&gt;488&lt;/item&gt;&lt;item&gt;489&lt;/item&gt;&lt;item&gt;503&lt;/item&gt;&lt;item&gt;504&lt;/item&gt;&lt;item&gt;505&lt;/item&gt;&lt;/record-ids&gt;&lt;/item&gt;&lt;/Libraries&gt;"/>
  </w:docVars>
  <w:rsids>
    <w:rsidRoot w:val="00F22CA3"/>
    <w:rsid w:val="00001948"/>
    <w:rsid w:val="0001242A"/>
    <w:rsid w:val="00027760"/>
    <w:rsid w:val="00027CC0"/>
    <w:rsid w:val="0003264B"/>
    <w:rsid w:val="00062B21"/>
    <w:rsid w:val="000653BD"/>
    <w:rsid w:val="00071D79"/>
    <w:rsid w:val="00074A7F"/>
    <w:rsid w:val="0007785A"/>
    <w:rsid w:val="00087106"/>
    <w:rsid w:val="000A40C3"/>
    <w:rsid w:val="000D7616"/>
    <w:rsid w:val="000E1ED8"/>
    <w:rsid w:val="000E22A0"/>
    <w:rsid w:val="000F2879"/>
    <w:rsid w:val="00103132"/>
    <w:rsid w:val="00103F92"/>
    <w:rsid w:val="001159BC"/>
    <w:rsid w:val="00164E7D"/>
    <w:rsid w:val="001727CF"/>
    <w:rsid w:val="0017663A"/>
    <w:rsid w:val="001A554B"/>
    <w:rsid w:val="001A570E"/>
    <w:rsid w:val="001B6CA5"/>
    <w:rsid w:val="001F6144"/>
    <w:rsid w:val="00203581"/>
    <w:rsid w:val="0022095B"/>
    <w:rsid w:val="00224C29"/>
    <w:rsid w:val="0022605C"/>
    <w:rsid w:val="00234586"/>
    <w:rsid w:val="00243132"/>
    <w:rsid w:val="002509FB"/>
    <w:rsid w:val="0025155F"/>
    <w:rsid w:val="00265289"/>
    <w:rsid w:val="00267F41"/>
    <w:rsid w:val="00270F8B"/>
    <w:rsid w:val="00271519"/>
    <w:rsid w:val="00287AA2"/>
    <w:rsid w:val="002928FB"/>
    <w:rsid w:val="002A0E32"/>
    <w:rsid w:val="002A3E59"/>
    <w:rsid w:val="002B6F55"/>
    <w:rsid w:val="002D138B"/>
    <w:rsid w:val="002E5CB7"/>
    <w:rsid w:val="002F1DFC"/>
    <w:rsid w:val="0030399B"/>
    <w:rsid w:val="0031215E"/>
    <w:rsid w:val="00314A6E"/>
    <w:rsid w:val="00315717"/>
    <w:rsid w:val="00316203"/>
    <w:rsid w:val="00330278"/>
    <w:rsid w:val="00340E96"/>
    <w:rsid w:val="00373F0F"/>
    <w:rsid w:val="00385CD7"/>
    <w:rsid w:val="00393326"/>
    <w:rsid w:val="003933D8"/>
    <w:rsid w:val="003A76C0"/>
    <w:rsid w:val="003D3628"/>
    <w:rsid w:val="003E45E4"/>
    <w:rsid w:val="003F12B4"/>
    <w:rsid w:val="003F5E4A"/>
    <w:rsid w:val="004040B4"/>
    <w:rsid w:val="004045A1"/>
    <w:rsid w:val="0041583B"/>
    <w:rsid w:val="00417FAB"/>
    <w:rsid w:val="00423AA8"/>
    <w:rsid w:val="00443F91"/>
    <w:rsid w:val="0046596D"/>
    <w:rsid w:val="00465FBC"/>
    <w:rsid w:val="00477082"/>
    <w:rsid w:val="00483DC5"/>
    <w:rsid w:val="00485121"/>
    <w:rsid w:val="004865BA"/>
    <w:rsid w:val="00487EB1"/>
    <w:rsid w:val="004913D3"/>
    <w:rsid w:val="004A3457"/>
    <w:rsid w:val="004B71CF"/>
    <w:rsid w:val="004D7511"/>
    <w:rsid w:val="004F02E4"/>
    <w:rsid w:val="004F336D"/>
    <w:rsid w:val="004F590D"/>
    <w:rsid w:val="00514604"/>
    <w:rsid w:val="00517A17"/>
    <w:rsid w:val="00524CBC"/>
    <w:rsid w:val="00532948"/>
    <w:rsid w:val="00540420"/>
    <w:rsid w:val="005424B4"/>
    <w:rsid w:val="00542E2B"/>
    <w:rsid w:val="00543D0D"/>
    <w:rsid w:val="00550152"/>
    <w:rsid w:val="00577B27"/>
    <w:rsid w:val="00581958"/>
    <w:rsid w:val="00581D48"/>
    <w:rsid w:val="00584DC6"/>
    <w:rsid w:val="005B2ED0"/>
    <w:rsid w:val="005C5FA1"/>
    <w:rsid w:val="005D4565"/>
    <w:rsid w:val="005D78FB"/>
    <w:rsid w:val="005E029E"/>
    <w:rsid w:val="005F7F50"/>
    <w:rsid w:val="006010A7"/>
    <w:rsid w:val="00637E27"/>
    <w:rsid w:val="006662F8"/>
    <w:rsid w:val="006708A5"/>
    <w:rsid w:val="00682BB7"/>
    <w:rsid w:val="0068444C"/>
    <w:rsid w:val="006A76FD"/>
    <w:rsid w:val="006B7194"/>
    <w:rsid w:val="006C093B"/>
    <w:rsid w:val="006D5A87"/>
    <w:rsid w:val="006E37BC"/>
    <w:rsid w:val="006F10F5"/>
    <w:rsid w:val="006F65A4"/>
    <w:rsid w:val="006F7728"/>
    <w:rsid w:val="0070117C"/>
    <w:rsid w:val="00703D33"/>
    <w:rsid w:val="00721347"/>
    <w:rsid w:val="007279A0"/>
    <w:rsid w:val="00732F93"/>
    <w:rsid w:val="00733172"/>
    <w:rsid w:val="00736F24"/>
    <w:rsid w:val="00744F5F"/>
    <w:rsid w:val="00746A7B"/>
    <w:rsid w:val="00746BD5"/>
    <w:rsid w:val="00746E9B"/>
    <w:rsid w:val="007513D2"/>
    <w:rsid w:val="00752A04"/>
    <w:rsid w:val="0075520A"/>
    <w:rsid w:val="007574FE"/>
    <w:rsid w:val="00764538"/>
    <w:rsid w:val="00776172"/>
    <w:rsid w:val="00785D8B"/>
    <w:rsid w:val="007A498D"/>
    <w:rsid w:val="007A74AE"/>
    <w:rsid w:val="007C6C1A"/>
    <w:rsid w:val="007D6C3D"/>
    <w:rsid w:val="007D71D1"/>
    <w:rsid w:val="007F0831"/>
    <w:rsid w:val="007F14AA"/>
    <w:rsid w:val="007F4B7B"/>
    <w:rsid w:val="00800180"/>
    <w:rsid w:val="00801D42"/>
    <w:rsid w:val="00813146"/>
    <w:rsid w:val="00835D1D"/>
    <w:rsid w:val="008417EB"/>
    <w:rsid w:val="00842C2C"/>
    <w:rsid w:val="0085184E"/>
    <w:rsid w:val="0085355D"/>
    <w:rsid w:val="008632B4"/>
    <w:rsid w:val="00866617"/>
    <w:rsid w:val="00874E4B"/>
    <w:rsid w:val="00894AEC"/>
    <w:rsid w:val="008A674E"/>
    <w:rsid w:val="008A6DA1"/>
    <w:rsid w:val="008E77CA"/>
    <w:rsid w:val="008F331A"/>
    <w:rsid w:val="00904951"/>
    <w:rsid w:val="00905FE8"/>
    <w:rsid w:val="00910787"/>
    <w:rsid w:val="00927411"/>
    <w:rsid w:val="009375F4"/>
    <w:rsid w:val="009475AD"/>
    <w:rsid w:val="009545E8"/>
    <w:rsid w:val="00954A44"/>
    <w:rsid w:val="00957DAE"/>
    <w:rsid w:val="009616DA"/>
    <w:rsid w:val="00964124"/>
    <w:rsid w:val="00964450"/>
    <w:rsid w:val="0096466A"/>
    <w:rsid w:val="009852B2"/>
    <w:rsid w:val="009937A9"/>
    <w:rsid w:val="009A1B40"/>
    <w:rsid w:val="009B3466"/>
    <w:rsid w:val="009D0BBE"/>
    <w:rsid w:val="009F31DC"/>
    <w:rsid w:val="00A239F4"/>
    <w:rsid w:val="00A26F1D"/>
    <w:rsid w:val="00A2715E"/>
    <w:rsid w:val="00A3482B"/>
    <w:rsid w:val="00A4080F"/>
    <w:rsid w:val="00A43563"/>
    <w:rsid w:val="00A45A39"/>
    <w:rsid w:val="00A52FAC"/>
    <w:rsid w:val="00A709E7"/>
    <w:rsid w:val="00A764FA"/>
    <w:rsid w:val="00A82B7A"/>
    <w:rsid w:val="00A832CD"/>
    <w:rsid w:val="00AA1B4D"/>
    <w:rsid w:val="00AA4A29"/>
    <w:rsid w:val="00AC1381"/>
    <w:rsid w:val="00AE2AE0"/>
    <w:rsid w:val="00AF4605"/>
    <w:rsid w:val="00B009DB"/>
    <w:rsid w:val="00B02FE7"/>
    <w:rsid w:val="00B2579A"/>
    <w:rsid w:val="00B26DBE"/>
    <w:rsid w:val="00B27B3E"/>
    <w:rsid w:val="00B52DA0"/>
    <w:rsid w:val="00B81DD8"/>
    <w:rsid w:val="00B94909"/>
    <w:rsid w:val="00BA0F78"/>
    <w:rsid w:val="00BA4C27"/>
    <w:rsid w:val="00BD1B82"/>
    <w:rsid w:val="00BF180A"/>
    <w:rsid w:val="00BF3C1F"/>
    <w:rsid w:val="00BF6914"/>
    <w:rsid w:val="00C02AAD"/>
    <w:rsid w:val="00C23662"/>
    <w:rsid w:val="00C34D47"/>
    <w:rsid w:val="00C41FD3"/>
    <w:rsid w:val="00C56C54"/>
    <w:rsid w:val="00C655F4"/>
    <w:rsid w:val="00C87C4B"/>
    <w:rsid w:val="00C924ED"/>
    <w:rsid w:val="00CA0B90"/>
    <w:rsid w:val="00CB798A"/>
    <w:rsid w:val="00CC6369"/>
    <w:rsid w:val="00CC7799"/>
    <w:rsid w:val="00CF678E"/>
    <w:rsid w:val="00D01C96"/>
    <w:rsid w:val="00D02654"/>
    <w:rsid w:val="00D17592"/>
    <w:rsid w:val="00D3100C"/>
    <w:rsid w:val="00D37757"/>
    <w:rsid w:val="00D84DFE"/>
    <w:rsid w:val="00D87D4B"/>
    <w:rsid w:val="00D94FCB"/>
    <w:rsid w:val="00D96FF7"/>
    <w:rsid w:val="00DA1B48"/>
    <w:rsid w:val="00DA5EDB"/>
    <w:rsid w:val="00DB2906"/>
    <w:rsid w:val="00DB4329"/>
    <w:rsid w:val="00DC5153"/>
    <w:rsid w:val="00DC7B96"/>
    <w:rsid w:val="00DD0317"/>
    <w:rsid w:val="00DD4BAF"/>
    <w:rsid w:val="00DE0097"/>
    <w:rsid w:val="00E0798E"/>
    <w:rsid w:val="00E12638"/>
    <w:rsid w:val="00E20ACD"/>
    <w:rsid w:val="00E30026"/>
    <w:rsid w:val="00E31A5D"/>
    <w:rsid w:val="00E36985"/>
    <w:rsid w:val="00E41234"/>
    <w:rsid w:val="00E5286E"/>
    <w:rsid w:val="00E641D5"/>
    <w:rsid w:val="00E671FF"/>
    <w:rsid w:val="00E70B14"/>
    <w:rsid w:val="00E72A5C"/>
    <w:rsid w:val="00E74841"/>
    <w:rsid w:val="00E838A5"/>
    <w:rsid w:val="00E903A3"/>
    <w:rsid w:val="00E91856"/>
    <w:rsid w:val="00E9782F"/>
    <w:rsid w:val="00EB22FC"/>
    <w:rsid w:val="00EC40F4"/>
    <w:rsid w:val="00EC6116"/>
    <w:rsid w:val="00ED426E"/>
    <w:rsid w:val="00EE371D"/>
    <w:rsid w:val="00EE7AD6"/>
    <w:rsid w:val="00F12D46"/>
    <w:rsid w:val="00F22946"/>
    <w:rsid w:val="00F22CA3"/>
    <w:rsid w:val="00F42A78"/>
    <w:rsid w:val="00F432B1"/>
    <w:rsid w:val="00F440E8"/>
    <w:rsid w:val="00F44AF8"/>
    <w:rsid w:val="00F5158A"/>
    <w:rsid w:val="00F676A9"/>
    <w:rsid w:val="00F710B4"/>
    <w:rsid w:val="00F73273"/>
    <w:rsid w:val="00F80A31"/>
    <w:rsid w:val="00F8699B"/>
    <w:rsid w:val="00FB6D60"/>
    <w:rsid w:val="00FC3C12"/>
    <w:rsid w:val="00FC50D1"/>
    <w:rsid w:val="00FD0AED"/>
    <w:rsid w:val="00FD1C53"/>
    <w:rsid w:val="00FD4AA0"/>
    <w:rsid w:val="00FD6B17"/>
    <w:rsid w:val="00FE2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6A4AED"/>
  <w15:chartTrackingRefBased/>
  <w15:docId w15:val="{F182DC1D-B9E4-4A6F-A69F-DA459DF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48"/>
    <w:pPr>
      <w:keepNext/>
      <w:keepLines/>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DA1B48"/>
    <w:pPr>
      <w:keepNext/>
      <w:keepLines/>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8417EB"/>
    <w:pPr>
      <w:keepNext/>
      <w:keepLines/>
      <w:spacing w:before="40" w:after="0"/>
      <w:jc w:val="both"/>
      <w:outlineLvl w:val="2"/>
    </w:pPr>
    <w:rPr>
      <w:rFonts w:ascii="Garamond" w:eastAsiaTheme="majorEastAsia" w:hAnsi="Garamond"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46"/>
    <w:pPr>
      <w:ind w:left="720"/>
      <w:contextualSpacing/>
    </w:pPr>
  </w:style>
  <w:style w:type="table" w:styleId="TableGrid">
    <w:name w:val="Table Grid"/>
    <w:basedOn w:val="TableNormal"/>
    <w:uiPriority w:val="39"/>
    <w:rsid w:val="00F4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40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485121"/>
    <w:pPr>
      <w:spacing w:after="200" w:line="240" w:lineRule="auto"/>
      <w:jc w:val="both"/>
    </w:pPr>
    <w:rPr>
      <w:rFonts w:ascii="Garamond" w:hAnsi="Garamond"/>
      <w:i/>
      <w:iCs/>
      <w:color w:val="44546A" w:themeColor="text2"/>
      <w:sz w:val="18"/>
      <w:szCs w:val="18"/>
    </w:rPr>
  </w:style>
  <w:style w:type="character" w:customStyle="1" w:styleId="Heading3Char">
    <w:name w:val="Heading 3 Char"/>
    <w:basedOn w:val="DefaultParagraphFont"/>
    <w:link w:val="Heading3"/>
    <w:uiPriority w:val="9"/>
    <w:rsid w:val="008417EB"/>
    <w:rPr>
      <w:rFonts w:ascii="Garamond" w:eastAsiaTheme="majorEastAsia" w:hAnsi="Garamond" w:cstheme="majorBidi"/>
      <w:b/>
      <w:i/>
      <w:sz w:val="24"/>
      <w:szCs w:val="24"/>
    </w:rPr>
  </w:style>
  <w:style w:type="character" w:customStyle="1" w:styleId="Heading1Char">
    <w:name w:val="Heading 1 Char"/>
    <w:basedOn w:val="DefaultParagraphFont"/>
    <w:link w:val="Heading1"/>
    <w:uiPriority w:val="9"/>
    <w:rsid w:val="00DA1B4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DA1B48"/>
    <w:rPr>
      <w:rFonts w:ascii="Garamond" w:eastAsiaTheme="majorEastAsia" w:hAnsi="Garamond" w:cstheme="majorBidi"/>
      <w:b/>
      <w:sz w:val="26"/>
      <w:szCs w:val="26"/>
    </w:rPr>
  </w:style>
  <w:style w:type="paragraph" w:styleId="Header">
    <w:name w:val="header"/>
    <w:basedOn w:val="Normal"/>
    <w:link w:val="HeaderChar"/>
    <w:uiPriority w:val="99"/>
    <w:unhideWhenUsed/>
    <w:rsid w:val="00AE2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AE0"/>
  </w:style>
  <w:style w:type="paragraph" w:styleId="Footer">
    <w:name w:val="footer"/>
    <w:basedOn w:val="Normal"/>
    <w:link w:val="FooterChar"/>
    <w:uiPriority w:val="99"/>
    <w:unhideWhenUsed/>
    <w:rsid w:val="00AE2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AE0"/>
  </w:style>
  <w:style w:type="character" w:styleId="Hyperlink">
    <w:name w:val="Hyperlink"/>
    <w:basedOn w:val="DefaultParagraphFont"/>
    <w:uiPriority w:val="99"/>
    <w:unhideWhenUsed/>
    <w:rsid w:val="00550152"/>
    <w:rPr>
      <w:color w:val="0563C1"/>
      <w:u w:val="single"/>
    </w:rPr>
  </w:style>
  <w:style w:type="paragraph" w:customStyle="1" w:styleId="EndNoteBibliographyTitle">
    <w:name w:val="EndNote Bibliography Title"/>
    <w:basedOn w:val="Normal"/>
    <w:link w:val="EndNoteBibliographyTitleChar"/>
    <w:rsid w:val="004B71C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B71CF"/>
    <w:rPr>
      <w:rFonts w:ascii="Calibri" w:hAnsi="Calibri" w:cs="Calibri"/>
      <w:noProof/>
      <w:lang w:val="en-US"/>
    </w:rPr>
  </w:style>
  <w:style w:type="paragraph" w:customStyle="1" w:styleId="EndNoteBibliography">
    <w:name w:val="EndNote Bibliography"/>
    <w:basedOn w:val="Normal"/>
    <w:link w:val="EndNoteBibliographyChar"/>
    <w:rsid w:val="004B71C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B71CF"/>
    <w:rPr>
      <w:rFonts w:ascii="Calibri" w:hAnsi="Calibri" w:cs="Calibri"/>
      <w:noProof/>
      <w:lang w:val="en-US"/>
    </w:rPr>
  </w:style>
  <w:style w:type="character" w:styleId="PlaceholderText">
    <w:name w:val="Placeholder Text"/>
    <w:basedOn w:val="DefaultParagraphFont"/>
    <w:uiPriority w:val="99"/>
    <w:semiHidden/>
    <w:rsid w:val="00E903A3"/>
    <w:rPr>
      <w:color w:val="808080"/>
    </w:rPr>
  </w:style>
  <w:style w:type="numbering" w:customStyle="1" w:styleId="NoList1">
    <w:name w:val="No List1"/>
    <w:next w:val="NoList"/>
    <w:uiPriority w:val="99"/>
    <w:semiHidden/>
    <w:unhideWhenUsed/>
    <w:rsid w:val="00D3100C"/>
  </w:style>
  <w:style w:type="table" w:customStyle="1" w:styleId="TableGrid1">
    <w:name w:val="Table Grid1"/>
    <w:basedOn w:val="TableNormal"/>
    <w:next w:val="TableGrid"/>
    <w:uiPriority w:val="39"/>
    <w:rsid w:val="00D3100C"/>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int/en/handbook" TargetMode="External"/><Relationship Id="rId13" Type="http://schemas.openxmlformats.org/officeDocument/2006/relationships/hyperlink" Target="https://www.worldbank.org/en/publication/gfdr/data/global-financial-development-database"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atabank.worldbank.org/source/worldwide-governance-indicators"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bank.worldbank.org/source/world-development-indicators"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http://www.themix.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teresources.worldbank.org/DEC/Resources/ResponseToKnackLangbein.pdf" TargetMode="External"/><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sf</c:v>
                </c:pt>
              </c:strCache>
            </c:strRef>
          </c:tx>
          <c:spPr>
            <a:solidFill>
              <a:sysClr val="windowText" lastClr="000000"/>
            </a:solidFill>
            <a:ln>
              <a:noFill/>
            </a:ln>
            <a:effectLst/>
          </c:spPr>
          <c:invertIfNegative val="0"/>
          <c:cat>
            <c:strRef>
              <c:f>Sheet1!$B$1:$G$1</c:f>
              <c:strCache>
                <c:ptCount val="6"/>
                <c:pt idx="0">
                  <c:v>Bank</c:v>
                </c:pt>
                <c:pt idx="1">
                  <c:v>Credit Un</c:v>
                </c:pt>
                <c:pt idx="2">
                  <c:v>NBFI        </c:v>
                </c:pt>
                <c:pt idx="3">
                  <c:v>NGO</c:v>
                </c:pt>
                <c:pt idx="4">
                  <c:v>Other</c:v>
                </c:pt>
                <c:pt idx="5">
                  <c:v>Rural Bank</c:v>
                </c:pt>
              </c:strCache>
            </c:strRef>
          </c:cat>
          <c:val>
            <c:numRef>
              <c:f>Sheet1!$B$2:$G$2</c:f>
              <c:numCache>
                <c:formatCode>0.00%</c:formatCode>
                <c:ptCount val="6"/>
                <c:pt idx="0">
                  <c:v>0.1263</c:v>
                </c:pt>
                <c:pt idx="1">
                  <c:v>0.40189999999999998</c:v>
                </c:pt>
                <c:pt idx="2">
                  <c:v>0.29330000000000001</c:v>
                </c:pt>
                <c:pt idx="3">
                  <c:v>0.1242</c:v>
                </c:pt>
                <c:pt idx="4">
                  <c:v>0</c:v>
                </c:pt>
                <c:pt idx="5">
                  <c:v>5.4300000000000001E-2</c:v>
                </c:pt>
              </c:numCache>
            </c:numRef>
          </c:val>
          <c:extLst>
            <c:ext xmlns:c16="http://schemas.microsoft.com/office/drawing/2014/chart" uri="{C3380CC4-5D6E-409C-BE32-E72D297353CC}">
              <c16:uniqueId val="{00000000-26A4-42B9-A3A6-7FF93ACC5360}"/>
            </c:ext>
          </c:extLst>
        </c:ser>
        <c:ser>
          <c:idx val="1"/>
          <c:order val="1"/>
          <c:tx>
            <c:strRef>
              <c:f>Sheet1!$A$3</c:f>
              <c:strCache>
                <c:ptCount val="1"/>
                <c:pt idx="0">
                  <c:v>ff</c:v>
                </c:pt>
              </c:strCache>
            </c:strRef>
          </c:tx>
          <c:spPr>
            <a:pattFill prst="wdDnDiag">
              <a:fgClr>
                <a:sysClr val="windowText" lastClr="000000"/>
              </a:fgClr>
              <a:bgClr>
                <a:schemeClr val="bg1"/>
              </a:bgClr>
            </a:pattFill>
            <a:ln>
              <a:noFill/>
            </a:ln>
            <a:effectLst/>
          </c:spPr>
          <c:invertIfNegative val="0"/>
          <c:cat>
            <c:strRef>
              <c:f>Sheet1!$B$1:$G$1</c:f>
              <c:strCache>
                <c:ptCount val="6"/>
                <c:pt idx="0">
                  <c:v>Bank</c:v>
                </c:pt>
                <c:pt idx="1">
                  <c:v>Credit Un</c:v>
                </c:pt>
                <c:pt idx="2">
                  <c:v>NBFI        </c:v>
                </c:pt>
                <c:pt idx="3">
                  <c:v>NGO</c:v>
                </c:pt>
                <c:pt idx="4">
                  <c:v>Other</c:v>
                </c:pt>
                <c:pt idx="5">
                  <c:v>Rural Bank</c:v>
                </c:pt>
              </c:strCache>
            </c:strRef>
          </c:cat>
          <c:val>
            <c:numRef>
              <c:f>Sheet1!$B$3:$G$3</c:f>
              <c:numCache>
                <c:formatCode>0.00%</c:formatCode>
                <c:ptCount val="6"/>
                <c:pt idx="0">
                  <c:v>7.6999999999999999E-2</c:v>
                </c:pt>
                <c:pt idx="1">
                  <c:v>0.47460000000000002</c:v>
                </c:pt>
                <c:pt idx="2">
                  <c:v>0.30049999999999999</c:v>
                </c:pt>
                <c:pt idx="3">
                  <c:v>0.13869999999999999</c:v>
                </c:pt>
                <c:pt idx="4">
                  <c:v>7.7000000000000002E-3</c:v>
                </c:pt>
                <c:pt idx="5">
                  <c:v>1.5E-3</c:v>
                </c:pt>
              </c:numCache>
            </c:numRef>
          </c:val>
          <c:extLst>
            <c:ext xmlns:c16="http://schemas.microsoft.com/office/drawing/2014/chart" uri="{C3380CC4-5D6E-409C-BE32-E72D297353CC}">
              <c16:uniqueId val="{00000001-26A4-42B9-A3A6-7FF93ACC5360}"/>
            </c:ext>
          </c:extLst>
        </c:ser>
        <c:ser>
          <c:idx val="2"/>
          <c:order val="2"/>
          <c:tx>
            <c:strRef>
              <c:f>Sheet1!$A$4</c:f>
              <c:strCache>
                <c:ptCount val="1"/>
                <c:pt idx="0">
                  <c:v>fs</c:v>
                </c:pt>
              </c:strCache>
            </c:strRef>
          </c:tx>
          <c:spPr>
            <a:solidFill>
              <a:schemeClr val="accent3"/>
            </a:solidFill>
            <a:ln>
              <a:noFill/>
            </a:ln>
            <a:effectLst/>
          </c:spPr>
          <c:invertIfNegative val="0"/>
          <c:cat>
            <c:strRef>
              <c:f>Sheet1!$B$1:$G$1</c:f>
              <c:strCache>
                <c:ptCount val="6"/>
                <c:pt idx="0">
                  <c:v>Bank</c:v>
                </c:pt>
                <c:pt idx="1">
                  <c:v>Credit Un</c:v>
                </c:pt>
                <c:pt idx="2">
                  <c:v>NBFI        </c:v>
                </c:pt>
                <c:pt idx="3">
                  <c:v>NGO</c:v>
                </c:pt>
                <c:pt idx="4">
                  <c:v>Other</c:v>
                </c:pt>
                <c:pt idx="5">
                  <c:v>Rural Bank</c:v>
                </c:pt>
              </c:strCache>
            </c:strRef>
          </c:cat>
          <c:val>
            <c:numRef>
              <c:f>Sheet1!$B$4:$G$4</c:f>
              <c:numCache>
                <c:formatCode>0.00%</c:formatCode>
                <c:ptCount val="6"/>
                <c:pt idx="0">
                  <c:v>6.6500000000000004E-2</c:v>
                </c:pt>
                <c:pt idx="1">
                  <c:v>0.20130000000000001</c:v>
                </c:pt>
                <c:pt idx="2">
                  <c:v>0.30509999999999998</c:v>
                </c:pt>
                <c:pt idx="3">
                  <c:v>0.41710000000000003</c:v>
                </c:pt>
                <c:pt idx="4">
                  <c:v>7.3000000000000001E-3</c:v>
                </c:pt>
                <c:pt idx="5">
                  <c:v>2.7000000000000001E-3</c:v>
                </c:pt>
              </c:numCache>
            </c:numRef>
          </c:val>
          <c:extLst>
            <c:ext xmlns:c16="http://schemas.microsoft.com/office/drawing/2014/chart" uri="{C3380CC4-5D6E-409C-BE32-E72D297353CC}">
              <c16:uniqueId val="{00000002-26A4-42B9-A3A6-7FF93ACC5360}"/>
            </c:ext>
          </c:extLst>
        </c:ser>
        <c:ser>
          <c:idx val="3"/>
          <c:order val="3"/>
          <c:tx>
            <c:strRef>
              <c:f>Sheet1!$A$5</c:f>
              <c:strCache>
                <c:ptCount val="1"/>
                <c:pt idx="0">
                  <c:v>ss</c:v>
                </c:pt>
              </c:strCache>
            </c:strRef>
          </c:tx>
          <c:spPr>
            <a:pattFill prst="trellis">
              <a:fgClr>
                <a:sysClr val="windowText" lastClr="000000"/>
              </a:fgClr>
              <a:bgClr>
                <a:schemeClr val="bg1"/>
              </a:bgClr>
            </a:pattFill>
            <a:ln>
              <a:noFill/>
            </a:ln>
            <a:effectLst/>
          </c:spPr>
          <c:invertIfNegative val="0"/>
          <c:cat>
            <c:strRef>
              <c:f>Sheet1!$B$1:$G$1</c:f>
              <c:strCache>
                <c:ptCount val="6"/>
                <c:pt idx="0">
                  <c:v>Bank</c:v>
                </c:pt>
                <c:pt idx="1">
                  <c:v>Credit Un</c:v>
                </c:pt>
                <c:pt idx="2">
                  <c:v>NBFI        </c:v>
                </c:pt>
                <c:pt idx="3">
                  <c:v>NGO</c:v>
                </c:pt>
                <c:pt idx="4">
                  <c:v>Other</c:v>
                </c:pt>
                <c:pt idx="5">
                  <c:v>Rural Bank</c:v>
                </c:pt>
              </c:strCache>
            </c:strRef>
          </c:cat>
          <c:val>
            <c:numRef>
              <c:f>Sheet1!$B$5:$G$5</c:f>
              <c:numCache>
                <c:formatCode>0.00%</c:formatCode>
                <c:ptCount val="6"/>
                <c:pt idx="0">
                  <c:v>9.69E-2</c:v>
                </c:pt>
                <c:pt idx="1">
                  <c:v>0.1789</c:v>
                </c:pt>
                <c:pt idx="2">
                  <c:v>0.23200000000000001</c:v>
                </c:pt>
                <c:pt idx="3">
                  <c:v>0.44629999999999997</c:v>
                </c:pt>
                <c:pt idx="4">
                  <c:v>3.5000000000000001E-3</c:v>
                </c:pt>
                <c:pt idx="5">
                  <c:v>4.24E-2</c:v>
                </c:pt>
              </c:numCache>
            </c:numRef>
          </c:val>
          <c:extLst>
            <c:ext xmlns:c16="http://schemas.microsoft.com/office/drawing/2014/chart" uri="{C3380CC4-5D6E-409C-BE32-E72D297353CC}">
              <c16:uniqueId val="{00000003-26A4-42B9-A3A6-7FF93ACC5360}"/>
            </c:ext>
          </c:extLst>
        </c:ser>
        <c:dLbls>
          <c:showLegendKey val="0"/>
          <c:showVal val="0"/>
          <c:showCatName val="0"/>
          <c:showSerName val="0"/>
          <c:showPercent val="0"/>
          <c:showBubbleSize val="0"/>
        </c:dLbls>
        <c:gapWidth val="219"/>
        <c:overlap val="-27"/>
        <c:axId val="-458090944"/>
        <c:axId val="-458088224"/>
      </c:barChart>
      <c:catAx>
        <c:axId val="-45809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8088224"/>
        <c:crosses val="autoZero"/>
        <c:auto val="1"/>
        <c:lblAlgn val="ctr"/>
        <c:lblOffset val="100"/>
        <c:noMultiLvlLbl val="0"/>
      </c:catAx>
      <c:valAx>
        <c:axId val="-4580882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80909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Sheet4!$A$2</c:f>
              <c:strCache>
                <c:ptCount val="1"/>
                <c:pt idx="0">
                  <c:v>ff</c:v>
                </c:pt>
              </c:strCache>
            </c:strRef>
          </c:tx>
          <c:spPr>
            <a:pattFill prst="lgConfetti">
              <a:fgClr>
                <a:sysClr val="windowText" lastClr="000000"/>
              </a:fgClr>
              <a:bgClr>
                <a:schemeClr val="bg1"/>
              </a:bgClr>
            </a:pattFill>
            <a:ln>
              <a:noFill/>
            </a:ln>
            <a:effectLst/>
          </c:spPr>
          <c:invertIfNegative val="0"/>
          <c:cat>
            <c:strRef>
              <c:f>Sheet4!$B$1:$F$1</c:f>
              <c:strCache>
                <c:ptCount val="5"/>
                <c:pt idx="0">
                  <c:v>Central Africa</c:v>
                </c:pt>
                <c:pt idx="1">
                  <c:v>Eastern Africa</c:v>
                </c:pt>
                <c:pt idx="2">
                  <c:v>North Africa</c:v>
                </c:pt>
                <c:pt idx="3">
                  <c:v>Southern Africa</c:v>
                </c:pt>
                <c:pt idx="4">
                  <c:v>West Africa</c:v>
                </c:pt>
              </c:strCache>
            </c:strRef>
          </c:cat>
          <c:val>
            <c:numRef>
              <c:f>Sheet4!$B$2:$F$2</c:f>
              <c:numCache>
                <c:formatCode>0.00%</c:formatCode>
                <c:ptCount val="5"/>
                <c:pt idx="0">
                  <c:v>0.24179999999999999</c:v>
                </c:pt>
                <c:pt idx="1">
                  <c:v>0.1464</c:v>
                </c:pt>
                <c:pt idx="2">
                  <c:v>4.7600000000000003E-2</c:v>
                </c:pt>
                <c:pt idx="3">
                  <c:v>0.1293</c:v>
                </c:pt>
                <c:pt idx="4">
                  <c:v>0.16880000000000001</c:v>
                </c:pt>
              </c:numCache>
            </c:numRef>
          </c:val>
          <c:extLst>
            <c:ext xmlns:c16="http://schemas.microsoft.com/office/drawing/2014/chart" uri="{C3380CC4-5D6E-409C-BE32-E72D297353CC}">
              <c16:uniqueId val="{00000000-CCA9-43A7-9C79-0C1F332FD232}"/>
            </c:ext>
          </c:extLst>
        </c:ser>
        <c:ser>
          <c:idx val="1"/>
          <c:order val="1"/>
          <c:tx>
            <c:strRef>
              <c:f>Sheet4!$A$3</c:f>
              <c:strCache>
                <c:ptCount val="1"/>
                <c:pt idx="0">
                  <c:v>fs</c:v>
                </c:pt>
              </c:strCache>
            </c:strRef>
          </c:tx>
          <c:spPr>
            <a:pattFill prst="wdUpDiag">
              <a:fgClr>
                <a:sysClr val="windowText" lastClr="000000"/>
              </a:fgClr>
              <a:bgClr>
                <a:schemeClr val="bg1"/>
              </a:bgClr>
            </a:pattFill>
            <a:ln>
              <a:noFill/>
            </a:ln>
            <a:effectLst/>
          </c:spPr>
          <c:invertIfNegative val="0"/>
          <c:cat>
            <c:strRef>
              <c:f>Sheet4!$B$1:$F$1</c:f>
              <c:strCache>
                <c:ptCount val="5"/>
                <c:pt idx="0">
                  <c:v>Central Africa</c:v>
                </c:pt>
                <c:pt idx="1">
                  <c:v>Eastern Africa</c:v>
                </c:pt>
                <c:pt idx="2">
                  <c:v>North Africa</c:v>
                </c:pt>
                <c:pt idx="3">
                  <c:v>Southern Africa</c:v>
                </c:pt>
                <c:pt idx="4">
                  <c:v>West Africa</c:v>
                </c:pt>
              </c:strCache>
            </c:strRef>
          </c:cat>
          <c:val>
            <c:numRef>
              <c:f>Sheet4!$B$3:$F$3</c:f>
              <c:numCache>
                <c:formatCode>0.00%</c:formatCode>
                <c:ptCount val="5"/>
                <c:pt idx="0">
                  <c:v>0.1956</c:v>
                </c:pt>
                <c:pt idx="1">
                  <c:v>0.2409</c:v>
                </c:pt>
                <c:pt idx="2">
                  <c:v>0.1492</c:v>
                </c:pt>
                <c:pt idx="3">
                  <c:v>0.496</c:v>
                </c:pt>
                <c:pt idx="4">
                  <c:v>0.27350000000000002</c:v>
                </c:pt>
              </c:numCache>
            </c:numRef>
          </c:val>
          <c:extLst>
            <c:ext xmlns:c16="http://schemas.microsoft.com/office/drawing/2014/chart" uri="{C3380CC4-5D6E-409C-BE32-E72D297353CC}">
              <c16:uniqueId val="{00000001-CCA9-43A7-9C79-0C1F332FD232}"/>
            </c:ext>
          </c:extLst>
        </c:ser>
        <c:ser>
          <c:idx val="2"/>
          <c:order val="2"/>
          <c:tx>
            <c:strRef>
              <c:f>Sheet4!$A$4</c:f>
              <c:strCache>
                <c:ptCount val="1"/>
                <c:pt idx="0">
                  <c:v>sf</c:v>
                </c:pt>
              </c:strCache>
            </c:strRef>
          </c:tx>
          <c:spPr>
            <a:solidFill>
              <a:schemeClr val="accent3"/>
            </a:solidFill>
            <a:ln>
              <a:noFill/>
            </a:ln>
            <a:effectLst/>
          </c:spPr>
          <c:invertIfNegative val="0"/>
          <c:cat>
            <c:strRef>
              <c:f>Sheet4!$B$1:$F$1</c:f>
              <c:strCache>
                <c:ptCount val="5"/>
                <c:pt idx="0">
                  <c:v>Central Africa</c:v>
                </c:pt>
                <c:pt idx="1">
                  <c:v>Eastern Africa</c:v>
                </c:pt>
                <c:pt idx="2">
                  <c:v>North Africa</c:v>
                </c:pt>
                <c:pt idx="3">
                  <c:v>Southern Africa</c:v>
                </c:pt>
                <c:pt idx="4">
                  <c:v>West Africa</c:v>
                </c:pt>
              </c:strCache>
            </c:strRef>
          </c:cat>
          <c:val>
            <c:numRef>
              <c:f>Sheet4!$B$4:$F$4</c:f>
              <c:numCache>
                <c:formatCode>0.00%</c:formatCode>
                <c:ptCount val="5"/>
                <c:pt idx="0">
                  <c:v>0.36259999999999998</c:v>
                </c:pt>
                <c:pt idx="1">
                  <c:v>0.2868</c:v>
                </c:pt>
                <c:pt idx="2">
                  <c:v>0.16189999999999999</c:v>
                </c:pt>
                <c:pt idx="3">
                  <c:v>0.12139999999999999</c:v>
                </c:pt>
                <c:pt idx="4">
                  <c:v>0.2</c:v>
                </c:pt>
              </c:numCache>
            </c:numRef>
          </c:val>
          <c:extLst>
            <c:ext xmlns:c16="http://schemas.microsoft.com/office/drawing/2014/chart" uri="{C3380CC4-5D6E-409C-BE32-E72D297353CC}">
              <c16:uniqueId val="{00000002-CCA9-43A7-9C79-0C1F332FD232}"/>
            </c:ext>
          </c:extLst>
        </c:ser>
        <c:ser>
          <c:idx val="3"/>
          <c:order val="3"/>
          <c:tx>
            <c:strRef>
              <c:f>Sheet4!$A$5</c:f>
              <c:strCache>
                <c:ptCount val="1"/>
                <c:pt idx="0">
                  <c:v>ss</c:v>
                </c:pt>
              </c:strCache>
            </c:strRef>
          </c:tx>
          <c:spPr>
            <a:solidFill>
              <a:schemeClr val="tx1"/>
            </a:solidFill>
            <a:ln>
              <a:noFill/>
            </a:ln>
            <a:effectLst/>
          </c:spPr>
          <c:invertIfNegative val="0"/>
          <c:cat>
            <c:strRef>
              <c:f>Sheet4!$B$1:$F$1</c:f>
              <c:strCache>
                <c:ptCount val="5"/>
                <c:pt idx="0">
                  <c:v>Central Africa</c:v>
                </c:pt>
                <c:pt idx="1">
                  <c:v>Eastern Africa</c:v>
                </c:pt>
                <c:pt idx="2">
                  <c:v>North Africa</c:v>
                </c:pt>
                <c:pt idx="3">
                  <c:v>Southern Africa</c:v>
                </c:pt>
                <c:pt idx="4">
                  <c:v>West Africa</c:v>
                </c:pt>
              </c:strCache>
            </c:strRef>
          </c:cat>
          <c:val>
            <c:numRef>
              <c:f>Sheet4!$B$5:$F$5</c:f>
              <c:numCache>
                <c:formatCode>0.00%</c:formatCode>
                <c:ptCount val="5"/>
                <c:pt idx="0">
                  <c:v>0.2</c:v>
                </c:pt>
                <c:pt idx="1">
                  <c:v>0.32600000000000001</c:v>
                </c:pt>
                <c:pt idx="2">
                  <c:v>0.64129999999999998</c:v>
                </c:pt>
                <c:pt idx="3">
                  <c:v>0.25330000000000003</c:v>
                </c:pt>
                <c:pt idx="4">
                  <c:v>0.35770000000000002</c:v>
                </c:pt>
              </c:numCache>
            </c:numRef>
          </c:val>
          <c:extLst>
            <c:ext xmlns:c16="http://schemas.microsoft.com/office/drawing/2014/chart" uri="{C3380CC4-5D6E-409C-BE32-E72D297353CC}">
              <c16:uniqueId val="{00000003-CCA9-43A7-9C79-0C1F332FD232}"/>
            </c:ext>
          </c:extLst>
        </c:ser>
        <c:dLbls>
          <c:showLegendKey val="0"/>
          <c:showVal val="0"/>
          <c:showCatName val="0"/>
          <c:showSerName val="0"/>
          <c:showPercent val="0"/>
          <c:showBubbleSize val="0"/>
        </c:dLbls>
        <c:gapWidth val="150"/>
        <c:overlap val="100"/>
        <c:axId val="-458106176"/>
        <c:axId val="-458113248"/>
      </c:barChart>
      <c:catAx>
        <c:axId val="-45810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113248"/>
        <c:crosses val="autoZero"/>
        <c:auto val="1"/>
        <c:lblAlgn val="ctr"/>
        <c:lblOffset val="100"/>
        <c:noMultiLvlLbl val="0"/>
      </c:catAx>
      <c:valAx>
        <c:axId val="-458113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106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Sheet3!$B$1</c:f>
              <c:strCache>
                <c:ptCount val="1"/>
                <c:pt idx="0">
                  <c:v>Civil Law        </c:v>
                </c:pt>
              </c:strCache>
            </c:strRef>
          </c:tx>
          <c:spPr>
            <a:solidFill>
              <a:sysClr val="windowText" lastClr="000000"/>
            </a:solidFill>
            <a:ln>
              <a:noFill/>
            </a:ln>
            <a:effectLst/>
          </c:spPr>
          <c:invertIfNegative val="0"/>
          <c:cat>
            <c:strRef>
              <c:f>Sheet3!$A$2:$A$5</c:f>
              <c:strCache>
                <c:ptCount val="4"/>
                <c:pt idx="0">
                  <c:v>ff</c:v>
                </c:pt>
                <c:pt idx="1">
                  <c:v>fs</c:v>
                </c:pt>
                <c:pt idx="2">
                  <c:v>sf</c:v>
                </c:pt>
                <c:pt idx="3">
                  <c:v>ss</c:v>
                </c:pt>
              </c:strCache>
            </c:strRef>
          </c:cat>
          <c:val>
            <c:numRef>
              <c:f>Sheet3!$B$2:$B$5</c:f>
              <c:numCache>
                <c:formatCode>0.00%</c:formatCode>
                <c:ptCount val="4"/>
                <c:pt idx="0">
                  <c:v>0.58550000000000002</c:v>
                </c:pt>
                <c:pt idx="1">
                  <c:v>0.38519999999999999</c:v>
                </c:pt>
                <c:pt idx="2">
                  <c:v>0.43630000000000002</c:v>
                </c:pt>
                <c:pt idx="3">
                  <c:v>0.35149999999999998</c:v>
                </c:pt>
              </c:numCache>
            </c:numRef>
          </c:val>
          <c:extLst>
            <c:ext xmlns:c16="http://schemas.microsoft.com/office/drawing/2014/chart" uri="{C3380CC4-5D6E-409C-BE32-E72D297353CC}">
              <c16:uniqueId val="{00000000-319C-4252-B67D-9A4A10BAD127}"/>
            </c:ext>
          </c:extLst>
        </c:ser>
        <c:ser>
          <c:idx val="1"/>
          <c:order val="1"/>
          <c:tx>
            <c:strRef>
              <c:f>Sheet3!$C$1</c:f>
              <c:strCache>
                <c:ptCount val="1"/>
                <c:pt idx="0">
                  <c:v>Common Law</c:v>
                </c:pt>
              </c:strCache>
            </c:strRef>
          </c:tx>
          <c:spPr>
            <a:pattFill prst="wdUpDiag">
              <a:fgClr>
                <a:sysClr val="windowText" lastClr="000000"/>
              </a:fgClr>
              <a:bgClr>
                <a:schemeClr val="bg1"/>
              </a:bgClr>
            </a:pattFill>
            <a:ln>
              <a:noFill/>
            </a:ln>
            <a:effectLst/>
          </c:spPr>
          <c:invertIfNegative val="0"/>
          <c:cat>
            <c:strRef>
              <c:f>Sheet3!$A$2:$A$5</c:f>
              <c:strCache>
                <c:ptCount val="4"/>
                <c:pt idx="0">
                  <c:v>ff</c:v>
                </c:pt>
                <c:pt idx="1">
                  <c:v>fs</c:v>
                </c:pt>
                <c:pt idx="2">
                  <c:v>sf</c:v>
                </c:pt>
                <c:pt idx="3">
                  <c:v>ss</c:v>
                </c:pt>
              </c:strCache>
            </c:strRef>
          </c:cat>
          <c:val>
            <c:numRef>
              <c:f>Sheet3!$C$2:$C$5</c:f>
              <c:numCache>
                <c:formatCode>0.00%</c:formatCode>
                <c:ptCount val="4"/>
                <c:pt idx="0">
                  <c:v>0.19719999999999999</c:v>
                </c:pt>
                <c:pt idx="1">
                  <c:v>0.43990000000000001</c:v>
                </c:pt>
                <c:pt idx="2">
                  <c:v>0.31419999999999998</c:v>
                </c:pt>
                <c:pt idx="3">
                  <c:v>0.43140000000000001</c:v>
                </c:pt>
              </c:numCache>
            </c:numRef>
          </c:val>
          <c:extLst>
            <c:ext xmlns:c16="http://schemas.microsoft.com/office/drawing/2014/chart" uri="{C3380CC4-5D6E-409C-BE32-E72D297353CC}">
              <c16:uniqueId val="{00000001-319C-4252-B67D-9A4A10BAD127}"/>
            </c:ext>
          </c:extLst>
        </c:ser>
        <c:ser>
          <c:idx val="2"/>
          <c:order val="2"/>
          <c:tx>
            <c:strRef>
              <c:f>Sheet3!$D$1</c:f>
              <c:strCache>
                <c:ptCount val="1"/>
                <c:pt idx="0">
                  <c:v>Others</c:v>
                </c:pt>
              </c:strCache>
            </c:strRef>
          </c:tx>
          <c:spPr>
            <a:solidFill>
              <a:schemeClr val="accent3"/>
            </a:solidFill>
            <a:ln>
              <a:noFill/>
            </a:ln>
            <a:effectLst/>
          </c:spPr>
          <c:invertIfNegative val="0"/>
          <c:cat>
            <c:strRef>
              <c:f>Sheet3!$A$2:$A$5</c:f>
              <c:strCache>
                <c:ptCount val="4"/>
                <c:pt idx="0">
                  <c:v>ff</c:v>
                </c:pt>
                <c:pt idx="1">
                  <c:v>fs</c:v>
                </c:pt>
                <c:pt idx="2">
                  <c:v>sf</c:v>
                </c:pt>
                <c:pt idx="3">
                  <c:v>ss</c:v>
                </c:pt>
              </c:strCache>
            </c:strRef>
          </c:cat>
          <c:val>
            <c:numRef>
              <c:f>Sheet3!$D$2:$D$5</c:f>
              <c:numCache>
                <c:formatCode>0.00%</c:formatCode>
                <c:ptCount val="4"/>
                <c:pt idx="0">
                  <c:v>0.21729999999999999</c:v>
                </c:pt>
                <c:pt idx="1">
                  <c:v>0.1749</c:v>
                </c:pt>
                <c:pt idx="2">
                  <c:v>0.2495</c:v>
                </c:pt>
                <c:pt idx="3">
                  <c:v>0.21709999999999999</c:v>
                </c:pt>
              </c:numCache>
            </c:numRef>
          </c:val>
          <c:extLst>
            <c:ext xmlns:c16="http://schemas.microsoft.com/office/drawing/2014/chart" uri="{C3380CC4-5D6E-409C-BE32-E72D297353CC}">
              <c16:uniqueId val="{00000002-319C-4252-B67D-9A4A10BAD127}"/>
            </c:ext>
          </c:extLst>
        </c:ser>
        <c:dLbls>
          <c:showLegendKey val="0"/>
          <c:showVal val="0"/>
          <c:showCatName val="0"/>
          <c:showSerName val="0"/>
          <c:showPercent val="0"/>
          <c:showBubbleSize val="0"/>
        </c:dLbls>
        <c:gapWidth val="150"/>
        <c:overlap val="100"/>
        <c:axId val="-458118144"/>
        <c:axId val="-458114336"/>
      </c:barChart>
      <c:catAx>
        <c:axId val="-45811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114336"/>
        <c:crosses val="autoZero"/>
        <c:auto val="1"/>
        <c:lblAlgn val="ctr"/>
        <c:lblOffset val="100"/>
        <c:noMultiLvlLbl val="0"/>
      </c:catAx>
      <c:valAx>
        <c:axId val="-458114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118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78CB80-A294-4986-B106-5C3A6529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6541</TotalTime>
  <Pages>23</Pages>
  <Words>7939</Words>
  <Characters>45257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karuitha</dc:creator>
  <cp:keywords/>
  <dc:description/>
  <cp:lastModifiedBy>John Karuitha</cp:lastModifiedBy>
  <cp:revision>366</cp:revision>
  <dcterms:created xsi:type="dcterms:W3CDTF">2019-08-19T13:26:00Z</dcterms:created>
  <dcterms:modified xsi:type="dcterms:W3CDTF">2020-10-22T11:01:00Z</dcterms:modified>
</cp:coreProperties>
</file>