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883EB" w14:textId="4F54460C" w:rsidR="00433706" w:rsidRPr="00D92C39" w:rsidRDefault="00433706" w:rsidP="00433706">
      <w:pPr>
        <w:pStyle w:val="Heading1"/>
        <w:rPr>
          <w:rFonts w:ascii="Garamond" w:hAnsi="Garamond"/>
        </w:rPr>
      </w:pPr>
      <w:r w:rsidRPr="00D92C39">
        <w:rPr>
          <w:rFonts w:ascii="Garamond" w:hAnsi="Garamond"/>
        </w:rPr>
        <w:t xml:space="preserve">TRANSFORMATION OF </w:t>
      </w:r>
      <w:r w:rsidR="00A710E0" w:rsidRPr="00D92C39">
        <w:rPr>
          <w:rFonts w:ascii="Garamond" w:hAnsi="Garamond"/>
        </w:rPr>
        <w:t>MICRO-FINANCE</w:t>
      </w:r>
      <w:r w:rsidRPr="00D92C39">
        <w:rPr>
          <w:rFonts w:ascii="Garamond" w:hAnsi="Garamond"/>
        </w:rPr>
        <w:t xml:space="preserve"> INSTITUTIONS IN AFRICA</w:t>
      </w:r>
    </w:p>
    <w:p w14:paraId="4FF9B180" w14:textId="77777777" w:rsidR="00433706" w:rsidRPr="00D92C39" w:rsidRDefault="00433706" w:rsidP="00433706"/>
    <w:p w14:paraId="391B6141" w14:textId="2C01500C" w:rsidR="00433706" w:rsidRPr="00D92C39" w:rsidRDefault="00596FB2" w:rsidP="00433706">
      <w:pPr>
        <w:jc w:val="center"/>
        <w:rPr>
          <w:szCs w:val="24"/>
        </w:rPr>
      </w:pPr>
      <w:r w:rsidRPr="00D92C39">
        <w:rPr>
          <w:szCs w:val="24"/>
        </w:rPr>
        <w:t>John Karuitha</w:t>
      </w:r>
      <w:r w:rsidR="003452A0">
        <w:rPr>
          <w:szCs w:val="24"/>
        </w:rPr>
        <w:t xml:space="preserve"> </w:t>
      </w:r>
      <w:r w:rsidR="007A53DF" w:rsidRPr="00D92C39">
        <w:rPr>
          <w:szCs w:val="24"/>
          <w:vertAlign w:val="superscript"/>
        </w:rPr>
        <w:t>a</w:t>
      </w:r>
      <w:r w:rsidR="003452A0" w:rsidRPr="00D92C39">
        <w:rPr>
          <w:szCs w:val="24"/>
          <w:vertAlign w:val="superscript"/>
        </w:rPr>
        <w:t>, b</w:t>
      </w:r>
      <w:r w:rsidR="00D51496">
        <w:rPr>
          <w:szCs w:val="24"/>
          <w:vertAlign w:val="superscript"/>
        </w:rPr>
        <w:t>, c</w:t>
      </w:r>
      <w:r w:rsidRPr="00D92C39">
        <w:rPr>
          <w:szCs w:val="24"/>
        </w:rPr>
        <w:t xml:space="preserve"> and Kalu Ojah</w:t>
      </w:r>
      <w:r w:rsidR="003452A0">
        <w:rPr>
          <w:szCs w:val="24"/>
        </w:rPr>
        <w:t xml:space="preserve"> </w:t>
      </w:r>
      <w:proofErr w:type="gramStart"/>
      <w:r w:rsidR="007A53DF" w:rsidRPr="00D92C39">
        <w:rPr>
          <w:szCs w:val="24"/>
          <w:vertAlign w:val="superscript"/>
        </w:rPr>
        <w:t>a</w:t>
      </w:r>
      <w:r w:rsidR="004E394C">
        <w:rPr>
          <w:szCs w:val="24"/>
          <w:vertAlign w:val="superscript"/>
        </w:rPr>
        <w:t>,*</w:t>
      </w:r>
      <w:proofErr w:type="gramEnd"/>
      <w:r w:rsidR="007954F9" w:rsidRPr="00D92C39">
        <w:rPr>
          <w:szCs w:val="24"/>
        </w:rPr>
        <w:t xml:space="preserve"> </w:t>
      </w:r>
    </w:p>
    <w:p w14:paraId="6A6EC7B6" w14:textId="77777777" w:rsidR="00433706" w:rsidRPr="00D92C39" w:rsidRDefault="00433706" w:rsidP="00433706">
      <w:pPr>
        <w:jc w:val="center"/>
        <w:rPr>
          <w:szCs w:val="24"/>
        </w:rPr>
      </w:pPr>
    </w:p>
    <w:p w14:paraId="36F08DCC" w14:textId="77777777" w:rsidR="00433706" w:rsidRPr="00D92C39" w:rsidRDefault="00433706" w:rsidP="00433706">
      <w:pPr>
        <w:jc w:val="center"/>
        <w:rPr>
          <w:b/>
          <w:szCs w:val="24"/>
        </w:rPr>
      </w:pPr>
      <w:r w:rsidRPr="00D92C39">
        <w:rPr>
          <w:b/>
          <w:szCs w:val="24"/>
        </w:rPr>
        <w:t>ABSTRACT</w:t>
      </w:r>
    </w:p>
    <w:p w14:paraId="75C25CBB" w14:textId="77777777" w:rsidR="00B06BBC" w:rsidRDefault="006501C2" w:rsidP="00ED327E">
      <w:pPr>
        <w:spacing w:line="360" w:lineRule="auto"/>
        <w:rPr>
          <w:szCs w:val="24"/>
        </w:rPr>
      </w:pPr>
      <w:r w:rsidRPr="00D92C39">
        <w:rPr>
          <w:szCs w:val="24"/>
        </w:rPr>
        <w:t>M</w:t>
      </w:r>
      <w:r w:rsidR="00433706" w:rsidRPr="00D92C39">
        <w:rPr>
          <w:szCs w:val="24"/>
        </w:rPr>
        <w:t xml:space="preserve">icrofinance institutions </w:t>
      </w:r>
      <w:r w:rsidR="0037792C" w:rsidRPr="00D92C39">
        <w:rPr>
          <w:szCs w:val="24"/>
        </w:rPr>
        <w:t xml:space="preserve">(MFIs) have </w:t>
      </w:r>
      <w:r w:rsidRPr="00D92C39">
        <w:rPr>
          <w:szCs w:val="24"/>
        </w:rPr>
        <w:t xml:space="preserve">commonly </w:t>
      </w:r>
      <w:r w:rsidR="00433706" w:rsidRPr="00D92C39">
        <w:rPr>
          <w:szCs w:val="24"/>
        </w:rPr>
        <w:t>operate</w:t>
      </w:r>
      <w:r w:rsidR="0037792C" w:rsidRPr="00D92C39">
        <w:rPr>
          <w:szCs w:val="24"/>
        </w:rPr>
        <w:t>d</w:t>
      </w:r>
      <w:r w:rsidR="00433706" w:rsidRPr="00D92C39">
        <w:rPr>
          <w:szCs w:val="24"/>
        </w:rPr>
        <w:t xml:space="preserve"> as non-governmental organisations (NGOs) extending </w:t>
      </w:r>
    </w:p>
    <w:p w14:paraId="457CAE8A" w14:textId="51C460CC" w:rsidR="00433706" w:rsidRPr="00D92C39" w:rsidRDefault="00433706" w:rsidP="00ED327E">
      <w:pPr>
        <w:spacing w:line="360" w:lineRule="auto"/>
        <w:rPr>
          <w:szCs w:val="24"/>
        </w:rPr>
      </w:pPr>
      <w:r w:rsidRPr="00D92C39">
        <w:rPr>
          <w:szCs w:val="24"/>
        </w:rPr>
        <w:t xml:space="preserve">financial services to the poor without emphasising profits. However, the trend is the </w:t>
      </w:r>
      <w:r w:rsidR="007168E2" w:rsidRPr="00D92C39">
        <w:rPr>
          <w:szCs w:val="24"/>
        </w:rPr>
        <w:t>conversion</w:t>
      </w:r>
      <w:r w:rsidRPr="00D92C39">
        <w:rPr>
          <w:szCs w:val="24"/>
        </w:rPr>
        <w:t xml:space="preserve"> of </w:t>
      </w:r>
      <w:r w:rsidR="006501C2" w:rsidRPr="00D92C39">
        <w:rPr>
          <w:szCs w:val="24"/>
        </w:rPr>
        <w:t xml:space="preserve">these </w:t>
      </w:r>
      <w:r w:rsidRPr="00D92C39">
        <w:rPr>
          <w:szCs w:val="24"/>
        </w:rPr>
        <w:t xml:space="preserve">NGOs </w:t>
      </w:r>
      <w:r w:rsidR="00E35E8F" w:rsidRPr="00D92C39">
        <w:rPr>
          <w:szCs w:val="24"/>
        </w:rPr>
        <w:t xml:space="preserve">to commercial or </w:t>
      </w:r>
      <w:r w:rsidR="006501C2" w:rsidRPr="00D92C39">
        <w:rPr>
          <w:szCs w:val="24"/>
        </w:rPr>
        <w:t>hybrid firms</w:t>
      </w:r>
      <w:r w:rsidRPr="00D92C39">
        <w:rPr>
          <w:szCs w:val="24"/>
        </w:rPr>
        <w:t xml:space="preserve"> </w:t>
      </w:r>
      <w:r w:rsidR="00405CDE" w:rsidRPr="00D92C39">
        <w:rPr>
          <w:szCs w:val="24"/>
        </w:rPr>
        <w:t>that</w:t>
      </w:r>
      <w:r w:rsidRPr="00D92C39">
        <w:rPr>
          <w:szCs w:val="24"/>
        </w:rPr>
        <w:t xml:space="preserve"> stress both </w:t>
      </w:r>
      <w:r w:rsidR="002C4BB4">
        <w:rPr>
          <w:szCs w:val="24"/>
        </w:rPr>
        <w:t>financial return</w:t>
      </w:r>
      <w:r w:rsidRPr="00D92C39">
        <w:rPr>
          <w:szCs w:val="24"/>
        </w:rPr>
        <w:t xml:space="preserve"> and outreach. We examine the drivers of the transformation of MFIs in Africa using</w:t>
      </w:r>
      <w:r w:rsidR="003060CB" w:rsidRPr="00D92C39">
        <w:rPr>
          <w:szCs w:val="24"/>
        </w:rPr>
        <w:t xml:space="preserve"> </w:t>
      </w:r>
      <w:r w:rsidR="008664AA" w:rsidRPr="00D92C39">
        <w:rPr>
          <w:szCs w:val="24"/>
        </w:rPr>
        <w:t xml:space="preserve">a </w:t>
      </w:r>
      <w:r w:rsidR="001C3718" w:rsidRPr="00D92C39">
        <w:rPr>
          <w:szCs w:val="24"/>
        </w:rPr>
        <w:t xml:space="preserve">panel </w:t>
      </w:r>
      <w:r w:rsidRPr="00D92C39">
        <w:rPr>
          <w:szCs w:val="24"/>
        </w:rPr>
        <w:t>data</w:t>
      </w:r>
      <w:r w:rsidR="001C3718" w:rsidRPr="00D92C39">
        <w:rPr>
          <w:szCs w:val="24"/>
        </w:rPr>
        <w:t>set</w:t>
      </w:r>
      <w:r w:rsidR="008D1E1C" w:rsidRPr="00D92C39">
        <w:rPr>
          <w:szCs w:val="24"/>
        </w:rPr>
        <w:t xml:space="preserve"> </w:t>
      </w:r>
      <w:r w:rsidR="00513A58">
        <w:rPr>
          <w:szCs w:val="24"/>
        </w:rPr>
        <w:t>of</w:t>
      </w:r>
      <w:r w:rsidR="008D1E1C" w:rsidRPr="00D92C39">
        <w:rPr>
          <w:szCs w:val="24"/>
        </w:rPr>
        <w:t xml:space="preserve"> 705</w:t>
      </w:r>
      <w:r w:rsidRPr="00D92C39">
        <w:rPr>
          <w:szCs w:val="24"/>
        </w:rPr>
        <w:t xml:space="preserve"> MFIs</w:t>
      </w:r>
      <w:r w:rsidR="00EF0CB2" w:rsidRPr="00D92C39">
        <w:rPr>
          <w:szCs w:val="24"/>
        </w:rPr>
        <w:t>. A</w:t>
      </w:r>
      <w:r w:rsidR="001C3718" w:rsidRPr="00D92C39">
        <w:rPr>
          <w:szCs w:val="24"/>
        </w:rPr>
        <w:t xml:space="preserve">t the firm level, </w:t>
      </w:r>
      <w:r w:rsidR="00405CDE" w:rsidRPr="00D92C39">
        <w:rPr>
          <w:szCs w:val="24"/>
        </w:rPr>
        <w:t xml:space="preserve">the </w:t>
      </w:r>
      <w:r w:rsidR="0083791D" w:rsidRPr="00D92C39">
        <w:rPr>
          <w:szCs w:val="24"/>
        </w:rPr>
        <w:t xml:space="preserve">age and size of </w:t>
      </w:r>
      <w:r w:rsidR="001C3718" w:rsidRPr="00D92C39">
        <w:rPr>
          <w:szCs w:val="24"/>
        </w:rPr>
        <w:t>MFI</w:t>
      </w:r>
      <w:r w:rsidR="0083791D" w:rsidRPr="00D92C39">
        <w:rPr>
          <w:szCs w:val="24"/>
        </w:rPr>
        <w:t>s</w:t>
      </w:r>
      <w:r w:rsidR="00D8624E">
        <w:rPr>
          <w:szCs w:val="24"/>
        </w:rPr>
        <w:t xml:space="preserve"> influence</w:t>
      </w:r>
      <w:r w:rsidR="001C3718" w:rsidRPr="00D92C39">
        <w:rPr>
          <w:szCs w:val="24"/>
        </w:rPr>
        <w:t xml:space="preserve"> the conversion</w:t>
      </w:r>
      <w:r w:rsidR="00EF0CB2" w:rsidRPr="00D92C39">
        <w:rPr>
          <w:szCs w:val="24"/>
        </w:rPr>
        <w:t xml:space="preserve"> while a</w:t>
      </w:r>
      <w:r w:rsidR="001C3718" w:rsidRPr="00D92C39">
        <w:rPr>
          <w:szCs w:val="24"/>
        </w:rPr>
        <w:t>t the macro-level,</w:t>
      </w:r>
      <w:r w:rsidR="00A37AC2" w:rsidRPr="00D92C39">
        <w:rPr>
          <w:szCs w:val="24"/>
        </w:rPr>
        <w:t xml:space="preserve"> </w:t>
      </w:r>
      <w:r w:rsidR="00E7022C">
        <w:rPr>
          <w:szCs w:val="24"/>
        </w:rPr>
        <w:t xml:space="preserve">financial development, </w:t>
      </w:r>
      <w:r w:rsidR="0083791D" w:rsidRPr="00D92C39">
        <w:rPr>
          <w:szCs w:val="24"/>
        </w:rPr>
        <w:t xml:space="preserve">legal </w:t>
      </w:r>
      <w:proofErr w:type="gramStart"/>
      <w:r w:rsidR="0083791D" w:rsidRPr="00D92C39">
        <w:rPr>
          <w:szCs w:val="24"/>
        </w:rPr>
        <w:t>tradition</w:t>
      </w:r>
      <w:proofErr w:type="gramEnd"/>
      <w:r w:rsidRPr="00D92C39">
        <w:rPr>
          <w:szCs w:val="24"/>
        </w:rPr>
        <w:t xml:space="preserve"> </w:t>
      </w:r>
      <w:r w:rsidR="001C3718" w:rsidRPr="00D92C39">
        <w:rPr>
          <w:szCs w:val="24"/>
        </w:rPr>
        <w:t xml:space="preserve">and </w:t>
      </w:r>
      <w:r w:rsidR="00813968" w:rsidRPr="00D92C39">
        <w:rPr>
          <w:szCs w:val="24"/>
        </w:rPr>
        <w:t>institutional quality</w:t>
      </w:r>
      <w:r w:rsidR="00A37AC2" w:rsidRPr="00D92C39">
        <w:rPr>
          <w:szCs w:val="24"/>
        </w:rPr>
        <w:t xml:space="preserve"> </w:t>
      </w:r>
      <w:r w:rsidR="00B15ACB" w:rsidRPr="00D92C39">
        <w:rPr>
          <w:szCs w:val="24"/>
        </w:rPr>
        <w:t>matter</w:t>
      </w:r>
      <w:r w:rsidR="00405CDE" w:rsidRPr="00D92C39">
        <w:rPr>
          <w:szCs w:val="24"/>
        </w:rPr>
        <w:t xml:space="preserve">, </w:t>
      </w:r>
      <w:r w:rsidRPr="00D92C39">
        <w:rPr>
          <w:szCs w:val="24"/>
        </w:rPr>
        <w:t xml:space="preserve">with </w:t>
      </w:r>
      <w:r w:rsidR="006E4837" w:rsidRPr="00D92C39">
        <w:rPr>
          <w:szCs w:val="24"/>
        </w:rPr>
        <w:t>siz</w:t>
      </w:r>
      <w:r w:rsidR="00F6729E" w:rsidRPr="00D92C39">
        <w:rPr>
          <w:szCs w:val="24"/>
        </w:rPr>
        <w:t>e</w:t>
      </w:r>
      <w:r w:rsidR="006E4837" w:rsidRPr="00D92C39">
        <w:rPr>
          <w:szCs w:val="24"/>
        </w:rPr>
        <w:t>able</w:t>
      </w:r>
      <w:r w:rsidRPr="00D92C39">
        <w:rPr>
          <w:szCs w:val="24"/>
        </w:rPr>
        <w:t xml:space="preserve"> regional variations</w:t>
      </w:r>
      <w:r w:rsidR="008664AA" w:rsidRPr="00D92C39">
        <w:rPr>
          <w:szCs w:val="24"/>
        </w:rPr>
        <w:t xml:space="preserve">. </w:t>
      </w:r>
      <w:r w:rsidR="00597D71">
        <w:rPr>
          <w:szCs w:val="24"/>
        </w:rPr>
        <w:t xml:space="preserve">The variables also interact in </w:t>
      </w:r>
      <w:r w:rsidR="00D8624E">
        <w:rPr>
          <w:szCs w:val="24"/>
        </w:rPr>
        <w:t>shaping</w:t>
      </w:r>
      <w:r w:rsidR="00597D71">
        <w:rPr>
          <w:szCs w:val="24"/>
        </w:rPr>
        <w:t xml:space="preserve"> the odds of transformation. </w:t>
      </w:r>
      <w:r w:rsidR="00EF0CB2" w:rsidRPr="00D92C39">
        <w:rPr>
          <w:szCs w:val="24"/>
        </w:rPr>
        <w:t>The results have implications for policy development for sustainable MFIs for financial inclusion.</w:t>
      </w:r>
    </w:p>
    <w:p w14:paraId="0DE16465" w14:textId="77777777" w:rsidR="00433706" w:rsidRDefault="00433706" w:rsidP="00930FE5">
      <w:pPr>
        <w:pStyle w:val="Heading1"/>
      </w:pPr>
    </w:p>
    <w:p w14:paraId="1AD53004" w14:textId="77777777" w:rsidR="00433706" w:rsidRDefault="00433706" w:rsidP="00930FE5">
      <w:pPr>
        <w:pStyle w:val="Heading1"/>
      </w:pPr>
    </w:p>
    <w:p w14:paraId="7F9FBB34" w14:textId="77777777" w:rsidR="00433706" w:rsidRDefault="00433706" w:rsidP="00930FE5">
      <w:pPr>
        <w:pStyle w:val="Heading1"/>
      </w:pPr>
    </w:p>
    <w:p w14:paraId="2DDDAB1C" w14:textId="77777777" w:rsidR="00433706" w:rsidRDefault="00433706" w:rsidP="00930FE5">
      <w:pPr>
        <w:pStyle w:val="Heading1"/>
      </w:pPr>
    </w:p>
    <w:p w14:paraId="2BFA1655" w14:textId="77777777" w:rsidR="00433706" w:rsidRDefault="00433706" w:rsidP="00930FE5">
      <w:pPr>
        <w:pStyle w:val="Heading1"/>
      </w:pPr>
    </w:p>
    <w:p w14:paraId="34378775" w14:textId="77777777" w:rsidR="00433706" w:rsidRDefault="00433706" w:rsidP="00930FE5">
      <w:pPr>
        <w:pStyle w:val="Heading1"/>
      </w:pPr>
    </w:p>
    <w:p w14:paraId="5B40BF65" w14:textId="77777777" w:rsidR="00433706" w:rsidRDefault="00433706" w:rsidP="00433706"/>
    <w:p w14:paraId="5DFB68AC" w14:textId="77777777" w:rsidR="00433706" w:rsidRDefault="00433706" w:rsidP="00433706"/>
    <w:p w14:paraId="10EB664E" w14:textId="77777777" w:rsidR="00433706" w:rsidRDefault="00433706" w:rsidP="00433706"/>
    <w:p w14:paraId="31C06D51" w14:textId="77777777" w:rsidR="00433706" w:rsidRDefault="00433706" w:rsidP="00433706"/>
    <w:p w14:paraId="4137A363" w14:textId="77777777" w:rsidR="00057874" w:rsidRPr="00057874" w:rsidRDefault="00057874" w:rsidP="00057874"/>
    <w:p w14:paraId="42F7E9D4" w14:textId="6957D23D" w:rsidR="00FB30D9" w:rsidRPr="00D92C39" w:rsidRDefault="00FB30D9" w:rsidP="00FB30D9">
      <w:pPr>
        <w:pStyle w:val="Footer"/>
        <w:rPr>
          <w:sz w:val="20"/>
          <w:szCs w:val="20"/>
        </w:rPr>
      </w:pPr>
      <w:r w:rsidRPr="00D92C39">
        <w:rPr>
          <w:sz w:val="20"/>
          <w:szCs w:val="20"/>
        </w:rPr>
        <w:t>a Graduate School of Business Administration (Wits Business School), University of the Witwatersrand, Johannesburg, 2</w:t>
      </w:r>
      <w:r w:rsidRPr="00D92C39">
        <w:rPr>
          <w:sz w:val="20"/>
          <w:szCs w:val="20"/>
          <w:vertAlign w:val="superscript"/>
        </w:rPr>
        <w:t>nd</w:t>
      </w:r>
      <w:r w:rsidRPr="00D92C39">
        <w:rPr>
          <w:sz w:val="20"/>
          <w:szCs w:val="20"/>
        </w:rPr>
        <w:t xml:space="preserve"> St David</w:t>
      </w:r>
      <w:r w:rsidR="00920F60">
        <w:rPr>
          <w:sz w:val="20"/>
          <w:szCs w:val="20"/>
        </w:rPr>
        <w:t>'</w:t>
      </w:r>
      <w:r w:rsidRPr="00D92C39">
        <w:rPr>
          <w:sz w:val="20"/>
          <w:szCs w:val="20"/>
        </w:rPr>
        <w:t xml:space="preserve">s Place, Parktown, Johannesburg 2050, South Africa. </w:t>
      </w:r>
      <w:hyperlink r:id="rId8" w:history="1">
        <w:r w:rsidRPr="00D92C39">
          <w:rPr>
            <w:rStyle w:val="Hyperlink"/>
            <w:sz w:val="20"/>
            <w:szCs w:val="20"/>
          </w:rPr>
          <w:t>www.wbs.ac.za</w:t>
        </w:r>
      </w:hyperlink>
    </w:p>
    <w:p w14:paraId="3BD24B33" w14:textId="2CA6603C" w:rsidR="00FB30D9" w:rsidRDefault="00FB30D9" w:rsidP="00FB30D9">
      <w:pPr>
        <w:pStyle w:val="Footer"/>
        <w:rPr>
          <w:rStyle w:val="Hyperlink"/>
          <w:sz w:val="20"/>
          <w:szCs w:val="20"/>
        </w:rPr>
      </w:pPr>
      <w:r w:rsidRPr="00D92C39">
        <w:rPr>
          <w:sz w:val="20"/>
          <w:szCs w:val="20"/>
        </w:rPr>
        <w:t xml:space="preserve">b Karatina University, School of Business, P.O. Box 1957, Karatina, 10101, Kenya. </w:t>
      </w:r>
      <w:hyperlink r:id="rId9" w:history="1">
        <w:r w:rsidR="00D51496" w:rsidRPr="00C27958">
          <w:rPr>
            <w:rStyle w:val="Hyperlink"/>
            <w:sz w:val="20"/>
            <w:szCs w:val="20"/>
          </w:rPr>
          <w:t>www.karu.ac.ke</w:t>
        </w:r>
      </w:hyperlink>
    </w:p>
    <w:p w14:paraId="6B96B1C4" w14:textId="1873AEED" w:rsidR="00D51496" w:rsidRDefault="00D51496" w:rsidP="00FB30D9">
      <w:pPr>
        <w:pStyle w:val="Footer"/>
        <w:rPr>
          <w:sz w:val="20"/>
          <w:szCs w:val="20"/>
        </w:rPr>
      </w:pPr>
      <w:r>
        <w:rPr>
          <w:sz w:val="20"/>
          <w:szCs w:val="20"/>
        </w:rPr>
        <w:t xml:space="preserve">c Alliance for Social Research in Africa (ASRA), </w:t>
      </w:r>
    </w:p>
    <w:p w14:paraId="0D9BAD8F" w14:textId="25C75864" w:rsidR="00FB30D9" w:rsidRPr="00D92C39" w:rsidRDefault="00FB30D9" w:rsidP="00FB30D9">
      <w:pPr>
        <w:pStyle w:val="Footer"/>
        <w:rPr>
          <w:sz w:val="20"/>
          <w:szCs w:val="20"/>
        </w:rPr>
      </w:pPr>
      <w:r w:rsidRPr="00D92C39">
        <w:rPr>
          <w:sz w:val="20"/>
          <w:szCs w:val="20"/>
        </w:rPr>
        <w:t xml:space="preserve">* </w:t>
      </w:r>
      <w:r w:rsidRPr="00D92C39">
        <w:rPr>
          <w:b/>
          <w:sz w:val="20"/>
          <w:szCs w:val="20"/>
        </w:rPr>
        <w:t>Corresponding Author</w:t>
      </w:r>
      <w:r w:rsidRPr="00D92C39">
        <w:rPr>
          <w:sz w:val="20"/>
          <w:szCs w:val="20"/>
        </w:rPr>
        <w:t>, Email: kalu.ojah@wits.ac.za</w:t>
      </w:r>
    </w:p>
    <w:p w14:paraId="681FAEFD" w14:textId="77777777" w:rsidR="00433706" w:rsidRPr="00433706" w:rsidRDefault="00433706" w:rsidP="00433706"/>
    <w:p w14:paraId="21D37E7F" w14:textId="4781134C" w:rsidR="00930FE5" w:rsidRPr="00F23EB9" w:rsidRDefault="000A2BE3" w:rsidP="002F1DF7">
      <w:pPr>
        <w:pStyle w:val="Heading2"/>
      </w:pPr>
      <w:r w:rsidRPr="00F23EB9">
        <w:lastRenderedPageBreak/>
        <w:t>Introduction</w:t>
      </w:r>
    </w:p>
    <w:p w14:paraId="4301E8F0" w14:textId="3C83A8DB" w:rsidR="00A67130" w:rsidRDefault="0049014A" w:rsidP="00CA7BD9">
      <w:pPr>
        <w:spacing w:line="360" w:lineRule="auto"/>
      </w:pPr>
      <w:r>
        <w:t xml:space="preserve">The </w:t>
      </w:r>
      <w:r w:rsidR="00DB45E4">
        <w:t xml:space="preserve">modern </w:t>
      </w:r>
      <w:r w:rsidR="001A6D73">
        <w:t>micro-finance</w:t>
      </w:r>
      <w:r w:rsidR="00C744AC">
        <w:t xml:space="preserve"> (MF)</w:t>
      </w:r>
      <w:r w:rsidR="00DB45E4">
        <w:t xml:space="preserve"> industry dra</w:t>
      </w:r>
      <w:r>
        <w:t>w</w:t>
      </w:r>
      <w:r w:rsidR="00DB45E4">
        <w:t>s</w:t>
      </w:r>
      <w:r>
        <w:t xml:space="preserve"> its popularity from the promise of </w:t>
      </w:r>
      <w:r w:rsidR="008948C5">
        <w:t xml:space="preserve">providing appropriate and affordable financial services to </w:t>
      </w:r>
      <w:r w:rsidR="00FE241D">
        <w:t xml:space="preserve">segments of the </w:t>
      </w:r>
      <w:r w:rsidR="008948C5">
        <w:t xml:space="preserve">population underserved by </w:t>
      </w:r>
      <w:r w:rsidR="00FE241D">
        <w:t>mainstream</w:t>
      </w:r>
      <w:r w:rsidR="008948C5">
        <w:t xml:space="preserve"> financial intermediaries</w:t>
      </w:r>
      <w:r w:rsidR="002D21F3">
        <w:t xml:space="preserve"> </w:t>
      </w:r>
      <w:r w:rsidR="002D21F3">
        <w:fldChar w:fldCharType="begin"/>
      </w:r>
      <w:r w:rsidR="00920F60">
        <w:instrText xml:space="preserve"> ADDIN EN.CITE &lt;EndNote&gt;&lt;Cite&gt;&lt;Author&gt;Morduch&lt;/Author&gt;&lt;Year&gt;1999&lt;/Year&gt;&lt;RecNum&gt;488&lt;/RecNum&gt;&lt;DisplayText&gt;(Morduch, 1999, 2000)&lt;/DisplayText&gt;&lt;record&gt;&lt;rec-number&gt;488&lt;/rec-number&gt;&lt;foreign-keys&gt;&lt;key app="EN" db-id="wds9909saar09se5x9txwfw7ax9wfe2ftrt2" timestamp="1570568999" guid="ec777438-6423-4d6c-a7ff-b9eb6ff51c2c"&gt;488&lt;/key&gt;&lt;/foreign-keys&gt;&lt;ref-type name="Journal Article"&gt;17&lt;/ref-type&gt;&lt;contributors&gt;&lt;authors&gt;&lt;author&gt;Morduch, Jonathan&lt;/author&gt;&lt;/authors&gt;&lt;/contributors&gt;&lt;titles&gt;&lt;title&gt;The microfinance promise&lt;/title&gt;&lt;secondary-title&gt;Journal of Economic Literature&lt;/secondary-title&gt;&lt;/titles&gt;&lt;periodical&gt;&lt;full-title&gt;Journal of Economic Literature&lt;/full-title&gt;&lt;abbr-1&gt;J. Econ. Lit.&lt;/abbr-1&gt;&lt;abbr-2&gt;J Econ Lit&lt;/abbr-2&gt;&lt;/periodical&gt;&lt;pages&gt;1569-1614&lt;/pages&gt;&lt;volume&gt;37&lt;/volume&gt;&lt;number&gt;4&lt;/number&gt;&lt;dates&gt;&lt;year&gt;1999&lt;/year&gt;&lt;/dates&gt;&lt;isbn&gt;0022-0515&lt;/isbn&gt;&lt;urls&gt;&lt;/urls&gt;&lt;/record&gt;&lt;/Cite&gt;&lt;Cite&gt;&lt;Author&gt;Morduch&lt;/Author&gt;&lt;Year&gt;2000&lt;/Year&gt;&lt;RecNum&gt;489&lt;/RecNum&gt;&lt;record&gt;&lt;rec-number&gt;489&lt;/rec-number&gt;&lt;foreign-keys&gt;&lt;key app="EN" db-id="wds9909saar09se5x9txwfw7ax9wfe2ftrt2" timestamp="1570569398" guid="5e692b07-791e-4a03-88cd-ac6f2166939b"&gt;489&lt;/key&gt;&lt;/foreign-keys&gt;&lt;ref-type name="Journal Article"&gt;17&lt;/ref-type&gt;&lt;contributors&gt;&lt;authors&gt;&lt;author&gt;Morduch, Jonathan&lt;/author&gt;&lt;/authors&gt;&lt;/contributors&gt;&lt;titles&gt;&lt;title&gt;The microfinance schism&lt;/title&gt;&lt;secondary-title&gt;World development&lt;/secondary-title&gt;&lt;/titles&gt;&lt;periodical&gt;&lt;full-title&gt;World Development&lt;/full-title&gt;&lt;abbr-1&gt;World Devel.&lt;/abbr-1&gt;&lt;abbr-2&gt;World Devel&lt;/abbr-2&gt;&lt;/periodical&gt;&lt;pages&gt;617-629&lt;/pages&gt;&lt;volume&gt;28&lt;/volume&gt;&lt;number&gt;4&lt;/number&gt;&lt;dates&gt;&lt;year&gt;2000&lt;/year&gt;&lt;/dates&gt;&lt;isbn&gt;0305-750X&lt;/isbn&gt;&lt;urls&gt;&lt;/urls&gt;&lt;/record&gt;&lt;/Cite&gt;&lt;/EndNote&gt;</w:instrText>
      </w:r>
      <w:r w:rsidR="002D21F3">
        <w:fldChar w:fldCharType="separate"/>
      </w:r>
      <w:r w:rsidR="002D21F3">
        <w:rPr>
          <w:noProof/>
        </w:rPr>
        <w:t>(Morduch, 1999, 2000)</w:t>
      </w:r>
      <w:r w:rsidR="002D21F3">
        <w:fldChar w:fldCharType="end"/>
      </w:r>
      <w:r w:rsidR="008948C5">
        <w:t xml:space="preserve">. </w:t>
      </w:r>
      <w:r w:rsidR="00A67130">
        <w:t>The motivation for reaching out to the unbanked draws from researchers and</w:t>
      </w:r>
      <w:r w:rsidR="00085EDD">
        <w:t xml:space="preserve"> development prac</w:t>
      </w:r>
      <w:r w:rsidR="00A67130">
        <w:t>t</w:t>
      </w:r>
      <w:r w:rsidR="00085EDD">
        <w:t>iti</w:t>
      </w:r>
      <w:r w:rsidR="00A67130">
        <w:t>oners view that financial inclusion leads to welfare improvements</w:t>
      </w:r>
      <w:r w:rsidR="00EF0C5F">
        <w:t xml:space="preserve"> for the poor. </w:t>
      </w:r>
      <w:r w:rsidR="00A67130">
        <w:t xml:space="preserve"> </w:t>
      </w:r>
      <w:r w:rsidR="001A2F89">
        <w:t>As examples, they</w:t>
      </w:r>
      <w:r w:rsidR="00EF0C5F">
        <w:t xml:space="preserve"> associate access to finance</w:t>
      </w:r>
      <w:r w:rsidR="00A67130">
        <w:t xml:space="preserve"> to</w:t>
      </w:r>
      <w:r w:rsidR="004C1649">
        <w:t xml:space="preserve"> more business start-ups, </w:t>
      </w:r>
      <w:r w:rsidR="00326388">
        <w:t>high</w:t>
      </w:r>
      <w:r w:rsidR="004C1649">
        <w:t>er savings rate</w:t>
      </w:r>
      <w:r w:rsidR="004C1649" w:rsidRPr="004C1649">
        <w:t xml:space="preserve">, </w:t>
      </w:r>
      <w:r w:rsidR="004C1649">
        <w:t xml:space="preserve">improved </w:t>
      </w:r>
      <w:r w:rsidR="004C1649" w:rsidRPr="004C1649">
        <w:t xml:space="preserve">health, </w:t>
      </w:r>
      <w:r w:rsidR="004C1649">
        <w:t xml:space="preserve">less </w:t>
      </w:r>
      <w:r w:rsidR="004C1649" w:rsidRPr="004C1649">
        <w:t xml:space="preserve">child mortality, </w:t>
      </w:r>
      <w:r w:rsidR="004C1649">
        <w:t xml:space="preserve">and higher </w:t>
      </w:r>
      <w:r w:rsidR="004C1649" w:rsidRPr="004C1649">
        <w:t>education</w:t>
      </w:r>
      <w:r w:rsidR="004C1649">
        <w:t xml:space="preserve"> attainment by the poor</w:t>
      </w:r>
      <w:r w:rsidR="001A2F89">
        <w:t xml:space="preserve">, although other scholars dispute these findings </w:t>
      </w:r>
      <w:r w:rsidR="00FE241D">
        <w:fldChar w:fldCharType="begin">
          <w:fldData xml:space="preserve">PEVuZE5vdGU+PENpdGU+PEF1dGhvcj5LbGFwcGVyPC9BdXRob3I+PFllYXI+MjAxNDwvWWVhcj48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</w:fldData>
        </w:fldChar>
      </w:r>
      <w:r w:rsidR="00920F60">
        <w:instrText xml:space="preserve"> ADDIN EN.CITE </w:instrText>
      </w:r>
      <w:r w:rsidR="00920F60">
        <w:fldChar w:fldCharType="begin">
          <w:fldData xml:space="preserve">PEVuZE5vdGU+PENpdGU+PEF1dGhvcj5LbGFwcGVyPC9BdXRob3I+PFllYXI+MjAxNDwvWWVhcj48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</w:fldData>
        </w:fldChar>
      </w:r>
      <w:r w:rsidR="00920F60">
        <w:instrText xml:space="preserve"> ADDIN EN.CITE.DATA </w:instrText>
      </w:r>
      <w:r w:rsidR="00920F60">
        <w:fldChar w:fldCharType="end"/>
      </w:r>
      <w:r w:rsidR="00FE241D">
        <w:fldChar w:fldCharType="separate"/>
      </w:r>
      <w:r w:rsidR="00920F60">
        <w:rPr>
          <w:noProof/>
        </w:rPr>
        <w:t>(Klapper &amp; Singer, 2014; O’Malley &amp; Burke, 2017; Shahriar &amp; Garg, 2017)</w:t>
      </w:r>
      <w:r w:rsidR="00FE241D">
        <w:fldChar w:fldCharType="end"/>
      </w:r>
      <w:r w:rsidR="000F6B06">
        <w:t xml:space="preserve">. Much of the initial efforts to provide financial services to the unbanked rested on </w:t>
      </w:r>
      <w:r w:rsidR="001A6D73">
        <w:t>Microfinance</w:t>
      </w:r>
      <w:r w:rsidR="000F6B06">
        <w:t>, a term that refers to both the practice of providing appropriate and affordable financial services to the financially excluded and the providers of such services</w:t>
      </w:r>
      <w:r w:rsidR="00FE241D">
        <w:t xml:space="preserve"> </w:t>
      </w:r>
      <w:r w:rsidR="00FE241D">
        <w:fldChar w:fldCharType="begin"/>
      </w:r>
      <w:r w:rsidR="00920F60">
        <w:instrText xml:space="preserve"> ADDIN EN.CITE &lt;EndNote&gt;&lt;Cite&gt;&lt;Author&gt;Ledgerwood&lt;/Author&gt;&lt;Year&gt;2006&lt;/Year&gt;&lt;RecNum&gt;119&lt;/RecNum&gt;&lt;DisplayText&gt;(Ledgerwood &amp;amp; White, 2006)&lt;/DisplayText&gt;&lt;record&gt;&lt;rec-number&gt;119&lt;/rec-number&gt;&lt;foreign-keys&gt;&lt;key app="EN" db-id="wds9909saar09se5x9txwfw7ax9wfe2ftrt2" timestamp="1506515826" guid="93aa6ee4-8d30-4220-a7eb-d8c302fc710f"&gt;119&lt;/key&gt;&lt;/foreign-keys&gt;&lt;ref-type name="Book"&gt;6&lt;/ref-type&gt;&lt;contributors&gt;&lt;authors&gt;&lt;author&gt;Ledgerwood, Joanna&lt;/author&gt;&lt;author&gt;White, Victoria&lt;/author&gt;&lt;/authors&gt;&lt;/contributors&gt;&lt;titles&gt;&lt;title&gt;Transforming microfinance institutions: providing full financial services to the poor&lt;/title&gt;&lt;/titles&gt;&lt;dates&gt;&lt;year&gt;2006&lt;/year&gt;&lt;/dates&gt;&lt;pub-location&gt;New York&lt;/pub-location&gt;&lt;publisher&gt;World Bank Publications&lt;/publisher&gt;&lt;isbn&gt;0821366165&lt;/isbn&gt;&lt;urls&gt;&lt;/urls&gt;&lt;/record&gt;&lt;/Cite&gt;&lt;/EndNote&gt;</w:instrText>
      </w:r>
      <w:r w:rsidR="00FE241D">
        <w:fldChar w:fldCharType="separate"/>
      </w:r>
      <w:r w:rsidR="00FE241D">
        <w:rPr>
          <w:noProof/>
        </w:rPr>
        <w:t>(Ledgerwood &amp; White, 2006)</w:t>
      </w:r>
      <w:r w:rsidR="00FE241D">
        <w:fldChar w:fldCharType="end"/>
      </w:r>
      <w:r w:rsidR="000F6B06">
        <w:t xml:space="preserve">. </w:t>
      </w:r>
    </w:p>
    <w:p w14:paraId="2A9E77D7" w14:textId="08A2C2D2" w:rsidR="007D4414" w:rsidRDefault="00C744AC" w:rsidP="00CA7BD9">
      <w:pPr>
        <w:spacing w:line="360" w:lineRule="auto"/>
      </w:pPr>
      <w:r>
        <w:t>P</w:t>
      </w:r>
      <w:r w:rsidR="000F6B06">
        <w:t>ioneer Microfinance Insti</w:t>
      </w:r>
      <w:r w:rsidR="00326388">
        <w:t>t</w:t>
      </w:r>
      <w:r w:rsidR="000F6B06">
        <w:t>utions (MFIs)</w:t>
      </w:r>
      <w:r w:rsidR="009B0F0A">
        <w:t>,</w:t>
      </w:r>
      <w:r w:rsidR="000F6B06">
        <w:t xml:space="preserve"> </w:t>
      </w:r>
      <w:r w:rsidR="001064A4">
        <w:t>like</w:t>
      </w:r>
      <w:r w:rsidR="000F6B06">
        <w:t xml:space="preserve"> Grameen Bank</w:t>
      </w:r>
      <w:r w:rsidR="009B0F0A">
        <w:t>,</w:t>
      </w:r>
      <w:r w:rsidR="000F6B06">
        <w:t xml:space="preserve"> m</w:t>
      </w:r>
      <w:r w:rsidR="008948C5">
        <w:t>ostly oper</w:t>
      </w:r>
      <w:r w:rsidR="000F6B06">
        <w:t>ated</w:t>
      </w:r>
      <w:r w:rsidR="0049014A">
        <w:t xml:space="preserve"> as </w:t>
      </w:r>
      <w:r w:rsidR="003D1DD0">
        <w:t>Non-Governmental</w:t>
      </w:r>
      <w:r w:rsidR="00C259BD">
        <w:t xml:space="preserve"> Organi</w:t>
      </w:r>
      <w:r w:rsidR="00520BA9">
        <w:t>s</w:t>
      </w:r>
      <w:r w:rsidR="00C259BD">
        <w:t>ations (</w:t>
      </w:r>
      <w:r w:rsidR="0049014A">
        <w:t>NGOs</w:t>
      </w:r>
      <w:r w:rsidR="00C259BD">
        <w:t>)</w:t>
      </w:r>
      <w:r w:rsidR="0049014A">
        <w:t xml:space="preserve"> </w:t>
      </w:r>
      <w:r w:rsidR="000F6B06">
        <w:t xml:space="preserve">and </w:t>
      </w:r>
      <w:r w:rsidR="00DB45E4">
        <w:t>ran</w:t>
      </w:r>
      <w:r w:rsidR="0049014A">
        <w:t xml:space="preserve"> exclusively under the welfare approach, where </w:t>
      </w:r>
      <w:r w:rsidR="00044D46">
        <w:t xml:space="preserve">the </w:t>
      </w:r>
      <w:r w:rsidR="0049014A">
        <w:t>profitability of the institution played second to availing</w:t>
      </w:r>
      <w:r w:rsidR="000F6B06">
        <w:t xml:space="preserve"> financial services</w:t>
      </w:r>
      <w:r w:rsidR="0049014A">
        <w:t xml:space="preserve"> to the poor</w:t>
      </w:r>
      <w:r w:rsidR="00665465">
        <w:t xml:space="preserve"> </w:t>
      </w:r>
      <w:r w:rsidR="00665465">
        <w:fldChar w:fldCharType="begin"/>
      </w:r>
      <w:r w:rsidR="00920F60">
        <w:instrText xml:space="preserve"> ADDIN EN.CITE &lt;EndNote&gt;&lt;Cite&gt;&lt;Author&gt;D’Espallier&lt;/Author&gt;&lt;Year&gt;2017&lt;/Year&gt;&lt;RecNum&gt;104&lt;/RecNum&gt;&lt;DisplayText&gt;(Chahine &amp;amp; Tannir, 2010; D’Espallier, Goedecke, Hudon, &amp;amp; Mersland, 2017)&lt;/DisplayText&gt;&lt;record&gt;&lt;rec-number&gt;104&lt;/rec-number&gt;&lt;foreign-keys&gt;&lt;key app="EN" db-id="wds9909saar09se5x9txwfw7ax9wfe2ftrt2" timestamp="1505984710" guid="da48dbeb-bf0c-47df-a271-17c59af192c5"&gt;104&lt;/key&gt;&lt;/foreign-keys&gt;&lt;ref-type name="Journal Article"&gt;17&lt;/ref-type&gt;&lt;contributors&gt;&lt;authors&gt;&lt;author&gt;D’Espallier, Bert&lt;/author&gt;&lt;author&gt;Goedecke, Jann&lt;/author&gt;&lt;author&gt;Hudon, Marek&lt;/author&gt;&lt;author&gt;Mersland, Roy&lt;/author&gt;&lt;/authors&gt;&lt;/contributors&gt;&lt;titles&gt;&lt;title&gt;From NGOs to banks: Does institutional transformation alter the business model of microfinance institutions?&lt;/title&gt;&lt;secondary-title&gt;World Development&lt;/secondary-title&gt;&lt;/titles&gt;&lt;periodical&gt;&lt;full-title&gt;World Development&lt;/full-title&gt;&lt;abbr-1&gt;World Devel.&lt;/abbr-1&gt;&lt;abbr-2&gt;World Devel&lt;/abbr-2&gt;&lt;/periodical&gt;&lt;pages&gt;19-33&lt;/pages&gt;&lt;volume&gt;89&lt;/volume&gt;&lt;dates&gt;&lt;year&gt;2017&lt;/year&gt;&lt;/dates&gt;&lt;isbn&gt;0305-750X&lt;/isbn&gt;&lt;urls&gt;&lt;/urls&gt;&lt;/record&gt;&lt;/Cite&gt;&lt;Cite&gt;&lt;Author&gt;Chahine&lt;/Author&gt;&lt;Year&gt;2010&lt;/Year&gt;&lt;RecNum&gt;128&lt;/RecNum&gt;&lt;record&gt;&lt;rec-number&gt;128&lt;/rec-number&gt;&lt;foreign-keys&gt;&lt;key app="EN" db-id="wds9909saar09se5x9txwfw7ax9wfe2ftrt2" timestamp="1506678814" guid="cfd84501-251e-478a-8d66-fa40cd24105f"&gt;128&lt;/key&gt;&lt;/foreign-keys&gt;&lt;ref-type name="Journal Article"&gt;17&lt;/ref-type&gt;&lt;contributors&gt;&lt;authors&gt;&lt;author&gt;Chahine, S&lt;/author&gt;&lt;author&gt;Tannir, L&lt;/author&gt;&lt;/authors&gt;&lt;/contributors&gt;&lt;titles&gt;&lt;title&gt;On the social and financial effects of the transformation of microfinance NGOs&lt;/title&gt;&lt;secondary-title&gt;Voluntas: International Journal of Voluntary and Nonprofit Organizations&lt;/secondary-title&gt;&lt;/titles&gt;&lt;pages&gt;440-461&lt;/pages&gt;&lt;volume&gt;21&lt;/volume&gt;&lt;number&gt;3&lt;/number&gt;&lt;dates&gt;&lt;year&gt;2010&lt;/year&gt;&lt;/dates&gt;&lt;isbn&gt;0957-8765&lt;/isbn&gt;&lt;urls&gt;&lt;/urls&gt;&lt;/record&gt;&lt;/Cite&gt;&lt;/EndNote&gt;</w:instrText>
      </w:r>
      <w:r w:rsidR="00665465">
        <w:fldChar w:fldCharType="separate"/>
      </w:r>
      <w:r w:rsidR="00920F60">
        <w:rPr>
          <w:noProof/>
        </w:rPr>
        <w:t>(Chahine &amp; Tannir, 2010; D’Espallier, Goedecke, Hudon, &amp; Mersland, 2017)</w:t>
      </w:r>
      <w:r w:rsidR="00665465">
        <w:fldChar w:fldCharType="end"/>
      </w:r>
      <w:r w:rsidR="0049014A">
        <w:t xml:space="preserve">. </w:t>
      </w:r>
      <w:r w:rsidR="006B6F7C">
        <w:t xml:space="preserve"> </w:t>
      </w:r>
      <w:r w:rsidR="008948C5">
        <w:t xml:space="preserve">However, the paradigm shift is towards the financial systems approach where MFIs operate </w:t>
      </w:r>
      <w:r w:rsidR="000F6B06">
        <w:t xml:space="preserve">under </w:t>
      </w:r>
      <w:r w:rsidR="008948C5">
        <w:t xml:space="preserve">market principles, leading to </w:t>
      </w:r>
      <w:r w:rsidR="007D4414">
        <w:t>charges</w:t>
      </w:r>
      <w:r w:rsidR="008948C5">
        <w:t xml:space="preserve"> of </w:t>
      </w:r>
      <w:r w:rsidR="00920F60">
        <w:t>"</w:t>
      </w:r>
      <w:proofErr w:type="spellStart"/>
      <w:r w:rsidR="008948C5">
        <w:t>financiali</w:t>
      </w:r>
      <w:r w:rsidR="00520BA9">
        <w:t>s</w:t>
      </w:r>
      <w:r w:rsidR="008948C5">
        <w:t>ation</w:t>
      </w:r>
      <w:proofErr w:type="spellEnd"/>
      <w:r w:rsidR="00920F60">
        <w:t>"</w:t>
      </w:r>
      <w:r w:rsidR="008948C5">
        <w:t xml:space="preserve"> of poverty</w:t>
      </w:r>
      <w:r w:rsidR="00665465">
        <w:t xml:space="preserve"> </w:t>
      </w:r>
      <w:r w:rsidR="00665465">
        <w:fldChar w:fldCharType="begin"/>
      </w:r>
      <w:r w:rsidR="00920F60">
        <w:instrText xml:space="preserve"> ADDIN EN.CITE &lt;EndNote&gt;&lt;Cite&gt;&lt;Author&gt;Mader&lt;/Author&gt;&lt;Year&gt;2015&lt;/Year&gt;&lt;RecNum&gt;433&lt;/RecNum&gt;&lt;DisplayText&gt;(Mader, 2015)&lt;/DisplayText&gt;&lt;record&gt;&lt;rec-number&gt;433&lt;/rec-number&gt;&lt;foreign-keys&gt;&lt;key app="EN" db-id="wds9909saar09se5x9txwfw7ax9wfe2ftrt2" timestamp="1541582632" guid="a24d5fd0-50a1-4c93-9e69-a82aac19c919"&gt;433&lt;/key&gt;&lt;/foreign-keys&gt;&lt;ref-type name="Book Section"&gt;5&lt;/ref-type&gt;&lt;contributors&gt;&lt;authors&gt;&lt;author&gt;Mader, Philip&lt;/author&gt;&lt;/authors&gt;&lt;/contributors&gt;&lt;titles&gt;&lt;title&gt;The financialization of poverty&lt;/title&gt;&lt;secondary-title&gt;The Political Economy of Microfinance&lt;/secondary-title&gt;&lt;/titles&gt;&lt;pages&gt;78-120&lt;/pages&gt;&lt;dates&gt;&lt;year&gt;2015&lt;/year&gt;&lt;/dates&gt;&lt;publisher&gt;Springer&lt;/publisher&gt;&lt;urls&gt;&lt;/urls&gt;&lt;/record&gt;&lt;/Cite&gt;&lt;/EndNote&gt;</w:instrText>
      </w:r>
      <w:r w:rsidR="00665465">
        <w:fldChar w:fldCharType="separate"/>
      </w:r>
      <w:r w:rsidR="00665465">
        <w:rPr>
          <w:noProof/>
        </w:rPr>
        <w:t>(Mader, 2015)</w:t>
      </w:r>
      <w:r w:rsidR="00665465">
        <w:fldChar w:fldCharType="end"/>
      </w:r>
      <w:r w:rsidR="008948C5">
        <w:t>.</w:t>
      </w:r>
      <w:r>
        <w:t xml:space="preserve"> </w:t>
      </w:r>
      <w:r w:rsidR="006B6F7C" w:rsidRPr="006B6F7C">
        <w:t xml:space="preserve">The </w:t>
      </w:r>
      <w:r w:rsidR="006B6F7C">
        <w:t>financial systems model</w:t>
      </w:r>
      <w:r w:rsidR="006B6F7C" w:rsidRPr="006B6F7C">
        <w:t xml:space="preserve">, </w:t>
      </w:r>
      <w:r w:rsidR="00EE7C50">
        <w:t>though</w:t>
      </w:r>
      <w:r w:rsidR="006B6F7C" w:rsidRPr="006B6F7C">
        <w:t xml:space="preserve"> more </w:t>
      </w:r>
      <w:r w:rsidR="006B6F7C">
        <w:t xml:space="preserve">financially </w:t>
      </w:r>
      <w:r w:rsidR="00EE7C50">
        <w:t xml:space="preserve">sustainable, is </w:t>
      </w:r>
      <w:r w:rsidR="006B6F7C" w:rsidRPr="006B6F7C">
        <w:t xml:space="preserve">subject to </w:t>
      </w:r>
      <w:r w:rsidR="00920F60">
        <w:t>"</w:t>
      </w:r>
      <w:r w:rsidR="006B6F7C" w:rsidRPr="006B6F7C">
        <w:t>mission drift</w:t>
      </w:r>
      <w:r w:rsidR="009B0F0A">
        <w:t>,</w:t>
      </w:r>
      <w:r w:rsidR="00920F60">
        <w:t>"</w:t>
      </w:r>
      <w:r w:rsidR="006B6F7C" w:rsidRPr="006B6F7C">
        <w:t xml:space="preserve"> where an MFI lessens its commitment to availing financial services to the financially excluded in pursuit of profits</w:t>
      </w:r>
      <w:r w:rsidR="00665465">
        <w:t xml:space="preserve"> </w:t>
      </w:r>
      <w:r w:rsidR="00665465">
        <w:fldChar w:fldCharType="begin"/>
      </w:r>
      <w:r w:rsidR="00920F60">
        <w:instrText xml:space="preserve"> ADDIN EN.CITE &lt;EndNote&gt;&lt;Cite&gt;&lt;Author&gt;Jia&lt;/Author&gt;&lt;Year&gt;2016&lt;/Year&gt;&lt;RecNum&gt;302&lt;/RecNum&gt;&lt;DisplayText&gt;(Jia, Cull, Guo, &amp;amp; Ma, 2016; Mia &amp;amp; Lee, 2017)&lt;/DisplayText&gt;&lt;record&gt;&lt;rec-number&gt;302&lt;/rec-number&gt;&lt;foreign-keys&gt;&lt;key app="EN" db-id="wds9909saar09se5x9txwfw7ax9wfe2ftrt2" timestamp="1515537092" guid="698538fc-2d29-4be5-80d3-3d74553336ec"&gt;302&lt;/key&gt;&lt;/foreign-keys&gt;&lt;ref-type name="Journal Article"&gt;17&lt;/ref-type&gt;&lt;contributors&gt;&lt;authors&gt;&lt;author&gt;Jia, Xiangping&lt;/author&gt;&lt;author&gt;Cull, Robert&lt;/author&gt;&lt;author&gt;Guo, Pei&lt;/author&gt;&lt;author&gt;Ma, Tao&lt;/author&gt;&lt;/authors&gt;&lt;/contributors&gt;&lt;titles&gt;&lt;title&gt;Commercialization and mission drift: Evidence from a large Chinese microfinance institution&lt;/title&gt;&lt;secondary-title&gt;China Economic Review&lt;/secondary-title&gt;&lt;/titles&gt;&lt;periodical&gt;&lt;full-title&gt;China Economic Review&lt;/full-title&gt;&lt;abbr-1&gt;China Econ. Rev.&lt;/abbr-1&gt;&lt;abbr-2&gt;China Econ Rev&lt;/abbr-2&gt;&lt;/periodical&gt;&lt;pages&gt;17-32&lt;/pages&gt;&lt;volume&gt;40&lt;/volume&gt;&lt;dates&gt;&lt;year&gt;2016&lt;/year&gt;&lt;/dates&gt;&lt;isbn&gt;1043-951X&lt;/isbn&gt;&lt;urls&gt;&lt;/urls&gt;&lt;/record&gt;&lt;/Cite&gt;&lt;Cite&gt;&lt;Author&gt;Mia&lt;/Author&gt;&lt;Year&gt;2017&lt;/Year&gt;&lt;RecNum&gt;43&lt;/RecNum&gt;&lt;record&gt;&lt;rec-number&gt;43&lt;/rec-number&gt;&lt;foreign-keys&gt;&lt;key app="EN" db-id="wds9909saar09se5x9txwfw7ax9wfe2ftrt2" timestamp="1502093494" guid="37ae64cd-e73a-4833-ba02-a5f7a4b59335"&gt;43&lt;/key&gt;&lt;/foreign-keys&gt;&lt;ref-type name="Journal Article"&gt;17&lt;/ref-type&gt;&lt;contributors&gt;&lt;authors&gt;&lt;author&gt;Mia, Md Aslam&lt;/author&gt;&lt;author&gt;Lee, Hwok-Aun&lt;/author&gt;&lt;/authors&gt;&lt;/contributors&gt;&lt;titles&gt;&lt;title&gt;Mission drift and ethical crisis in microfinance institutions: What matters?&lt;/title&gt;&lt;secondary-title&gt;Journal of Cleaner Production&lt;/secondary-title&gt;&lt;/titles&gt;&lt;pages&gt;102-114&lt;/pages&gt;&lt;volume&gt;164&lt;/volume&gt;&lt;dates&gt;&lt;year&gt;2017&lt;/year&gt;&lt;/dates&gt;&lt;isbn&gt;0959-6526&lt;/isbn&gt;&lt;urls&gt;&lt;/urls&gt;&lt;/record&gt;&lt;/Cite&gt;&lt;/EndNote&gt;</w:instrText>
      </w:r>
      <w:r w:rsidR="00665465">
        <w:fldChar w:fldCharType="separate"/>
      </w:r>
      <w:r w:rsidR="00665465">
        <w:rPr>
          <w:noProof/>
        </w:rPr>
        <w:t>(Jia, Cull, Guo, &amp; Ma, 2016; Mia &amp; Lee, 2017)</w:t>
      </w:r>
      <w:r w:rsidR="00665465">
        <w:fldChar w:fldCharType="end"/>
      </w:r>
      <w:r w:rsidR="006B6F7C" w:rsidRPr="006B6F7C">
        <w:t xml:space="preserve">. </w:t>
      </w:r>
    </w:p>
    <w:p w14:paraId="183B7CB6" w14:textId="59BCA78E" w:rsidR="0052471E" w:rsidRDefault="007D4414" w:rsidP="00CA7BD9">
      <w:pPr>
        <w:spacing w:line="360" w:lineRule="auto"/>
      </w:pPr>
      <w:r>
        <w:t>However, g</w:t>
      </w:r>
      <w:r w:rsidR="006B6F7C">
        <w:t>iven the soci</w:t>
      </w:r>
      <w:r w:rsidR="00496F6B">
        <w:t>al mission inherent in MF, MFIs</w:t>
      </w:r>
      <w:r w:rsidR="006B6F7C">
        <w:t xml:space="preserve"> following the financial systems approach </w:t>
      </w:r>
      <w:r w:rsidR="00A67130">
        <w:t>risk their</w:t>
      </w:r>
      <w:r w:rsidR="006B6F7C">
        <w:t xml:space="preserve"> legitimacy</w:t>
      </w:r>
      <w:r w:rsidR="00A67130">
        <w:t xml:space="preserve"> in the eyes of society and local and international donor community, a significant source of funding even for </w:t>
      </w:r>
      <w:r w:rsidR="00C744AC">
        <w:t>commercial MFIs</w:t>
      </w:r>
      <w:r w:rsidR="00665465">
        <w:t xml:space="preserve"> </w:t>
      </w:r>
      <w:r w:rsidR="00665465">
        <w:fldChar w:fldCharType="begin"/>
      </w:r>
      <w:r w:rsidR="00920F60">
        <w:instrText xml:space="preserve"> ADDIN EN.CITE &lt;EndNote&gt;&lt;Cite&gt;&lt;Author&gt;Nason&lt;/Author&gt;&lt;Year&gt;2018&lt;/Year&gt;&lt;RecNum&gt;435&lt;/RecNum&gt;&lt;DisplayText&gt;(Nason, Bacq, &amp;amp; Gras, 2018)&lt;/DisplayText&gt;&lt;record&gt;&lt;rec-number&gt;435&lt;/rec-number&gt;&lt;foreign-keys&gt;&lt;key app="EN" db-id="wds9909saar09se5x9txwfw7ax9wfe2ftrt2" timestamp="1541596341" guid="919fed23-c30f-4d97-bdf9-97c2ef952700"&gt;435&lt;/key&gt;&lt;/foreign-keys&gt;&lt;ref-type name="Journal Article"&gt;17&lt;/ref-type&gt;&lt;contributors&gt;&lt;authors&gt;&lt;author&gt;Nason, Robert S&lt;/author&gt;&lt;author&gt;Bacq, Sophie&lt;/author&gt;&lt;author&gt;Gras, David&lt;/author&gt;&lt;/authors&gt;&lt;/contributors&gt;&lt;titles&gt;&lt;title&gt;A Behavioral Theory of Social Performance: Social Identity and Stakeholder Expectations&lt;/title&gt;&lt;secondary-title&gt;Academy of Management Review&lt;/secondary-title&gt;&lt;/titles&gt;&lt;pages&gt;259-283&lt;/pages&gt;&lt;volume&gt;43&lt;/volume&gt;&lt;number&gt;2&lt;/number&gt;&lt;dates&gt;&lt;year&gt;2018&lt;/year&gt;&lt;/dates&gt;&lt;isbn&gt;0363-7425&lt;/isbn&gt;&lt;urls&gt;&lt;/urls&gt;&lt;/record&gt;&lt;/Cite&gt;&lt;/EndNote&gt;</w:instrText>
      </w:r>
      <w:r w:rsidR="00665465">
        <w:fldChar w:fldCharType="separate"/>
      </w:r>
      <w:r w:rsidR="00665465">
        <w:rPr>
          <w:noProof/>
        </w:rPr>
        <w:t>(Nason, Bacq, &amp; Gras, 2018)</w:t>
      </w:r>
      <w:r w:rsidR="00665465">
        <w:fldChar w:fldCharType="end"/>
      </w:r>
      <w:r w:rsidR="006B6F7C">
        <w:t xml:space="preserve">. </w:t>
      </w:r>
      <w:r w:rsidR="00C744AC">
        <w:t>On the other hand, t</w:t>
      </w:r>
      <w:r w:rsidR="006B6F7C">
        <w:t>he NGO model</w:t>
      </w:r>
      <w:r w:rsidR="006B6F7C" w:rsidRPr="006B6F7C">
        <w:t>, though no</w:t>
      </w:r>
      <w:r w:rsidR="006B6F7C">
        <w:t xml:space="preserve">t subject to mission drift, is </w:t>
      </w:r>
      <w:r w:rsidR="006B6F7C" w:rsidRPr="006B6F7C">
        <w:t>over-reliant on volatile international donor funds and governmen</w:t>
      </w:r>
      <w:r w:rsidR="006B6F7C">
        <w:t>t subsidies</w:t>
      </w:r>
      <w:r w:rsidR="00665465">
        <w:t xml:space="preserve"> </w:t>
      </w:r>
      <w:r w:rsidR="00665465">
        <w:fldChar w:fldCharType="begin"/>
      </w:r>
      <w:r w:rsidR="00920F60">
        <w:instrText xml:space="preserve"> ADDIN EN.CITE &lt;EndNote&gt;&lt;Cite&gt;&lt;Author&gt;Garmaise&lt;/Author&gt;&lt;Year&gt;2013&lt;/Year&gt;&lt;RecNum&gt;18&lt;/RecNum&gt;&lt;DisplayText&gt;(Garmaise &amp;amp; Natividad, 2013; D’Espallier, Hudon, &amp;amp; Szafarz, 2017)&lt;/DisplayText&gt;&lt;record&gt;&lt;rec-number&gt;18&lt;/rec-number&gt;&lt;foreign-keys&gt;&lt;key app="EN" db-id="wds9909saar09se5x9txwfw7ax9wfe2ftrt2" timestamp="1501162236" guid="3ac97285-4671-4f00-af67-eff31a480647"&gt;18&lt;/key&gt;&lt;/foreign-keys&gt;&lt;ref-type name="Journal Article"&gt;17&lt;/ref-type&gt;&lt;contributors&gt;&lt;authors&gt;&lt;author&gt;Garmaise, Mark J&lt;/author&gt;&lt;author&gt;Natividad, Gabriel&lt;/author&gt;&lt;/authors&gt;&lt;/contributors&gt;&lt;titles&gt;&lt;title&gt;Cheap credit, lending operations, and international politics: The case of global microfinance&lt;/title&gt;&lt;secondary-title&gt;The Journal of Finance&lt;/secondary-title&gt;&lt;/titles&gt;&lt;periodical&gt;&lt;full-title&gt;The Journal of finance&lt;/full-title&gt;&lt;/periodical&gt;&lt;pages&gt;1551-1576&lt;/pages&gt;&lt;volume&gt;68&lt;/volume&gt;&lt;number&gt;4&lt;/number&gt;&lt;dates&gt;&lt;year&gt;2013&lt;/year&gt;&lt;/dates&gt;&lt;isbn&gt;1540-6261&lt;/isbn&gt;&lt;urls&gt;&lt;/urls&gt;&lt;/record&gt;&lt;/Cite&gt;&lt;Cite&gt;&lt;Author&gt;D’Espallier&lt;/Author&gt;&lt;Year&gt;2017&lt;/Year&gt;&lt;RecNum&gt;309&lt;/RecNum&gt;&lt;record&gt;&lt;rec-number&gt;309&lt;/rec-number&gt;&lt;foreign-keys&gt;&lt;key app="EN" db-id="wds9909saar09se5x9txwfw7ax9wfe2ftrt2" timestamp="1515556288" guid="71ab1896-f9a7-45f1-b48c-cc5a5ecc0fda"&gt;309&lt;/key&gt;&lt;/foreign-keys&gt;&lt;ref-type name="Journal Article"&gt;17&lt;/ref-type&gt;&lt;contributors&gt;&lt;authors&gt;&lt;author&gt;D’Espallier, Bert&lt;/author&gt;&lt;author&gt;Hudon, Marek&lt;/author&gt;&lt;author&gt;Szafarz, Ariane&lt;/author&gt;&lt;/authors&gt;&lt;/contributors&gt;&lt;titles&gt;&lt;title&gt;Aid volatility and social performance in microfinance&lt;/title&gt;&lt;secondary-title&gt;Nonprofit and Voluntary Sector Quarterly&lt;/secondary-title&gt;&lt;/titles&gt;&lt;pages&gt;116-140&lt;/pages&gt;&lt;volume&gt;46&lt;/volume&gt;&lt;number&gt;1&lt;/number&gt;&lt;dates&gt;&lt;year&gt;2017&lt;/year&gt;&lt;/dates&gt;&lt;isbn&gt;0899-7640&lt;/isbn&gt;&lt;urls&gt;&lt;/urls&gt;&lt;/record&gt;&lt;/Cite&gt;&lt;/EndNote&gt;</w:instrText>
      </w:r>
      <w:r w:rsidR="00665465">
        <w:fldChar w:fldCharType="separate"/>
      </w:r>
      <w:r w:rsidR="00920F60">
        <w:rPr>
          <w:noProof/>
        </w:rPr>
        <w:t>(Garmaise &amp; Natividad, 2013; D’Espallier, Hudon, &amp; Szafarz, 2017)</w:t>
      </w:r>
      <w:r w:rsidR="00665465">
        <w:fldChar w:fldCharType="end"/>
      </w:r>
      <w:r w:rsidR="006B6F7C">
        <w:t xml:space="preserve">. Additionally, NGOs </w:t>
      </w:r>
      <w:r w:rsidR="00C259BD">
        <w:t xml:space="preserve">may </w:t>
      </w:r>
      <w:r w:rsidR="006B6F7C" w:rsidRPr="006B6F7C">
        <w:t xml:space="preserve">crowd out the efficient, market-based providers of </w:t>
      </w:r>
      <w:r w:rsidR="005C5DC5" w:rsidRPr="006B6F7C">
        <w:t>micro-finance</w:t>
      </w:r>
      <w:r w:rsidR="00665465">
        <w:t xml:space="preserve"> </w:t>
      </w:r>
      <w:r w:rsidR="00665465">
        <w:fldChar w:fldCharType="begin"/>
      </w:r>
      <w:r w:rsidR="00920F60">
        <w:instrText xml:space="preserve"> ADDIN EN.CITE &lt;EndNote&gt;&lt;Cite&gt;&lt;Author&gt;Kota&lt;/Author&gt;&lt;Year&gt;2007&lt;/Year&gt;&lt;RecNum&gt;42&lt;/RecNum&gt;&lt;DisplayText&gt;(Kota, 2007)&lt;/DisplayText&gt;&lt;record&gt;&lt;rec-number&gt;42&lt;/rec-number&gt;&lt;foreign-keys&gt;&lt;key app="EN" db-id="wds9909saar09se5x9txwfw7ax9wfe2ftrt2" timestamp="1502041760" guid="d73127cb-dc85-40ee-bbda-14bb5efdacdf"&gt;42&lt;/key&gt;&lt;/foreign-keys&gt;&lt;ref-type name="Journal Article"&gt;17&lt;/ref-type&gt;&lt;contributors&gt;&lt;authors&gt;&lt;author&gt;Kota, Ina&lt;/author&gt;&lt;/authors&gt;&lt;/contributors&gt;&lt;titles&gt;&lt;title&gt;Microfinance: Banking for the poor&lt;/title&gt;&lt;secondary-title&gt;Finance and Development&lt;/secondary-title&gt;&lt;/titles&gt;&lt;periodical&gt;&lt;full-title&gt;Finance and Development&lt;/full-title&gt;&lt;abbr-1&gt;Finance Devel.&lt;/abbr-1&gt;&lt;abbr-2&gt;Finance Devel&lt;/abbr-2&gt;&lt;/periodical&gt;&lt;pages&gt;44&lt;/pages&gt;&lt;volume&gt;44&lt;/volume&gt;&lt;number&gt;2&lt;/number&gt;&lt;dates&gt;&lt;year&gt;2007&lt;/year&gt;&lt;/dates&gt;&lt;isbn&gt;0015-1947&lt;/isbn&gt;&lt;urls&gt;&lt;/urls&gt;&lt;/record&gt;&lt;/Cite&gt;&lt;/EndNote&gt;</w:instrText>
      </w:r>
      <w:r w:rsidR="00665465">
        <w:fldChar w:fldCharType="separate"/>
      </w:r>
      <w:r w:rsidR="00665465">
        <w:rPr>
          <w:noProof/>
        </w:rPr>
        <w:t>(Kota, 2007)</w:t>
      </w:r>
      <w:r w:rsidR="00665465">
        <w:fldChar w:fldCharType="end"/>
      </w:r>
      <w:r w:rsidR="009B0F0A">
        <w:t>,</w:t>
      </w:r>
      <w:r w:rsidR="00665465">
        <w:t xml:space="preserve"> which may hurt aggregate welfare in the long run</w:t>
      </w:r>
      <w:r w:rsidR="006B6F7C" w:rsidRPr="006B6F7C">
        <w:t>.</w:t>
      </w:r>
    </w:p>
    <w:p w14:paraId="7A49EE71" w14:textId="08FEDB36" w:rsidR="00B971B8" w:rsidRDefault="006B6F7C" w:rsidP="00CA7BD9">
      <w:pPr>
        <w:spacing w:line="360" w:lineRule="auto"/>
      </w:pPr>
      <w:r>
        <w:t xml:space="preserve">For these reasons, some </w:t>
      </w:r>
      <w:r w:rsidR="0052471E">
        <w:t>scholars opine that it is possible to strike a balance between the two extremes.</w:t>
      </w:r>
      <w:r w:rsidR="00AB59C5">
        <w:t xml:space="preserve"> A</w:t>
      </w:r>
      <w:r w:rsidR="0052471E">
        <w:t>dherents of t</w:t>
      </w:r>
      <w:r w:rsidR="00085EDD">
        <w:t>he win-win approach attempt</w:t>
      </w:r>
      <w:r w:rsidR="008948C5">
        <w:t xml:space="preserve"> to reconcile the institutional and welfare approach</w:t>
      </w:r>
      <w:r w:rsidR="00C744AC">
        <w:t>,</w:t>
      </w:r>
      <w:r w:rsidR="007D4414">
        <w:t xml:space="preserve"> postulating</w:t>
      </w:r>
      <w:r w:rsidR="008948C5">
        <w:t xml:space="preserve"> that it i</w:t>
      </w:r>
      <w:r w:rsidR="0049014A">
        <w:t>s possible to achieve both financial sustainability (that is, turn a profit) and at the same time</w:t>
      </w:r>
      <w:r w:rsidR="009B0F0A">
        <w:t>,</w:t>
      </w:r>
      <w:r w:rsidR="00085EDD">
        <w:t xml:space="preserve"> reach the financially excluded</w:t>
      </w:r>
      <w:r w:rsidR="00AB59C5">
        <w:t xml:space="preserve"> </w:t>
      </w:r>
      <w:r w:rsidR="00AB59C5">
        <w:fldChar w:fldCharType="begin"/>
      </w:r>
      <w:r w:rsidR="00920F60">
        <w:instrText xml:space="preserve"> ADDIN EN.CITE &lt;EndNote&gt;&lt;Cite&gt;&lt;Author&gt;Kodongo&lt;/Author&gt;&lt;Year&gt;2013&lt;/Year&gt;&lt;RecNum&gt;155&lt;/RecNum&gt;&lt;DisplayText&gt;(Kodongo &amp;amp; Kendi, 2013)&lt;/DisplayText&gt;&lt;record&gt;&lt;rec-number&gt;155&lt;/rec-number&gt;&lt;foreign-keys&gt;&lt;key app="EN" db-id="wds9909saar09se5x9txwfw7ax9wfe2ftrt2" timestamp="1507733365" guid="4752037c-24b9-4c99-a2ad-6d6eabaa7aad"&gt;155&lt;/key&gt;&lt;/foreign-keys&gt;&lt;ref-type name="Journal Article"&gt;17&lt;/ref-type&gt;&lt;contributors&gt;&lt;authors&gt;&lt;author&gt;Kodongo, Odongo&lt;/author&gt;&lt;author&gt;Kendi, Lilian G&lt;/author&gt;&lt;/authors&gt;&lt;/contributors&gt;&lt;titles&gt;&lt;title&gt;Individual lending versus group lending: An evaluation with Kenya&amp;apos;s microfinance data&lt;/title&gt;&lt;secondary-title&gt;Review of Development Finance&lt;/secondary-title&gt;&lt;/titles&gt;&lt;pages&gt;99-108&lt;/pages&gt;&lt;volume&gt;3&lt;/volume&gt;&lt;number&gt;2&lt;/number&gt;&lt;dates&gt;&lt;year&gt;2013&lt;/year&gt;&lt;/dates&gt;&lt;isbn&gt;1879-9337&lt;/isbn&gt;&lt;urls&gt;&lt;/urls&gt;&lt;/record&gt;&lt;/Cite&gt;&lt;/EndNote&gt;</w:instrText>
      </w:r>
      <w:r w:rsidR="00AB59C5">
        <w:fldChar w:fldCharType="separate"/>
      </w:r>
      <w:r w:rsidR="00AB59C5">
        <w:rPr>
          <w:noProof/>
        </w:rPr>
        <w:t>(Kodongo &amp; Kendi, 2013)</w:t>
      </w:r>
      <w:r w:rsidR="00AB59C5">
        <w:fldChar w:fldCharType="end"/>
      </w:r>
      <w:r w:rsidR="00405CDE">
        <w:t xml:space="preserve">. </w:t>
      </w:r>
      <w:r w:rsidR="00C744AC">
        <w:t>A</w:t>
      </w:r>
      <w:r w:rsidR="007D4414">
        <w:t>s a</w:t>
      </w:r>
      <w:r w:rsidR="00C744AC">
        <w:t xml:space="preserve"> case in point</w:t>
      </w:r>
      <w:r w:rsidR="008948C5">
        <w:t xml:space="preserve">, some </w:t>
      </w:r>
      <w:r w:rsidR="00405CDE">
        <w:t xml:space="preserve">researchers </w:t>
      </w:r>
      <w:r w:rsidR="008948C5">
        <w:t>argue</w:t>
      </w:r>
      <w:r w:rsidR="0049014A">
        <w:t xml:space="preserve"> that MFIs could strive to generate profits by offering financial services to </w:t>
      </w:r>
      <w:r w:rsidR="0049014A">
        <w:lastRenderedPageBreak/>
        <w:t>the re</w:t>
      </w:r>
      <w:r w:rsidR="00405CDE">
        <w:t>la</w:t>
      </w:r>
      <w:r w:rsidR="008948C5">
        <w:t>tively well-off</w:t>
      </w:r>
      <w:r w:rsidR="007D4414">
        <w:t xml:space="preserve"> at market rates</w:t>
      </w:r>
      <w:r w:rsidR="001064A4">
        <w:t>. The MFIs could</w:t>
      </w:r>
      <w:r w:rsidR="008948C5">
        <w:t xml:space="preserve"> then use the returns to </w:t>
      </w:r>
      <w:r w:rsidR="0049014A">
        <w:t>subsidi</w:t>
      </w:r>
      <w:r w:rsidR="00DB45E4">
        <w:t>s</w:t>
      </w:r>
      <w:r w:rsidR="0049014A">
        <w:t>e the provision of f</w:t>
      </w:r>
      <w:r w:rsidR="00AB59C5">
        <w:t>inancial services to the poor</w:t>
      </w:r>
      <w:r w:rsidR="00085EDD">
        <w:t xml:space="preserve"> </w:t>
      </w:r>
      <w:r w:rsidR="008948C5">
        <w:t>under a form of price discrimination</w:t>
      </w:r>
      <w:r w:rsidR="00085EDD">
        <w:t>, leading to</w:t>
      </w:r>
      <w:r w:rsidR="00C744AC">
        <w:t xml:space="preserve"> </w:t>
      </w:r>
      <w:r w:rsidR="00920F60">
        <w:t>"</w:t>
      </w:r>
      <w:r w:rsidR="00C744AC">
        <w:t>mission expansion</w:t>
      </w:r>
      <w:r w:rsidR="00920F60">
        <w:t>"</w:t>
      </w:r>
      <w:r w:rsidR="00085EDD">
        <w:t xml:space="preserve"> as opposed to mission drift</w:t>
      </w:r>
      <w:r w:rsidR="00AB59C5">
        <w:t xml:space="preserve"> </w:t>
      </w:r>
      <w:r w:rsidR="00AB59C5">
        <w:fldChar w:fldCharType="begin"/>
      </w:r>
      <w:r w:rsidR="00920F60">
        <w:instrText xml:space="preserve"> ADDIN EN.CITE &lt;EndNote&gt;&lt;Cite&gt;&lt;Author&gt;Mersland&lt;/Author&gt;&lt;Year&gt;2010&lt;/Year&gt;&lt;RecNum&gt;117&lt;/RecNum&gt;&lt;DisplayText&gt;(Mersland &amp;amp; Strøm, 2010)&lt;/DisplayText&gt;&lt;record&gt;&lt;rec-number&gt;117&lt;/rec-number&gt;&lt;foreign-keys&gt;&lt;key app="EN" db-id="wds9909saar09se5x9txwfw7ax9wfe2ftrt2" timestamp="1506511677" guid="1d8ae4ea-2a7a-444b-9901-ee7b4c316857"&gt;117&lt;/key&gt;&lt;/foreign-keys&gt;&lt;ref-type name="Journal Article"&gt;17&lt;/ref-type&gt;&lt;contributors&gt;&lt;authors&gt;&lt;author&gt;Mersland, Roy&lt;/author&gt;&lt;author&gt;Strøm, R Øystein&lt;/author&gt;&lt;/authors&gt;&lt;/contributors&gt;&lt;titles&gt;&lt;title&gt;Microfinance mission drift?&lt;/title&gt;&lt;secondary-title&gt;World Development&lt;/secondary-title&gt;&lt;/titles&gt;&lt;periodical&gt;&lt;full-title&gt;World Development&lt;/full-title&gt;&lt;abbr-1&gt;World Devel.&lt;/abbr-1&gt;&lt;abbr-2&gt;World Devel&lt;/abbr-2&gt;&lt;/periodical&gt;&lt;pages&gt;28-36&lt;/pages&gt;&lt;volume&gt;38&lt;/volume&gt;&lt;dates&gt;&lt;year&gt;2010&lt;/year&gt;&lt;/dates&gt;&lt;isbn&gt;0305-750X&lt;/isbn&gt;&lt;urls&gt;&lt;/urls&gt;&lt;/record&gt;&lt;/Cite&gt;&lt;/EndNote&gt;</w:instrText>
      </w:r>
      <w:r w:rsidR="00AB59C5">
        <w:fldChar w:fldCharType="separate"/>
      </w:r>
      <w:r w:rsidR="00AB59C5">
        <w:rPr>
          <w:noProof/>
        </w:rPr>
        <w:t>(Mersland &amp; Strøm, 2010)</w:t>
      </w:r>
      <w:r w:rsidR="00AB59C5">
        <w:fldChar w:fldCharType="end"/>
      </w:r>
      <w:r w:rsidR="00B971B8">
        <w:t xml:space="preserve">. </w:t>
      </w:r>
    </w:p>
    <w:p w14:paraId="7D8E4AB9" w14:textId="6B3341F4" w:rsidR="000F07EA" w:rsidRDefault="00433706" w:rsidP="00CA7BD9">
      <w:pPr>
        <w:spacing w:line="360" w:lineRule="auto"/>
      </w:pPr>
      <w:r>
        <w:t>Globally, t</w:t>
      </w:r>
      <w:r w:rsidR="0049014A">
        <w:t xml:space="preserve">he </w:t>
      </w:r>
      <w:r w:rsidR="008948C5">
        <w:t>shift from the pure welfare approach of MF provision is gaining ground</w:t>
      </w:r>
      <w:r w:rsidR="0049014A">
        <w:t xml:space="preserve">. </w:t>
      </w:r>
      <w:r w:rsidR="00AB59C5">
        <w:t>Most of the transformed MFIs operate at some point on the cont</w:t>
      </w:r>
      <w:r w:rsidR="00326388">
        <w:t>i</w:t>
      </w:r>
      <w:r w:rsidR="00710343">
        <w:t xml:space="preserve">nuum between the NGO, welfare </w:t>
      </w:r>
      <w:r w:rsidR="00326388">
        <w:t xml:space="preserve">model and the </w:t>
      </w:r>
      <w:r w:rsidR="00AB59C5">
        <w:t>financial systems approach</w:t>
      </w:r>
      <w:r w:rsidR="002D21F3">
        <w:t xml:space="preserve"> </w:t>
      </w:r>
      <w:r w:rsidR="002D21F3">
        <w:fldChar w:fldCharType="begin"/>
      </w:r>
      <w:r w:rsidR="00920F60">
        <w:instrText xml:space="preserve"> ADDIN EN.CITE &lt;EndNote&gt;&lt;Cite&gt;&lt;Author&gt;D’Espallier&lt;/Author&gt;&lt;Year&gt;2013&lt;/Year&gt;&lt;RecNum&gt;24&lt;/RecNum&gt;&lt;DisplayText&gt;(Hishigsuren, 2006; D’Espallier, Hudon, &amp;amp; Szafarz, 2013)&lt;/DisplayText&gt;&lt;record&gt;&lt;rec-number&gt;24&lt;/rec-number&gt;&lt;foreign-keys&gt;&lt;key app="EN" db-id="wds9909saar09se5x9txwfw7ax9wfe2ftrt2" timestamp="1501242803" guid="e8710a3c-12fb-4f84-9166-2738d5c3efef"&gt;24&lt;/key&gt;&lt;/foreign-keys&gt;&lt;ref-type name="Journal Article"&gt;17&lt;/ref-type&gt;&lt;contributors&gt;&lt;authors&gt;&lt;author&gt;D’Espallier, Bert&lt;/author&gt;&lt;author&gt;Hudon, Marek&lt;/author&gt;&lt;author&gt;Szafarz, Ariane&lt;/author&gt;&lt;/authors&gt;&lt;/contributors&gt;&lt;titles&gt;&lt;title&gt;Unsubsidized microfinance institutions&lt;/title&gt;&lt;secondary-title&gt;Economics Letters&lt;/secondary-title&gt;&lt;/titles&gt;&lt;periodical&gt;&lt;full-title&gt;Economics Letters&lt;/full-title&gt;&lt;abbr-1&gt;Econ. Letters&lt;/abbr-1&gt;&lt;abbr-2&gt;Econ Letters&lt;/abbr-2&gt;&lt;/periodical&gt;&lt;pages&gt;174-176&lt;/pages&gt;&lt;volume&gt;120&lt;/volume&gt;&lt;number&gt;2&lt;/number&gt;&lt;dates&gt;&lt;year&gt;2013&lt;/year&gt;&lt;/dates&gt;&lt;isbn&gt;0165-1765&lt;/isbn&gt;&lt;urls&gt;&lt;/urls&gt;&lt;/record&gt;&lt;/Cite&gt;&lt;Cite&gt;&lt;Author&gt;Hishigsuren&lt;/Author&gt;&lt;Year&gt;2006&lt;/Year&gt;&lt;RecNum&gt;304&lt;/RecNum&gt;&lt;record&gt;&lt;rec-number&gt;304&lt;/rec-number&gt;&lt;foreign-keys&gt;&lt;key app="EN" db-id="wds9909saar09se5x9txwfw7ax9wfe2ftrt2" timestamp="1515539549" guid="44a97ed2-1b80-4a4f-be35-b05a5a13f3a0"&gt;304&lt;/key&gt;&lt;/foreign-keys&gt;&lt;ref-type name="Journal Article"&gt;17&lt;/ref-type&gt;&lt;contributors&gt;&lt;authors&gt;&lt;author&gt;Hishigsuren, Gaamaa&lt;/author&gt;&lt;/authors&gt;&lt;/contributors&gt;&lt;titles&gt;&lt;title&gt;Transformation of Micro-finance Operations from NGO to Regulated MFI&lt;/title&gt;&lt;secondary-title&gt;IDEAS, USA&lt;/secondary-title&gt;&lt;/titles&gt;&lt;pages&gt;15-31&lt;/pages&gt;&lt;volume&gt;2&lt;/volume&gt;&lt;number&gt;1&lt;/number&gt;&lt;dates&gt;&lt;year&gt;2006&lt;/year&gt;&lt;/dates&gt;&lt;urls&gt;&lt;/urls&gt;&lt;/record&gt;&lt;/Cite&gt;&lt;/EndNote&gt;</w:instrText>
      </w:r>
      <w:r w:rsidR="002D21F3">
        <w:fldChar w:fldCharType="separate"/>
      </w:r>
      <w:r w:rsidR="00920F60">
        <w:rPr>
          <w:noProof/>
        </w:rPr>
        <w:t>(Hishigsuren, 2006; D’Espallier, Hudon, &amp; Szafarz, 2013)</w:t>
      </w:r>
      <w:r w:rsidR="002D21F3">
        <w:fldChar w:fldCharType="end"/>
      </w:r>
      <w:r w:rsidR="00AB59C5">
        <w:t xml:space="preserve">. It </w:t>
      </w:r>
      <w:r w:rsidR="007D4414">
        <w:t xml:space="preserve">all </w:t>
      </w:r>
      <w:r w:rsidR="00AB59C5">
        <w:t xml:space="preserve">started in 1992 </w:t>
      </w:r>
      <w:r w:rsidR="00085EDD">
        <w:t xml:space="preserve">in Bolivia </w:t>
      </w:r>
      <w:r w:rsidR="00AB59C5">
        <w:t xml:space="preserve">when </w:t>
      </w:r>
      <w:proofErr w:type="spellStart"/>
      <w:r w:rsidR="00085EDD">
        <w:t>Prodem</w:t>
      </w:r>
      <w:proofErr w:type="spellEnd"/>
      <w:r w:rsidR="00085EDD">
        <w:t xml:space="preserve">, </w:t>
      </w:r>
      <w:r w:rsidR="000B62A6">
        <w:t>an NGO</w:t>
      </w:r>
      <w:r w:rsidR="009B0F0A">
        <w:t>,</w:t>
      </w:r>
      <w:r w:rsidR="000B62A6">
        <w:t xml:space="preserve"> </w:t>
      </w:r>
      <w:r w:rsidR="00326388">
        <w:t xml:space="preserve">converted </w:t>
      </w:r>
      <w:r w:rsidR="000B62A6">
        <w:t>to a commercial bank</w:t>
      </w:r>
      <w:r w:rsidR="00085EDD">
        <w:t xml:space="preserve">, </w:t>
      </w:r>
      <w:proofErr w:type="spellStart"/>
      <w:r w:rsidR="00085EDD">
        <w:t>Bancosol</w:t>
      </w:r>
      <w:proofErr w:type="spellEnd"/>
      <w:r w:rsidR="007B6796">
        <w:t xml:space="preserve"> </w:t>
      </w:r>
      <w:r w:rsidR="007B6796">
        <w:fldChar w:fldCharType="begin"/>
      </w:r>
      <w:r w:rsidR="00920F60">
        <w:instrText xml:space="preserve"> ADDIN EN.CITE &lt;EndNote&gt;&lt;Cite&gt;&lt;Author&gt;Fernando&lt;/Author&gt;&lt;Year&gt;2004&lt;/Year&gt;&lt;RecNum&gt;492&lt;/RecNum&gt;&lt;DisplayText&gt;(Fernando, 2004; Creedy &amp;amp; Hoang, 2018)&lt;/DisplayText&gt;&lt;record&gt;&lt;rec-number&gt;492&lt;/rec-number&gt;&lt;foreign-keys&gt;&lt;key app="EN" db-id="wds9909saar09se5x9txwfw7ax9wfe2ftrt2" timestamp="1570634056" guid="38cded88-bcb9-4a24-9b67-42cf5c89e14f"&gt;492&lt;/key&gt;&lt;/foreign-keys&gt;&lt;ref-type name="Book"&gt;6&lt;/ref-type&gt;&lt;contributors&gt;&lt;authors&gt;&lt;author&gt;Fernando, Nimal A&lt;/author&gt;&lt;/authors&gt;&lt;/contributors&gt;&lt;titles&gt;&lt;title&gt;Micro success story?: transformation of nongovernment organizations into regulated financial institutions&lt;/title&gt;&lt;/titles&gt;&lt;dates&gt;&lt;year&gt;2004&lt;/year&gt;&lt;/dates&gt;&lt;pub-location&gt;Mandaluyong, The Philippines&lt;/pub-location&gt;&lt;publisher&gt;Asian Development Bank&lt;/publisher&gt;&lt;isbn&gt;9715615414&lt;/isbn&gt;&lt;urls&gt;&lt;/urls&gt;&lt;/record&gt;&lt;/Cite&gt;&lt;Cite&gt;&lt;Author&gt;Creedy&lt;/Author&gt;&lt;Year&gt;2018&lt;/Year&gt;&lt;RecNum&gt;434&lt;/RecNum&gt;&lt;record&gt;&lt;rec-number&gt;434&lt;/rec-number&gt;&lt;foreign-keys&gt;&lt;key app="EN" db-id="wds9909saar09se5x9txwfw7ax9wfe2ftrt2" timestamp="1541593247" guid="9bb5482f-0351-4f84-b86c-d69f585d100d"&gt;434&lt;/key&gt;&lt;/foreign-keys&gt;&lt;ref-type name="Journal Article"&gt;17&lt;/ref-type&gt;&lt;contributors&gt;&lt;authors&gt;&lt;author&gt;Creedy, John&lt;/author&gt;&lt;author&gt;Hoang, Hien TT&lt;/author&gt;&lt;/authors&gt;&lt;/contributors&gt;&lt;titles&gt;&lt;title&gt;Types of microfinance organisation: A taxonomy&lt;/title&gt;&lt;secondary-title&gt;Third Sector Review&lt;/secondary-title&gt;&lt;/titles&gt;&lt;pages&gt;105&lt;/pages&gt;&lt;volume&gt;24&lt;/volume&gt;&lt;number&gt;2&lt;/number&gt;&lt;dates&gt;&lt;year&gt;2018&lt;/year&gt;&lt;/dates&gt;&lt;urls&gt;&lt;/urls&gt;&lt;/record&gt;&lt;/Cite&gt;&lt;/EndNote&gt;</w:instrText>
      </w:r>
      <w:r w:rsidR="007B6796">
        <w:fldChar w:fldCharType="separate"/>
      </w:r>
      <w:r w:rsidR="007B6796">
        <w:rPr>
          <w:noProof/>
        </w:rPr>
        <w:t>(Fernando, 2004; Creedy &amp; Hoang, 2018)</w:t>
      </w:r>
      <w:r w:rsidR="007B6796">
        <w:fldChar w:fldCharType="end"/>
      </w:r>
      <w:r w:rsidR="000B62A6">
        <w:t>. Since then</w:t>
      </w:r>
      <w:r w:rsidR="00EA0C13">
        <w:t xml:space="preserve">, </w:t>
      </w:r>
      <w:r w:rsidR="00357928">
        <w:t>many</w:t>
      </w:r>
      <w:r w:rsidR="000B62A6">
        <w:t xml:space="preserve"> </w:t>
      </w:r>
      <w:r w:rsidR="002D1274" w:rsidRPr="006B4E5C">
        <w:t xml:space="preserve">MFIs </w:t>
      </w:r>
      <w:r w:rsidR="00085EDD">
        <w:t xml:space="preserve">across the world </w:t>
      </w:r>
      <w:r w:rsidR="002D1274" w:rsidRPr="006B4E5C">
        <w:t>have converted from NGOs to commercial firms that also seek to make profits.</w:t>
      </w:r>
      <w:r w:rsidR="008948C5">
        <w:t xml:space="preserve"> </w:t>
      </w:r>
    </w:p>
    <w:p w14:paraId="06B1CC69" w14:textId="1EE7A454" w:rsidR="00F35C59" w:rsidRDefault="0023786D" w:rsidP="00CA7BD9">
      <w:pPr>
        <w:spacing w:line="360" w:lineRule="auto"/>
      </w:pPr>
      <w:r>
        <w:t xml:space="preserve">The objective of this article is to explore the factors that drive the transformation of MFIs from NGOs to </w:t>
      </w:r>
      <w:r w:rsidR="0044389B">
        <w:t>for-profit</w:t>
      </w:r>
      <w:r>
        <w:t xml:space="preserve"> firms</w:t>
      </w:r>
      <w:r w:rsidR="00433706">
        <w:t xml:space="preserve"> in Africa</w:t>
      </w:r>
      <w:r>
        <w:t xml:space="preserve">. </w:t>
      </w:r>
      <w:r w:rsidR="00573DFC" w:rsidRPr="00573DFC">
        <w:t xml:space="preserve">To this end, we use a panel dataset </w:t>
      </w:r>
      <w:r w:rsidR="007211AD">
        <w:t>of 705 MFIs in Africa from the MIX pooled database</w:t>
      </w:r>
      <w:r w:rsidR="00F20D68">
        <w:t>, with additional data from the World Bank</w:t>
      </w:r>
      <w:r w:rsidR="00FF3754">
        <w:t>- the</w:t>
      </w:r>
      <w:r w:rsidR="00F20D68">
        <w:t xml:space="preserve"> World D</w:t>
      </w:r>
      <w:r w:rsidR="00FF3754">
        <w:t xml:space="preserve">evelopment Indicators (WDI), the </w:t>
      </w:r>
      <w:r w:rsidR="00F20D68">
        <w:t xml:space="preserve">Worldwide </w:t>
      </w:r>
      <w:r w:rsidR="00326388">
        <w:t>Governance Index (WGI)</w:t>
      </w:r>
      <w:r w:rsidR="00420614">
        <w:t xml:space="preserve">, and the </w:t>
      </w:r>
      <w:r w:rsidR="00FF3754">
        <w:t xml:space="preserve">Global Financial </w:t>
      </w:r>
      <w:r w:rsidR="00420614">
        <w:t>Development Database</w:t>
      </w:r>
      <w:r w:rsidR="00326388">
        <w:t>s</w:t>
      </w:r>
      <w:r w:rsidR="007211AD">
        <w:t xml:space="preserve">. </w:t>
      </w:r>
      <w:r w:rsidR="007B6796">
        <w:t xml:space="preserve">We focus on Africa given the </w:t>
      </w:r>
      <w:r w:rsidR="00C660EE">
        <w:t xml:space="preserve">relatively </w:t>
      </w:r>
      <w:r w:rsidR="007B6796">
        <w:t>low levels of financial inclusion on the continent</w:t>
      </w:r>
      <w:r w:rsidR="00C660EE">
        <w:t xml:space="preserve"> </w:t>
      </w:r>
      <w:r w:rsidR="00C660EE">
        <w:fldChar w:fldCharType="begin"/>
      </w:r>
      <w:r w:rsidR="00920F60">
        <w:instrText xml:space="preserve"> ADDIN EN.CITE &lt;EndNote&gt;&lt;Cite&gt;&lt;Author&gt;Demirguc-Kunt&lt;/Author&gt;&lt;Year&gt;2018&lt;/Year&gt;&lt;RecNum&gt;424&lt;/RecNum&gt;&lt;DisplayText&gt;(Demirguc-Kunt, Klapper, Singer, Ansar, &amp;amp; Hess, 2018)&lt;/DisplayText&gt;&lt;record&gt;&lt;rec-number&gt;424&lt;/rec-number&gt;&lt;foreign-keys&gt;&lt;key app="EN" db-id="wds9909saar09se5x9txwfw7ax9wfe2ftrt2" timestamp="1541018342" guid="f622453d-b658-4aa2-b5b7-508b6dccc4f2"&gt;424&lt;/key&gt;&lt;/foreign-keys&gt;&lt;ref-type name="Book"&gt;6&lt;/ref-type&gt;&lt;contributors&gt;&lt;authors&gt;&lt;author&gt;Demirguc-Kunt, Asli&lt;/author&gt;&lt;author&gt;Klapper, Leora&lt;/author&gt;&lt;author&gt;Singer, Dorothe&lt;/author&gt;&lt;author&gt;Ansar, Saniya&lt;/author&gt;&lt;author&gt;Hess, Jake&lt;/author&gt;&lt;/authors&gt;&lt;/contributors&gt;&lt;titles&gt;&lt;title&gt;The Global Findex Database 2017: Measuring Financial Inclusion and the Fintech Revolution&lt;/title&gt;&lt;/titles&gt;&lt;dates&gt;&lt;year&gt;2018&lt;/year&gt;&lt;/dates&gt;&lt;pub-location&gt;New York&lt;/pub-location&gt;&lt;publisher&gt;The World Bank&lt;/publisher&gt;&lt;isbn&gt;1464812594&lt;/isbn&gt;&lt;urls&gt;&lt;/urls&gt;&lt;/record&gt;&lt;/Cite&gt;&lt;/EndNote&gt;</w:instrText>
      </w:r>
      <w:r w:rsidR="00C660EE">
        <w:fldChar w:fldCharType="separate"/>
      </w:r>
      <w:r w:rsidR="00C660EE">
        <w:rPr>
          <w:noProof/>
        </w:rPr>
        <w:t>(Demirguc-Kunt, Klapper, Singer, Ansar, &amp; Hess, 2018)</w:t>
      </w:r>
      <w:r w:rsidR="00C660EE">
        <w:fldChar w:fldCharType="end"/>
      </w:r>
      <w:r w:rsidR="007B6796">
        <w:t xml:space="preserve">, and the shortcomings inherent in combining data from different regions which may yield results that are not actionable in certain areas. </w:t>
      </w:r>
      <w:r w:rsidR="00BC27B5">
        <w:t xml:space="preserve">As </w:t>
      </w:r>
      <w:r w:rsidR="00BC27B5">
        <w:fldChar w:fldCharType="begin"/>
      </w:r>
      <w:r w:rsidR="00920F60">
        <w:instrText xml:space="preserve"> ADDIN EN.CITE &lt;EndNote&gt;&lt;Cite AuthorYear="1"&gt;&lt;Author&gt;D’Espallier&lt;/Author&gt;&lt;Year&gt;2017&lt;/Year&gt;&lt;RecNum&gt;104&lt;/RecNum&gt;&lt;DisplayText&gt;D’Espallier, Goedecke, et al. (2017)&lt;/DisplayText&gt;&lt;record&gt;&lt;rec-number&gt;104&lt;/rec-number&gt;&lt;foreign-keys&gt;&lt;key app="EN" db-id="wds9909saar09se5x9txwfw7ax9wfe2ftrt2" timestamp="1505984710" guid="da48dbeb-bf0c-47df-a271-17c59af192c5"&gt;104&lt;/key&gt;&lt;/foreign-keys&gt;&lt;ref-type name="Journal Article"&gt;17&lt;/ref-type&gt;&lt;contributors&gt;&lt;authors&gt;&lt;author&gt;D’Espallier, Bert&lt;/author&gt;&lt;author&gt;Goedecke, Jann&lt;/author&gt;&lt;author&gt;Hudon, Marek&lt;/author&gt;&lt;author&gt;Mersland, Roy&lt;/author&gt;&lt;/authors&gt;&lt;/contributors&gt;&lt;titles&gt;&lt;title&gt;From NGOs to banks: Does institutional transformation alter the business model of microfinance institutions?&lt;/title&gt;&lt;secondary-title&gt;World Development&lt;/secondary-title&gt;&lt;/titles&gt;&lt;periodical&gt;&lt;full-title&gt;World Development&lt;/full-title&gt;&lt;abbr-1&gt;World Devel.&lt;/abbr-1&gt;&lt;abbr-2&gt;World Devel&lt;/abbr-2&gt;&lt;/periodical&gt;&lt;pages&gt;19-33&lt;/pages&gt;&lt;volume&gt;89&lt;/volume&gt;&lt;dates&gt;&lt;year&gt;2017&lt;/year&gt;&lt;/dates&gt;&lt;isbn&gt;0305-750X&lt;/isbn&gt;&lt;urls&gt;&lt;/urls&gt;&lt;/record&gt;&lt;/Cite&gt;&lt;/EndNote&gt;</w:instrText>
      </w:r>
      <w:r w:rsidR="00BC27B5">
        <w:fldChar w:fldCharType="separate"/>
      </w:r>
      <w:r w:rsidR="00920F60">
        <w:rPr>
          <w:noProof/>
        </w:rPr>
        <w:t>D’Espallier, Goedecke, et al. (2017)</w:t>
      </w:r>
      <w:r w:rsidR="00BC27B5">
        <w:fldChar w:fldCharType="end"/>
      </w:r>
      <w:r w:rsidR="00BC27B5">
        <w:t xml:space="preserve"> </w:t>
      </w:r>
      <w:r w:rsidR="00A35C40">
        <w:t xml:space="preserve">and </w:t>
      </w:r>
      <w:r w:rsidR="00A35C40">
        <w:fldChar w:fldCharType="begin"/>
      </w:r>
      <w:r w:rsidR="00920F60">
        <w:instrText xml:space="preserve"> ADDIN EN.CITE &lt;EndNote&gt;&lt;Cite AuthorYear="1"&gt;&lt;Author&gt;Wang&lt;/Author&gt;&lt;Year&gt;2015&lt;/Year&gt;&lt;RecNum&gt;356&lt;/RecNum&gt;&lt;DisplayText&gt;Wang and Shailer (2015)&lt;/DisplayText&gt;&lt;record&gt;&lt;rec-number&gt;356&lt;/rec-number&gt;&lt;foreign-keys&gt;&lt;key app="EN" db-id="wds9909saar09se5x9txwfw7ax9wfe2ftrt2" timestamp="1517775039" guid="67dcdb20-b42d-4c1b-8cee-02fecac4d9e1"&gt;356&lt;/key&gt;&lt;/foreign-keys&gt;&lt;ref-type name="Journal Article"&gt;17&lt;/ref-type&gt;&lt;contributors&gt;&lt;authors&gt;&lt;author&gt;Wang, Kun&lt;/author&gt;&lt;author&gt;Shailer, Greg&lt;/author&gt;&lt;/authors&gt;&lt;/contributors&gt;&lt;titles&gt;&lt;title&gt;Ownership concentration and firm performance in emerging markets: a meta</w:instrText>
      </w:r>
      <w:r w:rsidR="00920F60">
        <w:rPr>
          <w:rFonts w:ascii="Times New Roman" w:hAnsi="Times New Roman" w:cs="Times New Roman"/>
        </w:rPr>
        <w:instrText>‐</w:instrText>
      </w:r>
      <w:r w:rsidR="00920F60">
        <w:instrText>analysis&lt;/title&gt;&lt;secondary-title&gt;Journal of Economic Surveys&lt;/secondary-title&gt;&lt;/titles&gt;&lt;periodical&gt;&lt;full-title&gt;Journal of Economic Surveys&lt;/full-title&gt;&lt;abbr-1&gt;J. Econ. Surveys&lt;/abbr-1&gt;&lt;abbr-2&gt;J Econ Surveys&lt;/abbr-2&gt;&lt;/periodical&gt;&lt;pages&gt;199-229&lt;/pages&gt;&lt;volume&gt;29&lt;/volume&gt;&lt;number&gt;2&lt;/number&gt;&lt;dates&gt;&lt;year&gt;2015&lt;/year&gt;&lt;/dates&gt;&lt;isbn&gt;1467-6419&lt;/isbn&gt;&lt;urls&gt;&lt;/urls&gt;&lt;/record&gt;&lt;/Cite&gt;&lt;/EndNote&gt;</w:instrText>
      </w:r>
      <w:r w:rsidR="00A35C40">
        <w:fldChar w:fldCharType="separate"/>
      </w:r>
      <w:r w:rsidR="00A35C40">
        <w:rPr>
          <w:noProof/>
        </w:rPr>
        <w:t>Wang and Shailer (2015)</w:t>
      </w:r>
      <w:r w:rsidR="00A35C40">
        <w:fldChar w:fldCharType="end"/>
      </w:r>
      <w:r w:rsidR="00A35C40">
        <w:t xml:space="preserve"> </w:t>
      </w:r>
      <w:r w:rsidR="00C660EE">
        <w:t xml:space="preserve">suggest, </w:t>
      </w:r>
      <w:r w:rsidR="00BC27B5">
        <w:t xml:space="preserve">the nature and performance of MFIs are country-specific. Hence, </w:t>
      </w:r>
      <w:r w:rsidR="00C660EE">
        <w:t xml:space="preserve">research focusing on </w:t>
      </w:r>
      <w:proofErr w:type="gramStart"/>
      <w:r w:rsidR="00C660EE">
        <w:t>particular regions</w:t>
      </w:r>
      <w:proofErr w:type="gramEnd"/>
      <w:r w:rsidR="00C660EE">
        <w:t xml:space="preserve">, countries or even firms could better inform policymaking. </w:t>
      </w:r>
    </w:p>
    <w:p w14:paraId="3E55C13F" w14:textId="1F4EFDC2" w:rsidR="002D21F3" w:rsidRDefault="002D21F3" w:rsidP="00CA7BD9">
      <w:pPr>
        <w:spacing w:line="360" w:lineRule="auto"/>
      </w:pPr>
      <w:r>
        <w:t>This article contri</w:t>
      </w:r>
      <w:r w:rsidR="00955B7C">
        <w:t>butes to the literature in two</w:t>
      </w:r>
      <w:r>
        <w:t xml:space="preserve"> main ways. First, the study sheds light on the drivers of </w:t>
      </w:r>
      <w:r w:rsidR="00E5634A">
        <w:t xml:space="preserve">the transformation </w:t>
      </w:r>
      <w:r w:rsidR="00676736">
        <w:t>micro-finance</w:t>
      </w:r>
      <w:r>
        <w:t xml:space="preserve"> institutions in Africa. Much of the literature has not examined this phenomenon, focusing on the consequences of the transformation and the way that MFIs can balance financial and social missions </w:t>
      </w:r>
      <w:r>
        <w:fldChar w:fldCharType="begin">
          <w:fldData xml:space="preserve">PEVuZE5vdGU+PENpdGU+PEF1dGhvcj5Gb3JrdXNhbTwvQXV0aG9yPjxZZWFyPjIwMTQ8L1llYXI+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==
</w:fldData>
        </w:fldChar>
      </w:r>
      <w:r w:rsidR="00920F60">
        <w:instrText xml:space="preserve"> ADDIN EN.CITE </w:instrText>
      </w:r>
      <w:r w:rsidR="00920F60">
        <w:fldChar w:fldCharType="begin">
          <w:fldData xml:space="preserve">PEVuZE5vdGU+PENpdGU+PEF1dGhvcj5Gb3JrdXNhbTwvQXV0aG9yPjxZZWFyPjIwMTQ8L1llYXI+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==
</w:fldData>
        </w:fldChar>
      </w:r>
      <w:r w:rsidR="00920F60">
        <w:instrText xml:space="preserve"> ADDIN EN.CITE.DATA </w:instrText>
      </w:r>
      <w:r w:rsidR="00920F60">
        <w:fldChar w:fldCharType="end"/>
      </w:r>
      <w:r>
        <w:fldChar w:fldCharType="separate"/>
      </w:r>
      <w:r w:rsidR="00920F60">
        <w:rPr>
          <w:noProof/>
        </w:rPr>
        <w:t>(D’Espallier et al., 2013; Forkusam, 2014; Mia &amp; Lee, 2017)</w:t>
      </w:r>
      <w:r>
        <w:fldChar w:fldCharType="end"/>
      </w:r>
      <w:r>
        <w:t xml:space="preserve">. We believe that our analysis could form a reasonable starting point for analysing the transformation of MFIs in other regions or countries. Second, we detail the linkages between the drivers of the transformation of </w:t>
      </w:r>
      <w:r w:rsidR="00676736">
        <w:t>micro-finance</w:t>
      </w:r>
      <w:r>
        <w:t xml:space="preserve"> institutions, showing how they interact to change the likelihood of transformation. In so doing, we highlight the pitfalls that bedevil analysis that pools data from heterogeneous sources</w:t>
      </w:r>
      <w:r w:rsidR="006C7561">
        <w:t>,</w:t>
      </w:r>
      <w:r>
        <w:t xml:space="preserve"> which may mask crucial differences or similarities between the units of analysis. </w:t>
      </w:r>
    </w:p>
    <w:p w14:paraId="47A0531D" w14:textId="11BBAA6E" w:rsidR="000919F0" w:rsidRDefault="00E638D6" w:rsidP="00CA7BD9">
      <w:pPr>
        <w:spacing w:line="360" w:lineRule="auto"/>
      </w:pPr>
      <w:r>
        <w:t xml:space="preserve">The </w:t>
      </w:r>
      <w:r w:rsidR="00085EDD">
        <w:t xml:space="preserve">rest of the article is </w:t>
      </w:r>
      <w:r>
        <w:t>structure</w:t>
      </w:r>
      <w:r w:rsidR="00085EDD">
        <w:t>d</w:t>
      </w:r>
      <w:r>
        <w:t xml:space="preserve"> as follows. </w:t>
      </w:r>
      <w:r w:rsidR="00085EDD">
        <w:t>S</w:t>
      </w:r>
      <w:r>
        <w:t>ection</w:t>
      </w:r>
      <w:r w:rsidR="00085EDD">
        <w:t xml:space="preserve"> 2</w:t>
      </w:r>
      <w:r>
        <w:t xml:space="preserve"> presents the theore</w:t>
      </w:r>
      <w:r w:rsidR="009C3B01">
        <w:t xml:space="preserve">tical underpinnings and </w:t>
      </w:r>
      <w:r>
        <w:t xml:space="preserve">empirical findings related to the study. </w:t>
      </w:r>
      <w:r w:rsidR="007B13BF">
        <w:t xml:space="preserve">Subsequently, </w:t>
      </w:r>
      <w:r w:rsidR="00085EDD">
        <w:t xml:space="preserve">in section 3, </w:t>
      </w:r>
      <w:r w:rsidR="007B13BF">
        <w:t>we present a summary of findings, before delving into the method of analysis and results</w:t>
      </w:r>
      <w:r w:rsidR="00085EDD">
        <w:t xml:space="preserve"> in section</w:t>
      </w:r>
      <w:r w:rsidR="00E7022C">
        <w:t>s</w:t>
      </w:r>
      <w:r w:rsidR="00085EDD">
        <w:t xml:space="preserve"> 4</w:t>
      </w:r>
      <w:r w:rsidR="00E7022C">
        <w:t xml:space="preserve"> and 5</w:t>
      </w:r>
      <w:r w:rsidR="00A06C57">
        <w:t>,</w:t>
      </w:r>
      <w:r w:rsidR="00E7022C">
        <w:t xml:space="preserve"> respectively</w:t>
      </w:r>
      <w:r w:rsidR="007B13BF">
        <w:t xml:space="preserve">. </w:t>
      </w:r>
      <w:r w:rsidR="00085EDD">
        <w:t>S</w:t>
      </w:r>
      <w:r w:rsidR="007B13BF">
        <w:t xml:space="preserve">ection </w:t>
      </w:r>
      <w:r w:rsidR="00E7022C">
        <w:t>6</w:t>
      </w:r>
      <w:r w:rsidR="00085EDD">
        <w:t xml:space="preserve"> </w:t>
      </w:r>
      <w:r w:rsidR="007B13BF">
        <w:t xml:space="preserve">concludes. </w:t>
      </w:r>
    </w:p>
    <w:p w14:paraId="6052D4E3" w14:textId="30315136" w:rsidR="008948C5" w:rsidRPr="007B13BF" w:rsidRDefault="008948C5" w:rsidP="002F1DF7">
      <w:pPr>
        <w:pStyle w:val="Heading2"/>
      </w:pPr>
      <w:r w:rsidRPr="007B13BF">
        <w:lastRenderedPageBreak/>
        <w:t>Related Literature</w:t>
      </w:r>
    </w:p>
    <w:p w14:paraId="484A5F3E" w14:textId="4DEFE60A" w:rsidR="009D7341" w:rsidRDefault="001965AD" w:rsidP="00CA7BD9">
      <w:pPr>
        <w:spacing w:line="360" w:lineRule="auto"/>
      </w:pPr>
      <w:r>
        <w:t xml:space="preserve">Much of the </w:t>
      </w:r>
      <w:r w:rsidR="00F80C22">
        <w:t xml:space="preserve">early </w:t>
      </w:r>
      <w:r>
        <w:t>literature on the institutio</w:t>
      </w:r>
      <w:r w:rsidR="002648FD">
        <w:t>nal transformation of MFIs dealt</w:t>
      </w:r>
      <w:r>
        <w:t xml:space="preserve"> with the </w:t>
      </w:r>
      <w:r w:rsidR="00A37AC2">
        <w:t xml:space="preserve">theoretical, </w:t>
      </w:r>
      <w:r w:rsidR="009C4645">
        <w:t>philosophi</w:t>
      </w:r>
      <w:r w:rsidR="00A37AC2">
        <w:t>cal, and historical basis for</w:t>
      </w:r>
      <w:r w:rsidR="009C4645">
        <w:t xml:space="preserve"> the</w:t>
      </w:r>
      <w:r>
        <w:t xml:space="preserve"> </w:t>
      </w:r>
      <w:r w:rsidR="009C4645">
        <w:t xml:space="preserve">transformation of </w:t>
      </w:r>
      <w:r>
        <w:t>MFIs from NGOs to commercial firms and the potential impacts of such conversion</w:t>
      </w:r>
      <w:r w:rsidR="00C660EE">
        <w:t xml:space="preserve"> </w:t>
      </w:r>
      <w:r w:rsidR="00C660EE">
        <w:fldChar w:fldCharType="begin">
          <w:fldData xml:space="preserve">PEVuZE5vdGU+PENpdGU+PEF1dGhvcj5aYWJ5PC9BdXRob3I+PFllYXI+MjAxOTwvWWVhcj48UmVj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</w:fldData>
        </w:fldChar>
      </w:r>
      <w:r w:rsidR="00920F60">
        <w:instrText xml:space="preserve"> ADDIN EN.CITE </w:instrText>
      </w:r>
      <w:r w:rsidR="00920F60">
        <w:fldChar w:fldCharType="begin">
          <w:fldData xml:space="preserve">PEVuZE5vdGU+PENpdGU+PEF1dGhvcj5aYWJ5PC9BdXRob3I+PFllYXI+MjAxOTwvWWVhcj48UmVj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</w:fldData>
        </w:fldChar>
      </w:r>
      <w:r w:rsidR="00920F60">
        <w:instrText xml:space="preserve"> ADDIN EN.CITE.DATA </w:instrText>
      </w:r>
      <w:r w:rsidR="00920F60">
        <w:fldChar w:fldCharType="end"/>
      </w:r>
      <w:r w:rsidR="00C660EE">
        <w:fldChar w:fldCharType="separate"/>
      </w:r>
      <w:r w:rsidR="00C660EE">
        <w:rPr>
          <w:noProof/>
        </w:rPr>
        <w:t>(Campion &amp; White, 1999; Christen &amp; Cook, 2001; Gutiérrez-Nieto &amp; Serrano-Cinca, 2019; Zaby, 2019)</w:t>
      </w:r>
      <w:r w:rsidR="00C660EE">
        <w:fldChar w:fldCharType="end"/>
      </w:r>
      <w:r>
        <w:t xml:space="preserve">. </w:t>
      </w:r>
      <w:r w:rsidR="00085EDD">
        <w:t xml:space="preserve">Views of scholars regarding </w:t>
      </w:r>
      <w:r w:rsidR="00294D1C">
        <w:t xml:space="preserve">the </w:t>
      </w:r>
      <w:r w:rsidR="00496F6B">
        <w:t>transformation of MFIs dre</w:t>
      </w:r>
      <w:r w:rsidR="00085EDD">
        <w:t>w from the institutional theory</w:t>
      </w:r>
      <w:r w:rsidR="00CB72D7">
        <w:t xml:space="preserve"> on the </w:t>
      </w:r>
      <w:r w:rsidR="005B0580">
        <w:t>persistence and convergence in organi</w:t>
      </w:r>
      <w:r w:rsidR="00CD5A09">
        <w:t>s</w:t>
      </w:r>
      <w:r w:rsidR="005B0580">
        <w:t>ations as well as change and de</w:t>
      </w:r>
      <w:r w:rsidR="00CD5A09">
        <w:t>-institutionalis</w:t>
      </w:r>
      <w:r w:rsidR="005B0580">
        <w:t>ation within firms</w:t>
      </w:r>
      <w:r w:rsidR="00B15225">
        <w:t xml:space="preserve"> </w:t>
      </w:r>
      <w:r w:rsidR="00B15225">
        <w:fldChar w:fldCharType="begin"/>
      </w:r>
      <w:r w:rsidR="00920F60">
        <w:instrText xml:space="preserve"> ADDIN EN.CITE &lt;EndNote&gt;&lt;Cite&gt;&lt;Author&gt;Scott&lt;/Author&gt;&lt;Year&gt;2004&lt;/Year&gt;&lt;RecNum&gt;331&lt;/RecNum&gt;&lt;DisplayText&gt;(Scott, 2004)&lt;/DisplayText&gt;&lt;record&gt;&lt;rec-number&gt;331&lt;/rec-number&gt;&lt;foreign-keys&gt;&lt;key app="EN" db-id="wds9909saar09se5x9txwfw7ax9wfe2ftrt2" timestamp="1516657080" guid="52b5ce2b-7abd-45c1-a373-3b5424e46224"&gt;331&lt;/key&gt;&lt;/foreign-keys&gt;&lt;ref-type name="Book Section"&gt;5&lt;/ref-type&gt;&lt;contributors&gt;&lt;authors&gt;&lt;author&gt;Scott, W.&lt;/author&gt;&lt;/authors&gt;&lt;/contributors&gt;&lt;titles&gt;&lt;title&gt;Institutional theory&lt;/title&gt;&lt;secondary-title&gt;Encyclopaedia of social theory&lt;/secondary-title&gt;&lt;/titles&gt;&lt;pages&gt;408-414&lt;/pages&gt;&lt;dates&gt;&lt;year&gt;2004&lt;/year&gt;&lt;/dates&gt;&lt;pub-location&gt;Thousand Oaks, CA.&lt;/pub-location&gt;&lt;publisher&gt;Sage&lt;/publisher&gt;&lt;urls&gt;&lt;/urls&gt;&lt;/record&gt;&lt;/Cite&gt;&lt;/EndNote&gt;</w:instrText>
      </w:r>
      <w:r w:rsidR="00B15225">
        <w:fldChar w:fldCharType="separate"/>
      </w:r>
      <w:r w:rsidR="00B15225">
        <w:rPr>
          <w:noProof/>
        </w:rPr>
        <w:t>(Scott, 2004)</w:t>
      </w:r>
      <w:r w:rsidR="00B15225">
        <w:fldChar w:fldCharType="end"/>
      </w:r>
      <w:r w:rsidR="009C4645">
        <w:t xml:space="preserve"> </w:t>
      </w:r>
      <w:r w:rsidR="007B56E6">
        <w:t>and</w:t>
      </w:r>
      <w:r w:rsidR="009C4645">
        <w:t xml:space="preserve"> </w:t>
      </w:r>
      <w:r w:rsidR="00C259BD">
        <w:t xml:space="preserve">the dominance of </w:t>
      </w:r>
      <w:r w:rsidR="009C4645">
        <w:t xml:space="preserve">neo-liberalism </w:t>
      </w:r>
      <w:r w:rsidR="004439D7">
        <w:t>after</w:t>
      </w:r>
      <w:r w:rsidR="009C4645">
        <w:t xml:space="preserve"> the cold war</w:t>
      </w:r>
      <w:r w:rsidR="002D21F3">
        <w:t xml:space="preserve"> </w:t>
      </w:r>
      <w:r w:rsidR="002D21F3">
        <w:fldChar w:fldCharType="begin"/>
      </w:r>
      <w:r w:rsidR="00920F60">
        <w:instrText xml:space="preserve"> ADDIN EN.CITE &lt;EndNote&gt;&lt;Cite&gt;&lt;Author&gt;Ostry&lt;/Author&gt;&lt;Year&gt;2017&lt;/Year&gt;&lt;RecNum&gt;344&lt;/RecNum&gt;&lt;DisplayText&gt;(Ostry, Loungani, &amp;amp; Furceri, 2017)&lt;/DisplayText&gt;&lt;record&gt;&lt;rec-number&gt;344&lt;/rec-number&gt;&lt;foreign-keys&gt;&lt;key app="EN" db-id="wds9909saar09se5x9txwfw7ax9wfe2ftrt2" timestamp="1516957224" guid="d3fb4da2-2794-400f-a424-c385d5fb20b4"&gt;344&lt;/key&gt;&lt;/foreign-keys&gt;&lt;ref-type name="Journal Article"&gt;17&lt;/ref-type&gt;&lt;contributors&gt;&lt;authors&gt;&lt;author&gt;Ostry, J.&lt;/author&gt;&lt;author&gt;Loungani, P.&lt;/author&gt;&lt;author&gt;Furceri, D.&lt;/author&gt;&lt;/authors&gt;&lt;/contributors&gt;&lt;titles&gt;&lt;title&gt;Neoliberalism: Oversold?&lt;/title&gt;&lt;secondary-title&gt;Finance and Development&lt;/secondary-title&gt;&lt;/titles&gt;&lt;periodical&gt;&lt;full-title&gt;Finance and Development&lt;/full-title&gt;&lt;abbr-1&gt;Finance Devel.&lt;/abbr-1&gt;&lt;abbr-2&gt;Finance Devel&lt;/abbr-2&gt;&lt;/periodical&gt;&lt;pages&gt;38-41&lt;/pages&gt;&lt;volume&gt;2&lt;/volume&gt;&lt;number&gt;2017&lt;/number&gt;&lt;dates&gt;&lt;year&gt;2017&lt;/year&gt;&lt;/dates&gt;&lt;urls&gt;&lt;/urls&gt;&lt;/record&gt;&lt;/Cite&gt;&lt;/EndNote&gt;</w:instrText>
      </w:r>
      <w:r w:rsidR="002D21F3">
        <w:fldChar w:fldCharType="separate"/>
      </w:r>
      <w:r w:rsidR="002D21F3">
        <w:rPr>
          <w:noProof/>
        </w:rPr>
        <w:t>(Ostry, Loungani, &amp; Furceri, 2017)</w:t>
      </w:r>
      <w:r w:rsidR="002D21F3">
        <w:fldChar w:fldCharType="end"/>
      </w:r>
      <w:r w:rsidR="005B0580">
        <w:t xml:space="preserve">. </w:t>
      </w:r>
    </w:p>
    <w:p w14:paraId="64A207ED" w14:textId="58C771EE" w:rsidR="00E0092D" w:rsidRDefault="00C660EE" w:rsidP="00CA7BD9">
      <w:pPr>
        <w:spacing w:line="360" w:lineRule="auto"/>
      </w:pPr>
      <w:r>
        <w:t>T</w:t>
      </w:r>
      <w:r w:rsidR="00C134D2">
        <w:t xml:space="preserve">he </w:t>
      </w:r>
      <w:r w:rsidR="00B15225">
        <w:t xml:space="preserve">institutional theory holds that </w:t>
      </w:r>
      <w:r w:rsidR="00B15225" w:rsidRPr="00B15225">
        <w:t>the institutional environment is more influential in the development of formal structures in organisatio</w:t>
      </w:r>
      <w:r w:rsidR="00352447">
        <w:t>ns than</w:t>
      </w:r>
      <w:r w:rsidR="00B15225" w:rsidRPr="00B15225">
        <w:t xml:space="preserve"> market pressures</w:t>
      </w:r>
      <w:r w:rsidR="00B15225">
        <w:t xml:space="preserve"> </w:t>
      </w:r>
      <w:r w:rsidR="00B15225">
        <w:fldChar w:fldCharType="begin"/>
      </w:r>
      <w:r w:rsidR="00920F60">
        <w:instrText xml:space="preserve"> ADDIN EN.CITE &lt;EndNote&gt;&lt;Cite&gt;&lt;Author&gt;DiMaggio&lt;/Author&gt;&lt;Year&gt;1991&lt;/Year&gt;&lt;RecNum&gt;332&lt;/RecNum&gt;&lt;DisplayText&gt;(DiMaggio &amp;amp; Powell, 1991)&lt;/DisplayText&gt;&lt;record&gt;&lt;rec-number&gt;332&lt;/rec-number&gt;&lt;foreign-keys&gt;&lt;key app="EN" db-id="wds9909saar09se5x9txwfw7ax9wfe2ftrt2" timestamp="1516692348" guid="7caae15a-1f29-4294-a675-77575120258d"&gt;332&lt;/key&gt;&lt;/foreign-keys&gt;&lt;ref-type name="Book Section"&gt;5&lt;/ref-type&gt;&lt;contributors&gt;&lt;authors&gt;&lt;author&gt;DiMaggio, P.&lt;/author&gt;&lt;author&gt;Powell, W.&lt;/author&gt;&lt;/authors&gt;&lt;/contributors&gt;&lt;titles&gt;&lt;title&gt;Introduction&lt;/title&gt;&lt;secondary-title&gt;The new institutionalism and organizational analysis&lt;/secondary-title&gt;&lt;/titles&gt;&lt;pages&gt;1-38&lt;/pages&gt;&lt;dates&gt;&lt;year&gt;1991&lt;/year&gt;&lt;/dates&gt;&lt;pub-location&gt;Chicago&lt;/pub-location&gt;&lt;publisher&gt;University of Chicago Press&lt;/publisher&gt;&lt;urls&gt;&lt;/urls&gt;&lt;/record&gt;&lt;/Cite&gt;&lt;/EndNote&gt;</w:instrText>
      </w:r>
      <w:r w:rsidR="00B15225">
        <w:fldChar w:fldCharType="separate"/>
      </w:r>
      <w:r w:rsidR="00B15225">
        <w:rPr>
          <w:noProof/>
        </w:rPr>
        <w:t>(DiMaggio &amp; Powell, 1991)</w:t>
      </w:r>
      <w:r w:rsidR="00B15225">
        <w:fldChar w:fldCharType="end"/>
      </w:r>
      <w:r w:rsidR="00C134D2">
        <w:t>. C</w:t>
      </w:r>
      <w:r w:rsidR="007A3D61">
        <w:t xml:space="preserve">oercion </w:t>
      </w:r>
      <w:r w:rsidR="00C134D2">
        <w:t>is</w:t>
      </w:r>
      <w:r w:rsidR="007A3D61">
        <w:t xml:space="preserve"> one form of </w:t>
      </w:r>
      <w:r w:rsidR="002D21F3">
        <w:t>pressure from the institutional environment</w:t>
      </w:r>
      <w:r w:rsidR="007A3D61">
        <w:t xml:space="preserve"> that makes organisations</w:t>
      </w:r>
      <w:r w:rsidR="00CA6E48">
        <w:t xml:space="preserve"> </w:t>
      </w:r>
      <w:r w:rsidR="007A3D61">
        <w:t>adopt given institutional structures and practices</w:t>
      </w:r>
      <w:r w:rsidR="00B15225">
        <w:t xml:space="preserve">. </w:t>
      </w:r>
      <w:r w:rsidR="00F80C22">
        <w:t xml:space="preserve">Institutional theorists note </w:t>
      </w:r>
      <w:r w:rsidR="001C6D3F">
        <w:t xml:space="preserve">that </w:t>
      </w:r>
      <w:r w:rsidR="00A45DD3">
        <w:t>coercion</w:t>
      </w:r>
      <w:r w:rsidR="00F80C22">
        <w:t xml:space="preserve"> could make firms adopt specific organisational structures and practices without </w:t>
      </w:r>
      <w:r w:rsidR="007C40E1">
        <w:t xml:space="preserve">critical </w:t>
      </w:r>
      <w:r w:rsidR="00F80C22">
        <w:t>scrutiny to gain legitimacy in the institutional environment</w:t>
      </w:r>
      <w:r w:rsidR="002D21F3">
        <w:t xml:space="preserve"> </w:t>
      </w:r>
      <w:r w:rsidR="002D21F3">
        <w:fldChar w:fldCharType="begin"/>
      </w:r>
      <w:r w:rsidR="00920F60">
        <w:instrText xml:space="preserve"> ADDIN EN.CITE &lt;EndNote&gt;&lt;Cite&gt;&lt;Author&gt;Scott&lt;/Author&gt;&lt;Year&gt;2004&lt;/Year&gt;&lt;RecNum&gt;331&lt;/RecNum&gt;&lt;DisplayText&gt;(Scott, 2004; Martínez-Ferrero &amp;amp; García-Sánchez, 2017)&lt;/DisplayText&gt;&lt;record&gt;&lt;rec-number&gt;331&lt;/rec-number&gt;&lt;foreign-keys&gt;&lt;key app="EN" db-id="wds9909saar09se5x9txwfw7ax9wfe2ftrt2" timestamp="1516657080" guid="52b5ce2b-7abd-45c1-a373-3b5424e46224"&gt;331&lt;/key&gt;&lt;/foreign-keys&gt;&lt;ref-type name="Book Section"&gt;5&lt;/ref-type&gt;&lt;contributors&gt;&lt;authors&gt;&lt;author&gt;Scott, W.&lt;/author&gt;&lt;/authors&gt;&lt;/contributors&gt;&lt;titles&gt;&lt;title&gt;Institutional theory&lt;/title&gt;&lt;secondary-title&gt;Encyclopaedia of social theory&lt;/secondary-title&gt;&lt;/titles&gt;&lt;pages&gt;408-414&lt;/pages&gt;&lt;dates&gt;&lt;year&gt;2004&lt;/year&gt;&lt;/dates&gt;&lt;pub-location&gt;Thousand Oaks, CA.&lt;/pub-location&gt;&lt;publisher&gt;Sage&lt;/publisher&gt;&lt;urls&gt;&lt;/urls&gt;&lt;/record&gt;&lt;/Cite&gt;&lt;Cite&gt;&lt;Author&gt;Martínez-Ferrero&lt;/Author&gt;&lt;Year&gt;2017&lt;/Year&gt;&lt;RecNum&gt;490&lt;/RecNum&gt;&lt;record&gt;&lt;rec-number&gt;490&lt;/rec-number&gt;&lt;foreign-keys&gt;&lt;key app="EN" db-id="wds9909saar09se5x9txwfw7ax9wfe2ftrt2" timestamp="1570569836" guid="7046a7ea-8a03-440d-a533-fd8330b64b69"&gt;490&lt;/key&gt;&lt;/foreign-keys&gt;&lt;ref-type name="Journal Article"&gt;17&lt;/ref-type&gt;&lt;contributors&gt;&lt;authors&gt;&lt;author&gt;Martínez-Ferrero, Jennifer&lt;/author&gt;&lt;author&gt;García-Sánchez, Isabel-María&lt;/author&gt;&lt;/authors&gt;&lt;/contributors&gt;&lt;titles&gt;&lt;title&gt;Coercive, normative and mimetic isomorphism as determinants of the voluntary assurance of sustainability reports&lt;/title&gt;&lt;secondary-title&gt;International Business Review&lt;/secondary-title&gt;&lt;/titles&gt;&lt;periodical&gt;&lt;full-title&gt;International Business Review&lt;/full-title&gt;&lt;/periodical&gt;&lt;pages&gt;102-118&lt;/pages&gt;&lt;volume&gt;26&lt;/volume&gt;&lt;number&gt;1&lt;/number&gt;&lt;dates&gt;&lt;year&gt;2017&lt;/year&gt;&lt;/dates&gt;&lt;isbn&gt;0969-5931&lt;/isbn&gt;&lt;urls&gt;&lt;/urls&gt;&lt;/record&gt;&lt;/Cite&gt;&lt;/EndNote&gt;</w:instrText>
      </w:r>
      <w:r w:rsidR="002D21F3">
        <w:fldChar w:fldCharType="separate"/>
      </w:r>
      <w:r w:rsidR="002D21F3">
        <w:rPr>
          <w:noProof/>
        </w:rPr>
        <w:t>(Scott, 2004; Martínez-Ferrero &amp; García-Sánchez, 2017)</w:t>
      </w:r>
      <w:r w:rsidR="002D21F3">
        <w:fldChar w:fldCharType="end"/>
      </w:r>
      <w:r w:rsidR="00F80C22">
        <w:t xml:space="preserve">. </w:t>
      </w:r>
    </w:p>
    <w:p w14:paraId="7290B4F7" w14:textId="69406F75" w:rsidR="000F07EA" w:rsidRDefault="00CA6E48" w:rsidP="00CA7BD9">
      <w:pPr>
        <w:spacing w:line="360" w:lineRule="auto"/>
      </w:pPr>
      <w:r>
        <w:t>With this hindsight,</w:t>
      </w:r>
      <w:r w:rsidR="005C366B">
        <w:t xml:space="preserve"> </w:t>
      </w:r>
      <w:r w:rsidR="005C366B">
        <w:fldChar w:fldCharType="begin"/>
      </w:r>
      <w:r w:rsidR="00920F60">
        <w:instrText xml:space="preserve"> ADDIN EN.CITE &lt;EndNote&gt;&lt;Cite AuthorYear="1"&gt;&lt;Author&gt;Bateman&lt;/Author&gt;&lt;Year&gt;2010&lt;/Year&gt;&lt;RecNum&gt;348&lt;/RecNum&gt;&lt;DisplayText&gt;Bateman (2010)&lt;/DisplayText&gt;&lt;record&gt;&lt;rec-number&gt;348&lt;/rec-number&gt;&lt;foreign-keys&gt;&lt;key app="EN" db-id="wds9909saar09se5x9txwfw7ax9wfe2ftrt2" timestamp="1517396361" guid="1a72424c-109d-488b-8e43-dd1efacda194"&gt;348&lt;/key&gt;&lt;/foreign-keys&gt;&lt;ref-type name="Book"&gt;6&lt;/ref-type&gt;&lt;contributors&gt;&lt;authors&gt;&lt;author&gt;Bateman, Milford&lt;/author&gt;&lt;/authors&gt;&lt;/contributors&gt;&lt;titles&gt;&lt;title&gt;Why doesn&amp;apos;t microfinance work?: the destructive rise of local neoliberalism&lt;/title&gt;&lt;/titles&gt;&lt;dates&gt;&lt;year&gt;2010&lt;/year&gt;&lt;/dates&gt;&lt;pub-location&gt;London&lt;/pub-location&gt;&lt;publisher&gt;Zed Books Ltd.&lt;/publisher&gt;&lt;isbn&gt;1848138954&lt;/isbn&gt;&lt;urls&gt;&lt;/urls&gt;&lt;/record&gt;&lt;/Cite&gt;&lt;/EndNote&gt;</w:instrText>
      </w:r>
      <w:r w:rsidR="005C366B">
        <w:fldChar w:fldCharType="separate"/>
      </w:r>
      <w:r w:rsidR="005C366B">
        <w:rPr>
          <w:noProof/>
        </w:rPr>
        <w:t>Bateman (2010)</w:t>
      </w:r>
      <w:r w:rsidR="005C366B">
        <w:fldChar w:fldCharType="end"/>
      </w:r>
      <w:r w:rsidR="005C366B">
        <w:t xml:space="preserve"> </w:t>
      </w:r>
      <w:r>
        <w:t xml:space="preserve">traces the pressure to </w:t>
      </w:r>
      <w:r w:rsidR="007A585D">
        <w:t>convert MFIs from NGOs to the commercial model to the rise of neo-liberalism and the insistence that firms be financially self</w:t>
      </w:r>
      <w:r w:rsidR="00352447">
        <w:t>-</w:t>
      </w:r>
      <w:r w:rsidR="007A585D">
        <w:t xml:space="preserve">sustaining instead of relying on government subsidies and, in the case of MFIs, donor funds. </w:t>
      </w:r>
      <w:r w:rsidR="00274EC0">
        <w:t>The wave of economic liberali</w:t>
      </w:r>
      <w:r w:rsidR="00352447">
        <w:t>s</w:t>
      </w:r>
      <w:r w:rsidR="00274EC0">
        <w:t>ation and privati</w:t>
      </w:r>
      <w:r w:rsidR="00352447">
        <w:t>s</w:t>
      </w:r>
      <w:r w:rsidR="00274EC0">
        <w:t>ation that commenced in the early 1990s is a manifestation of neo-liberalism</w:t>
      </w:r>
      <w:r w:rsidR="002D21F3">
        <w:t xml:space="preserve"> </w:t>
      </w:r>
      <w:r w:rsidR="002D21F3">
        <w:fldChar w:fldCharType="begin"/>
      </w:r>
      <w:r w:rsidR="00920F60">
        <w:instrText xml:space="preserve"> ADDIN EN.CITE &lt;EndNote&gt;&lt;Cite&gt;&lt;Author&gt;Silva&lt;/Author&gt;&lt;Year&gt;2018&lt;/Year&gt;&lt;RecNum&gt;491&lt;/RecNum&gt;&lt;DisplayText&gt;(Silva, 2018)&lt;/DisplayText&gt;&lt;record&gt;&lt;rec-number&gt;491&lt;/rec-number&gt;&lt;foreign-keys&gt;&lt;key app="EN" db-id="wds9909saar09se5x9txwfw7ax9wfe2ftrt2" timestamp="1570569989" guid="cbd2c4ae-97fc-43b4-b3ef-b83afaf508c8"&gt;491&lt;/key&gt;&lt;/foreign-keys&gt;&lt;ref-type name="Book Section"&gt;5&lt;/ref-type&gt;&lt;contributors&gt;&lt;authors&gt;&lt;author&gt;Silva, Patricio&lt;/author&gt;&lt;/authors&gt;&lt;/contributors&gt;&lt;titles&gt;&lt;title&gt;Neoliberalism, democratization, and the rise of technocrats&lt;/title&gt;&lt;secondary-title&gt;The Changing Role of the State in Latin America&lt;/secondary-title&gt;&lt;/titles&gt;&lt;pages&gt;75-92&lt;/pages&gt;&lt;dates&gt;&lt;year&gt;2018&lt;/year&gt;&lt;/dates&gt;&lt;publisher&gt;Routledge&lt;/publisher&gt;&lt;urls&gt;&lt;/urls&gt;&lt;/record&gt;&lt;/Cite&gt;&lt;/EndNote&gt;</w:instrText>
      </w:r>
      <w:r w:rsidR="002D21F3">
        <w:fldChar w:fldCharType="separate"/>
      </w:r>
      <w:r w:rsidR="002D21F3">
        <w:rPr>
          <w:noProof/>
        </w:rPr>
        <w:t>(Silva, 2018)</w:t>
      </w:r>
      <w:r w:rsidR="002D21F3">
        <w:fldChar w:fldCharType="end"/>
      </w:r>
      <w:r w:rsidR="00274EC0">
        <w:t>.</w:t>
      </w:r>
      <w:r w:rsidR="00E0092D" w:rsidRPr="00E0092D">
        <w:t xml:space="preserve"> </w:t>
      </w:r>
      <w:r w:rsidR="00CB72D7">
        <w:t>Researchers point to pressure from</w:t>
      </w:r>
      <w:r w:rsidR="008757FF">
        <w:t xml:space="preserve"> financiers of MF </w:t>
      </w:r>
      <w:r w:rsidR="00CB72D7">
        <w:t xml:space="preserve">such as </w:t>
      </w:r>
      <w:r w:rsidR="008757FF">
        <w:t xml:space="preserve">USAID and the World Bank as </w:t>
      </w:r>
      <w:r w:rsidR="00CB72D7">
        <w:t xml:space="preserve">a </w:t>
      </w:r>
      <w:r w:rsidR="00352447">
        <w:t>significant</w:t>
      </w:r>
      <w:r w:rsidR="00CB72D7">
        <w:t xml:space="preserve"> driver for the decision for MFIs to transform</w:t>
      </w:r>
      <w:r w:rsidR="00FF3754">
        <w:t xml:space="preserve"> </w:t>
      </w:r>
      <w:r w:rsidR="00FF3754">
        <w:fldChar w:fldCharType="begin"/>
      </w:r>
      <w:r w:rsidR="00920F60">
        <w:instrText xml:space="preserve"> ADDIN EN.CITE &lt;EndNote&gt;&lt;Cite&gt;&lt;Author&gt;Ostry&lt;/Author&gt;&lt;Year&gt;2017&lt;/Year&gt;&lt;RecNum&gt;344&lt;/RecNum&gt;&lt;DisplayText&gt;(Ostry et al., 2017)&lt;/DisplayText&gt;&lt;record&gt;&lt;rec-number&gt;344&lt;/rec-number&gt;&lt;foreign-keys&gt;&lt;key app="EN" db-id="wds9909saar09se5x9txwfw7ax9wfe2ftrt2" timestamp="1516957224" guid="d3fb4da2-2794-400f-a424-c385d5fb20b4"&gt;344&lt;/key&gt;&lt;/foreign-keys&gt;&lt;ref-type name="Journal Article"&gt;17&lt;/ref-type&gt;&lt;contributors&gt;&lt;authors&gt;&lt;author&gt;Ostry, J.&lt;/author&gt;&lt;author&gt;Loungani, P.&lt;/author&gt;&lt;author&gt;Furceri, D.&lt;/author&gt;&lt;/authors&gt;&lt;/contributors&gt;&lt;titles&gt;&lt;title&gt;Neoliberalism: Oversold?&lt;/title&gt;&lt;secondary-title&gt;Finance and Development&lt;/secondary-title&gt;&lt;/titles&gt;&lt;periodical&gt;&lt;full-title&gt;Finance and Development&lt;/full-title&gt;&lt;abbr-1&gt;Finance Devel.&lt;/abbr-1&gt;&lt;abbr-2&gt;Finance Devel&lt;/abbr-2&gt;&lt;/periodical&gt;&lt;pages&gt;38-41&lt;/pages&gt;&lt;volume&gt;2&lt;/volume&gt;&lt;number&gt;2017&lt;/number&gt;&lt;dates&gt;&lt;year&gt;2017&lt;/year&gt;&lt;/dates&gt;&lt;urls&gt;&lt;/urls&gt;&lt;/record&gt;&lt;/Cite&gt;&lt;/EndNote&gt;</w:instrText>
      </w:r>
      <w:r w:rsidR="00FF3754">
        <w:fldChar w:fldCharType="separate"/>
      </w:r>
      <w:r w:rsidR="002D21F3">
        <w:rPr>
          <w:noProof/>
        </w:rPr>
        <w:t>(Ostry et al., 2017)</w:t>
      </w:r>
      <w:r w:rsidR="00FF3754">
        <w:fldChar w:fldCharType="end"/>
      </w:r>
      <w:r w:rsidR="00CB72D7">
        <w:t xml:space="preserve">. </w:t>
      </w:r>
    </w:p>
    <w:p w14:paraId="11C2E81C" w14:textId="46BB4B8E" w:rsidR="00E0092D" w:rsidRDefault="00352447" w:rsidP="00CA7BD9">
      <w:pPr>
        <w:spacing w:line="360" w:lineRule="auto"/>
      </w:pPr>
      <w:r>
        <w:t>However,</w:t>
      </w:r>
      <w:r w:rsidR="00E0092D">
        <w:t xml:space="preserve"> given that MFIs have a social mission, the transition to a market</w:t>
      </w:r>
      <w:r>
        <w:t>-</w:t>
      </w:r>
      <w:r w:rsidR="00E0092D">
        <w:t>led positioning is bound to conflict with the social objectives and may threaten the legitimacy of the MF industry</w:t>
      </w:r>
      <w:r w:rsidR="00FF3754">
        <w:t xml:space="preserve"> </w:t>
      </w:r>
      <w:r w:rsidR="00FF3754">
        <w:fldChar w:fldCharType="begin"/>
      </w:r>
      <w:r w:rsidR="00920F60">
        <w:instrText xml:space="preserve"> ADDIN EN.CITE &lt;EndNote&gt;&lt;Cite&gt;&lt;Author&gt;Nason&lt;/Author&gt;&lt;Year&gt;2018&lt;/Year&gt;&lt;RecNum&gt;435&lt;/RecNum&gt;&lt;DisplayText&gt;(Ramus &amp;amp; Vaccaro, 2017; Nason et al., 2018)&lt;/DisplayText&gt;&lt;record&gt;&lt;rec-number&gt;435&lt;/rec-number&gt;&lt;foreign-keys&gt;&lt;key app="EN" db-id="wds9909saar09se5x9txwfw7ax9wfe2ftrt2" timestamp="1541596341" guid="919fed23-c30f-4d97-bdf9-97c2ef952700"&gt;435&lt;/key&gt;&lt;/foreign-keys&gt;&lt;ref-type name="Journal Article"&gt;17&lt;/ref-type&gt;&lt;contributors&gt;&lt;authors&gt;&lt;author&gt;Nason, Robert S&lt;/author&gt;&lt;author&gt;Bacq, Sophie&lt;/author&gt;&lt;author&gt;Gras, David&lt;/author&gt;&lt;/authors&gt;&lt;/contributors&gt;&lt;titles&gt;&lt;title&gt;A Behavioral Theory of Social Performance: Social Identity and Stakeholder Expectations&lt;/title&gt;&lt;secondary-title&gt;Academy of Management Review&lt;/secondary-title&gt;&lt;/titles&gt;&lt;pages&gt;259-283&lt;/pages&gt;&lt;volume&gt;43&lt;/volume&gt;&lt;number&gt;2&lt;/number&gt;&lt;dates&gt;&lt;year&gt;2018&lt;/year&gt;&lt;/dates&gt;&lt;isbn&gt;0363-7425&lt;/isbn&gt;&lt;urls&gt;&lt;/urls&gt;&lt;/record&gt;&lt;/Cite&gt;&lt;Cite&gt;&lt;Author&gt;Ramus&lt;/Author&gt;&lt;Year&gt;2017&lt;/Year&gt;&lt;RecNum&gt;307&lt;/RecNum&gt;&lt;record&gt;&lt;rec-number&gt;307&lt;/rec-number&gt;&lt;foreign-keys&gt;&lt;key app="EN" db-id="wds9909saar09se5x9txwfw7ax9wfe2ftrt2" timestamp="1515554567" guid="5a5c8503-ba61-4cc8-b7b8-42a867cdbc30"&gt;307&lt;/key&gt;&lt;/foreign-keys&gt;&lt;ref-type name="Journal Article"&gt;17&lt;/ref-type&gt;&lt;contributors&gt;&lt;authors&gt;&lt;author&gt;Ramus, Tommaso&lt;/author&gt;&lt;author&gt;Vaccaro, Antonino&lt;/author&gt;&lt;/authors&gt;&lt;/contributors&gt;&lt;titles&gt;&lt;title&gt;Stakeholders matter: How social enterprises address mission drift&lt;/title&gt;&lt;secondary-title&gt;Journal of Business Ethics&lt;/secondary-title&gt;&lt;/titles&gt;&lt;periodical&gt;&lt;full-title&gt;Journal of Business Ethics&lt;/full-title&gt;&lt;/periodical&gt;&lt;pages&gt;307-322&lt;/pages&gt;&lt;volume&gt;143&lt;/volume&gt;&lt;number&gt;2&lt;/number&gt;&lt;dates&gt;&lt;year&gt;2017&lt;/year&gt;&lt;pub-dates&gt;&lt;date&gt;June 01&lt;/date&gt;&lt;/pub-dates&gt;&lt;/dates&gt;&lt;isbn&gt;1573-0697&lt;/isbn&gt;&lt;label&gt;Ramus2017&lt;/label&gt;&lt;work-type&gt;journal article&lt;/work-type&gt;&lt;urls&gt;&lt;related-urls&gt;&lt;url&gt;https://doi.org/10.1007/s10551-014-2353-y&lt;/url&gt;&lt;/related-urls&gt;&lt;/urls&gt;&lt;electronic-resource-num&gt;10.1007/s10551-014-2353-y&lt;/electronic-resource-num&gt;&lt;/record&gt;&lt;/Cite&gt;&lt;/EndNote&gt;</w:instrText>
      </w:r>
      <w:r w:rsidR="00FF3754">
        <w:fldChar w:fldCharType="separate"/>
      </w:r>
      <w:r w:rsidR="00FF3754">
        <w:rPr>
          <w:noProof/>
        </w:rPr>
        <w:t>(Ramus &amp; Vaccaro, 2017; Nason et al., 2018)</w:t>
      </w:r>
      <w:r w:rsidR="00FF3754">
        <w:fldChar w:fldCharType="end"/>
      </w:r>
      <w:r w:rsidR="00E0092D">
        <w:t xml:space="preserve">. </w:t>
      </w:r>
      <w:r w:rsidR="00641220">
        <w:t>Specifically, the quest to satisfy both financial objectives and the social mission is likely to</w:t>
      </w:r>
      <w:r w:rsidR="00194C31">
        <w:t xml:space="preserve"> </w:t>
      </w:r>
      <w:r w:rsidR="00641220">
        <w:t>conflict</w:t>
      </w:r>
      <w:r w:rsidR="00294D1C">
        <w:t>,</w:t>
      </w:r>
      <w:r w:rsidR="00641220">
        <w:t xml:space="preserve"> which may cause </w:t>
      </w:r>
      <w:r w:rsidR="00920F60">
        <w:t>"</w:t>
      </w:r>
      <w:r w:rsidR="00641220">
        <w:t>mission drift</w:t>
      </w:r>
      <w:r w:rsidR="00920F60">
        <w:t>"</w:t>
      </w:r>
      <w:r w:rsidR="00641220">
        <w:t xml:space="preserve"> </w:t>
      </w:r>
      <w:r w:rsidR="00641220">
        <w:fldChar w:fldCharType="begin"/>
      </w:r>
      <w:r w:rsidR="00920F60">
        <w:instrText xml:space="preserve"> ADDIN EN.CITE &lt;EndNote&gt;&lt;Cite&gt;&lt;Author&gt;Mia&lt;/Author&gt;&lt;Year&gt;2017&lt;/Year&gt;&lt;RecNum&gt;43&lt;/RecNum&gt;&lt;DisplayText&gt;(Mersland &amp;amp; Strøm, 2010; Mia &amp;amp; Lee, 2017)&lt;/DisplayText&gt;&lt;record&gt;&lt;rec-number&gt;43&lt;/rec-number&gt;&lt;foreign-keys&gt;&lt;key app="EN" db-id="wds9909saar09se5x9txwfw7ax9wfe2ftrt2" timestamp="1502093494" guid="37ae64cd-e73a-4833-ba02-a5f7a4b59335"&gt;43&lt;/key&gt;&lt;/foreign-keys&gt;&lt;ref-type name="Journal Article"&gt;17&lt;/ref-type&gt;&lt;contributors&gt;&lt;authors&gt;&lt;author&gt;Mia, Md Aslam&lt;/author&gt;&lt;author&gt;Lee, Hwok-Aun&lt;/author&gt;&lt;/authors&gt;&lt;/contributors&gt;&lt;titles&gt;&lt;title&gt;Mission drift and ethical crisis in microfinance institutions: What matters?&lt;/title&gt;&lt;secondary-title&gt;Journal of Cleaner Production&lt;/secondary-title&gt;&lt;/titles&gt;&lt;pages&gt;102-114&lt;/pages&gt;&lt;volume&gt;164&lt;/volume&gt;&lt;dates&gt;&lt;year&gt;2017&lt;/year&gt;&lt;/dates&gt;&lt;isbn&gt;0959-6526&lt;/isbn&gt;&lt;urls&gt;&lt;/urls&gt;&lt;/record&gt;&lt;/Cite&gt;&lt;Cite&gt;&lt;Author&gt;Mersland&lt;/Author&gt;&lt;Year&gt;2010&lt;/Year&gt;&lt;RecNum&gt;117&lt;/RecNum&gt;&lt;record&gt;&lt;rec-number&gt;117&lt;/rec-number&gt;&lt;foreign-keys&gt;&lt;key app="EN" db-id="wds9909saar09se5x9txwfw7ax9wfe2ftrt2" timestamp="1506511677" guid="1d8ae4ea-2a7a-444b-9901-ee7b4c316857"&gt;117&lt;/key&gt;&lt;/foreign-keys&gt;&lt;ref-type name="Journal Article"&gt;17&lt;/ref-type&gt;&lt;contributors&gt;&lt;authors&gt;&lt;author&gt;Mersland, Roy&lt;/author&gt;&lt;author&gt;Strøm, R Øystein&lt;/author&gt;&lt;/authors&gt;&lt;/contributors&gt;&lt;titles&gt;&lt;title&gt;Microfinance mission drift?&lt;/title&gt;&lt;secondary-title&gt;World Development&lt;/secondary-title&gt;&lt;/titles&gt;&lt;periodical&gt;&lt;full-title&gt;World Development&lt;/full-title&gt;&lt;abbr-1&gt;World Devel.&lt;/abbr-1&gt;&lt;abbr-2&gt;World Devel&lt;/abbr-2&gt;&lt;/periodical&gt;&lt;pages&gt;28-36&lt;/pages&gt;&lt;volume&gt;38&lt;/volume&gt;&lt;dates&gt;&lt;year&gt;2010&lt;/year&gt;&lt;/dates&gt;&lt;isbn&gt;0305-750X&lt;/isbn&gt;&lt;urls&gt;&lt;/urls&gt;&lt;/record&gt;&lt;/Cite&gt;&lt;/EndNote&gt;</w:instrText>
      </w:r>
      <w:r w:rsidR="00641220">
        <w:fldChar w:fldCharType="separate"/>
      </w:r>
      <w:r w:rsidR="00641220">
        <w:rPr>
          <w:noProof/>
        </w:rPr>
        <w:t>(Mersland &amp; Strøm, 2010; Mia &amp; Lee, 2017)</w:t>
      </w:r>
      <w:r w:rsidR="00641220">
        <w:fldChar w:fldCharType="end"/>
      </w:r>
      <w:r w:rsidR="00641220">
        <w:t xml:space="preserve">. </w:t>
      </w:r>
    </w:p>
    <w:p w14:paraId="14D75018" w14:textId="38DEA95C" w:rsidR="00352447" w:rsidRDefault="00496F6B" w:rsidP="00CA7BD9">
      <w:pPr>
        <w:spacing w:line="360" w:lineRule="auto"/>
      </w:pPr>
      <w:r>
        <w:t>Nonetheless, t</w:t>
      </w:r>
      <w:r w:rsidR="00352447">
        <w:t>he push from donors for the transforming of MFIs</w:t>
      </w:r>
      <w:r w:rsidR="00534B99">
        <w:t xml:space="preserve"> </w:t>
      </w:r>
      <w:r w:rsidR="003C3177">
        <w:t>seems to contradict with</w:t>
      </w:r>
      <w:r w:rsidR="00534B99">
        <w:t xml:space="preserve"> the </w:t>
      </w:r>
      <w:r w:rsidR="003C3177">
        <w:t xml:space="preserve">slow </w:t>
      </w:r>
      <w:r w:rsidR="00CF0CDF">
        <w:t>pace of the</w:t>
      </w:r>
      <w:r w:rsidR="00534B99">
        <w:t xml:space="preserve"> transformation.</w:t>
      </w:r>
      <w:r w:rsidR="00CF0CDF">
        <w:t xml:space="preserve"> </w:t>
      </w:r>
      <w:r w:rsidR="00840079">
        <w:t>NGOs still form</w:t>
      </w:r>
      <w:r w:rsidR="005164E8">
        <w:t xml:space="preserve"> </w:t>
      </w:r>
      <w:r w:rsidR="00194C31">
        <w:t>a substantial proportion</w:t>
      </w:r>
      <w:r w:rsidR="00840079">
        <w:t xml:space="preserve"> of MFIs</w:t>
      </w:r>
      <w:r w:rsidR="00961905">
        <w:t xml:space="preserve"> in Africa</w:t>
      </w:r>
      <w:r w:rsidR="00FF3754">
        <w:t xml:space="preserve">, accounting for </w:t>
      </w:r>
      <w:r w:rsidR="00194C31">
        <w:t>32</w:t>
      </w:r>
      <w:r w:rsidR="00FF3754">
        <w:t>%</w:t>
      </w:r>
      <w:r w:rsidR="00194C31">
        <w:t>, second only to Non-Bank Financial Institutions (NBFIs) at 40%</w:t>
      </w:r>
      <w:r w:rsidR="00961905">
        <w:t xml:space="preserve"> </w:t>
      </w:r>
      <w:r w:rsidR="00961905">
        <w:fldChar w:fldCharType="begin"/>
      </w:r>
      <w:r w:rsidR="00920F60">
        <w:instrText xml:space="preserve"> ADDIN EN.CITE &lt;EndNote&gt;&lt;Cite&gt;&lt;Author&gt;Microfinance Information Exchange (MIX)&lt;/Author&gt;&lt;Year&gt;2019&lt;/Year&gt;&lt;RecNum&gt;486&lt;/RecNum&gt;&lt;DisplayText&gt;(Microfinance Information Exchange (MIX), 2019)&lt;/DisplayText&gt;&lt;record&gt;&lt;rec-number&gt;486&lt;/rec-number&gt;&lt;foreign-keys&gt;&lt;key app="EN" db-id="wds9909saar09se5x9txwfw7ax9wfe2ftrt2" timestamp="1569780389" guid="5f2e36d9-7b2b-473d-bb68-550982cb089b"&gt;486&lt;/key&gt;&lt;/foreign-keys&gt;&lt;ref-type name="Report"&gt;27&lt;/ref-type&gt;&lt;contributors&gt;&lt;authors&gt;&lt;author&gt;Microfinance Information Exchange (MIX), &lt;/author&gt;&lt;/authors&gt;&lt;/contributors&gt;&lt;titles&gt;&lt;title&gt;Global Outreach &amp;amp; Financial Performance Benchmark Report - 2017-2018&lt;/title&gt;&lt;/titles&gt;&lt;dates&gt;&lt;year&gt;2019&lt;/year&gt;&lt;/dates&gt;&lt;pub-location&gt;New York&lt;/pub-location&gt;&lt;publisher&gt;MIX&lt;/publisher&gt;&lt;urls&gt;&lt;related-urls&gt;&lt;url&gt;https://www.themix.org/sites/default/files/mix_market_global_outreach_financial_benchmark_report_2017-2018.pdf&lt;/url&gt;&lt;/related-urls&gt;&lt;/urls&gt;&lt;/record&gt;&lt;/Cite&gt;&lt;/EndNote&gt;</w:instrText>
      </w:r>
      <w:r w:rsidR="00961905">
        <w:fldChar w:fldCharType="separate"/>
      </w:r>
      <w:r w:rsidR="00961905">
        <w:rPr>
          <w:noProof/>
        </w:rPr>
        <w:t>(Microfinance Information Exchange (MIX), 2019)</w:t>
      </w:r>
      <w:r w:rsidR="00961905">
        <w:fldChar w:fldCharType="end"/>
      </w:r>
      <w:r w:rsidR="00194C31">
        <w:t xml:space="preserve">. </w:t>
      </w:r>
      <w:r w:rsidR="00352447">
        <w:t>A question arises re</w:t>
      </w:r>
      <w:r w:rsidR="00DC66FE">
        <w:t>g</w:t>
      </w:r>
      <w:r w:rsidR="00352447">
        <w:t>arding the factors behind the persistence of certain organi</w:t>
      </w:r>
      <w:r w:rsidR="00DC66FE">
        <w:t>s</w:t>
      </w:r>
      <w:r w:rsidR="00352447">
        <w:t xml:space="preserve">ational forms of MFI provision in Africa and across the globe. </w:t>
      </w:r>
    </w:p>
    <w:p w14:paraId="622A9E38" w14:textId="1AE9ACA8" w:rsidR="001965AD" w:rsidRDefault="00C76334" w:rsidP="00CA7BD9">
      <w:pPr>
        <w:spacing w:line="360" w:lineRule="auto"/>
      </w:pPr>
      <w:r>
        <w:lastRenderedPageBreak/>
        <w:fldChar w:fldCharType="begin"/>
      </w:r>
      <w:r w:rsidR="00920F60">
        <w:instrText xml:space="preserve"> ADDIN EN.CITE &lt;EndNote&gt;&lt;Cite AuthorYear="1"&gt;&lt;Author&gt;Pashkova&lt;/Author&gt;&lt;Year&gt;2016&lt;/Year&gt;&lt;RecNum&gt;283&lt;/RecNum&gt;&lt;DisplayText&gt;Pashkova et al. (2016)&lt;/DisplayText&gt;&lt;record&gt;&lt;rec-number&gt;283&lt;/rec-number&gt;&lt;foreign-keys&gt;&lt;key app="EN" db-id="wds9909saar09se5x9txwfw7ax9wfe2ftrt2" timestamp="1515455455" guid="61a245bb-f3e4-4e23-a2a5-799c9147475e"&gt;283&lt;/key&gt;&lt;/foreign-keys&gt;&lt;ref-type name="Journal Article"&gt;17&lt;/ref-type&gt;&lt;contributors&gt;&lt;authors&gt;&lt;author&gt;Pashkova, N.&lt;/author&gt;&lt;author&gt;Trujillo-Barrera, A.&lt;/author&gt;&lt;author&gt;Apostolakis, G.&lt;/author&gt;&lt;author&gt;Van Dijk, G.&lt;/author&gt;&lt;author&gt;Drakos, P.&lt;/author&gt;&lt;author&gt;Baourakis, G.&lt;/author&gt;&lt;/authors&gt;&lt;/contributors&gt;&lt;titles&gt;&lt;title&gt;Business management models of microfinance institutions (MFIs) in Africa: A study into their enabling environments&lt;/title&gt;&lt;secondary-title&gt;International Journal of Food and Beverage Manufacturing and Business Models &lt;/secondary-title&gt;&lt;/titles&gt;&lt;pages&gt;63-82&lt;/pages&gt;&lt;volume&gt;2&lt;/volume&gt;&lt;number&gt;2&lt;/number&gt;&lt;dates&gt;&lt;year&gt;2016&lt;/year&gt;&lt;/dates&gt;&lt;urls&gt;&lt;/urls&gt;&lt;/record&gt;&lt;/Cite&gt;&lt;/EndNote&gt;</w:instrText>
      </w:r>
      <w:r>
        <w:fldChar w:fldCharType="separate"/>
      </w:r>
      <w:r>
        <w:rPr>
          <w:noProof/>
        </w:rPr>
        <w:t>Pashkova et al. (2016)</w:t>
      </w:r>
      <w:r>
        <w:fldChar w:fldCharType="end"/>
      </w:r>
      <w:r>
        <w:t xml:space="preserve"> </w:t>
      </w:r>
      <w:r w:rsidR="00352447">
        <w:t>tackle</w:t>
      </w:r>
      <w:r w:rsidR="00CB53ED">
        <w:t>d</w:t>
      </w:r>
      <w:r w:rsidR="00352447">
        <w:t xml:space="preserve"> this question. </w:t>
      </w:r>
      <w:r>
        <w:t>They f</w:t>
      </w:r>
      <w:r w:rsidR="00A0270B">
        <w:t>ou</w:t>
      </w:r>
      <w:r>
        <w:t xml:space="preserve">nd that </w:t>
      </w:r>
      <w:r w:rsidR="003C3177">
        <w:t>f</w:t>
      </w:r>
      <w:r w:rsidRPr="00C76334">
        <w:t>or instance, the cooperative model is prevalent in economies that have civil law systems, low levels of inflation and high economic growth rates. In contrast, NGO type MFIs feature in countries with high inflation rates and low levels of economic growth</w:t>
      </w:r>
      <w:r w:rsidR="00DC66FE">
        <w:t xml:space="preserve">- meaning that NGOs assist the poor to cope </w:t>
      </w:r>
      <w:r w:rsidR="000B037A">
        <w:t>during</w:t>
      </w:r>
      <w:r w:rsidR="00DC66FE">
        <w:t xml:space="preserve"> hard economic times</w:t>
      </w:r>
      <w:r w:rsidRPr="00C76334">
        <w:t>. The commercial banking model features most in economies with common law legal systems.</w:t>
      </w:r>
      <w:r>
        <w:t xml:space="preserve"> </w:t>
      </w:r>
      <w:r w:rsidR="00A0270B">
        <w:t>However, t</w:t>
      </w:r>
      <w:r>
        <w:t xml:space="preserve">he study </w:t>
      </w:r>
      <w:r w:rsidR="005164E8">
        <w:t xml:space="preserve">by </w:t>
      </w:r>
      <w:proofErr w:type="spellStart"/>
      <w:r w:rsidR="005164E8">
        <w:t>Pashkova</w:t>
      </w:r>
      <w:proofErr w:type="spellEnd"/>
      <w:r w:rsidR="005164E8">
        <w:t xml:space="preserve"> </w:t>
      </w:r>
      <w:r>
        <w:t xml:space="preserve">does not </w:t>
      </w:r>
      <w:r w:rsidR="005164E8">
        <w:t xml:space="preserve">explicitly </w:t>
      </w:r>
      <w:r>
        <w:t>address the transformation question; factors that determine the transformation of MFIs from NGOs to a commercial model</w:t>
      </w:r>
      <w:r w:rsidR="00273DFD">
        <w:t xml:space="preserve"> that</w:t>
      </w:r>
      <w:r w:rsidR="00E00F1A">
        <w:t xml:space="preserve"> are</w:t>
      </w:r>
      <w:r w:rsidR="00273DFD">
        <w:t xml:space="preserve"> the subject of this article</w:t>
      </w:r>
      <w:r>
        <w:t xml:space="preserve">. </w:t>
      </w:r>
    </w:p>
    <w:p w14:paraId="57485773" w14:textId="1AC63C37" w:rsidR="00756C19" w:rsidRDefault="00DC66FE" w:rsidP="00CA7BD9">
      <w:pPr>
        <w:spacing w:line="360" w:lineRule="auto"/>
      </w:pPr>
      <w:r>
        <w:t>The capacity of the capital markets and its antecedents may raise t</w:t>
      </w:r>
      <w:r w:rsidR="00C76334">
        <w:t>he propensity for</w:t>
      </w:r>
      <w:r w:rsidR="003C3177">
        <w:t xml:space="preserve"> the</w:t>
      </w:r>
      <w:r>
        <w:t xml:space="preserve"> transformation of MFIs</w:t>
      </w:r>
      <w:r w:rsidR="00C76334">
        <w:t xml:space="preserve">. </w:t>
      </w:r>
      <w:r w:rsidR="00C134D2">
        <w:t xml:space="preserve"> MFIs </w:t>
      </w:r>
      <w:r>
        <w:t>located in countries with well-developed capital markets can efficiently issue debt and equity instruments, and</w:t>
      </w:r>
      <w:r w:rsidR="00602FDE">
        <w:t xml:space="preserve"> </w:t>
      </w:r>
      <w:r>
        <w:t xml:space="preserve">raise deposits from the public </w:t>
      </w:r>
      <w:r>
        <w:fldChar w:fldCharType="begin"/>
      </w:r>
      <w:r w:rsidR="00920F60">
        <w:instrText xml:space="preserve"> ADDIN EN.CITE &lt;EndNote&gt;&lt;Cite&gt;&lt;Author&gt;Allen&lt;/Author&gt;&lt;Year&gt;2014&lt;/Year&gt;&lt;RecNum&gt;466&lt;/RecNum&gt;&lt;DisplayText&gt;(Allen et al., 2013, 2014)&lt;/DisplayText&gt;&lt;record&gt;&lt;rec-number&gt;466&lt;/rec-number&gt;&lt;foreign-keys&gt;&lt;key app="EN" db-id="wds9909saar09se5x9txwfw7ax9wfe2ftrt2" timestamp="1555849956" guid="909c69ab-0ea5-454b-ae02-2a6e09bb8b53"&gt;466&lt;/key&gt;&lt;/foreign-keys&gt;&lt;ref-type name="Journal Article"&gt;17&lt;/ref-type&gt;&lt;contributors&gt;&lt;authors&gt;&lt;author&gt;Allen,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Patricio&lt;/author&gt;&lt;/authors&gt;&lt;/contributors&gt;&lt;titles&gt;&lt;title&gt;The African financial development and financial inclusion gaps&lt;/title&gt;&lt;secondary-title&gt;Journal of African economies&lt;/secondary-title&gt;&lt;/titles&gt;&lt;periodical&gt;&lt;full-title&gt;Journal of African Economies&lt;/full-title&gt;&lt;abbr-1&gt;J. African Economies&lt;/abbr-1&gt;&lt;abbr-2&gt;J African Economies&lt;/abbr-2&gt;&lt;/periodical&gt;&lt;pages&gt;614-642&lt;/pages&gt;&lt;volume&gt;23&lt;/volume&gt;&lt;number&gt;5&lt;/number&gt;&lt;dates&gt;&lt;year&gt;2014&lt;/year&gt;&lt;/dates&gt;&lt;isbn&gt;1464-3723&lt;/isbn&gt;&lt;urls&gt;&lt;/urls&gt;&lt;/record&gt;&lt;/Cite&gt;&lt;Cite&gt;&lt;Author&gt;Allen&lt;/Author&gt;&lt;Year&gt;2013&lt;/Year&gt;&lt;RecNum&gt;465&lt;/RecNum&gt;&lt;record&gt;&lt;rec-number&gt;465&lt;/rec-number&gt;&lt;foreign-keys&gt;&lt;key app="EN" db-id="wds9909saar09se5x9txwfw7ax9wfe2ftrt2" timestamp="1555849867" guid="a61c35a9-06d4-4aab-9a05-5e0fa2759621"&gt;465&lt;/key&gt;&lt;/foreign-keys&gt;&lt;ref-type name="Book"&gt;6&lt;/ref-type&gt;&lt;contributors&gt;&lt;authors&gt;&lt;author&gt;Allen,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Patricio&lt;/author&gt;&lt;/authors&gt;&lt;/contributors&gt;&lt;titles&gt;&lt;title&gt;Resolving the African financial development gap: Cross-country comparisons and a within-country study of Kenya&lt;/title&gt;&lt;/titles&gt;&lt;dates&gt;&lt;year&gt;2013&lt;/year&gt;&lt;/dates&gt;&lt;pub-location&gt;New York&lt;/pub-location&gt;&lt;publisher&gt;The World Bank&lt;/publisher&gt;&lt;isbn&gt;1813-9450&lt;/isbn&gt;&lt;urls&gt;&lt;/urls&gt;&lt;/record&gt;&lt;/Cite&gt;&lt;/EndNote&gt;</w:instrText>
      </w:r>
      <w:r>
        <w:fldChar w:fldCharType="separate"/>
      </w:r>
      <w:r w:rsidR="00C660EE">
        <w:rPr>
          <w:noProof/>
        </w:rPr>
        <w:t>(Allen et al., 2013, 2014)</w:t>
      </w:r>
      <w:r>
        <w:fldChar w:fldCharType="end"/>
      </w:r>
      <w:r>
        <w:t xml:space="preserve">. </w:t>
      </w:r>
      <w:r w:rsidR="00C660EE">
        <w:t xml:space="preserve">Available literature points to legal tradition, governance and education as drivers of financial development in </w:t>
      </w:r>
      <w:r w:rsidR="006714E1">
        <w:t xml:space="preserve">a </w:t>
      </w:r>
      <w:r w:rsidR="00C660EE">
        <w:t>country</w:t>
      </w:r>
      <w:r w:rsidR="00F6785A">
        <w:t xml:space="preserve"> </w:t>
      </w:r>
      <w:r w:rsidR="00F6785A">
        <w:fldChar w:fldCharType="begin"/>
      </w:r>
      <w:r w:rsidR="00920F60">
        <w:instrText xml:space="preserve"> ADDIN EN.CITE &lt;EndNote&gt;&lt;Cite&gt;&lt;Author&gt;Baltagi&lt;/Author&gt;&lt;Year&gt;2009&lt;/Year&gt;&lt;RecNum&gt;495&lt;/RecNum&gt;&lt;DisplayText&gt;(Rajan &amp;amp; Zingales, 1998; Baltagi, Demetriades, &amp;amp; Law, 2009)&lt;/DisplayText&gt;&lt;record&gt;&lt;rec-number&gt;495&lt;/rec-number&gt;&lt;foreign-keys&gt;&lt;key app="EN" db-id="wds9909saar09se5x9txwfw7ax9wfe2ftrt2" timestamp="1570635827" guid="06b30fbc-3cb9-48f7-a8b9-54b2f8157045"&gt;495&lt;/key&gt;&lt;/foreign-keys&gt;&lt;ref-type name="Journal Article"&gt;17&lt;/ref-type&gt;&lt;contributors&gt;&lt;authors&gt;&lt;author&gt;Baltagi, Badi H&lt;/author&gt;&lt;author&gt;Demetriades, Panicos O&lt;/author&gt;&lt;author&gt;Law, Siong Hook&lt;/author&gt;&lt;/authors&gt;&lt;/contributors&gt;&lt;titles&gt;&lt;title&gt;Financial development and openness: Evidence from panel data&lt;/title&gt;&lt;secondary-title&gt;Journal of development economics&lt;/secondary-title&gt;&lt;/titles&gt;&lt;periodical&gt;&lt;full-title&gt;Journal of Development Economics&lt;/full-title&gt;&lt;abbr-1&gt;J. Devel. Econ.&lt;/abbr-1&gt;&lt;abbr-2&gt;J Devel Econ&lt;/abbr-2&gt;&lt;/periodical&gt;&lt;pages&gt;285-296&lt;/pages&gt;&lt;volume&gt;89&lt;/volume&gt;&lt;number&gt;2&lt;/number&gt;&lt;dates&gt;&lt;year&gt;2009&lt;/year&gt;&lt;/dates&gt;&lt;isbn&gt;0304-3878&lt;/isbn&gt;&lt;urls&gt;&lt;/urls&gt;&lt;/record&gt;&lt;/Cite&gt;&lt;Cite&gt;&lt;Author&gt;Rajan&lt;/Author&gt;&lt;Year&gt;1998&lt;/Year&gt;&lt;RecNum&gt;480&lt;/RecNum&gt;&lt;record&gt;&lt;rec-number&gt;480&lt;/rec-number&gt;&lt;foreign-keys&gt;&lt;key app="EN" db-id="wds9909saar09se5x9txwfw7ax9wfe2ftrt2" timestamp="1556466879" guid="a2713734-b1e6-431b-8eef-d1347ff3fe58"&gt;480&lt;/key&gt;&lt;/foreign-keys&gt;&lt;ref-type name="Journal Article"&gt;17&lt;/ref-type&gt;&lt;contributors&gt;&lt;authors&gt;&lt;author&gt;Rajan, Raghuram&lt;/author&gt;&lt;author&gt;Zingales, Luigi&lt;/author&gt;&lt;/authors&gt;&lt;/contributors&gt;&lt;titles&gt;&lt;title&gt;Financial development and growth&lt;/title&gt;&lt;secondary-title&gt;American Economic Review&lt;/secondary-title&gt;&lt;/titles&gt;&lt;periodical&gt;&lt;full-title&gt;American Economic Review&lt;/full-title&gt;&lt;abbr-1&gt;Amer. Econ. Rev.&lt;/abbr-1&gt;&lt;abbr-2&gt;Amer Econ Rev&lt;/abbr-2&gt;&lt;/periodical&gt;&lt;pages&gt;559-586&lt;/pages&gt;&lt;volume&gt;88&lt;/volume&gt;&lt;number&gt;3&lt;/number&gt;&lt;dates&gt;&lt;year&gt;1998&lt;/year&gt;&lt;/dates&gt;&lt;urls&gt;&lt;/urls&gt;&lt;/record&gt;&lt;/Cite&gt;&lt;/EndNote&gt;</w:instrText>
      </w:r>
      <w:r w:rsidR="00F6785A">
        <w:fldChar w:fldCharType="separate"/>
      </w:r>
      <w:r w:rsidR="00F6785A">
        <w:rPr>
          <w:noProof/>
        </w:rPr>
        <w:t>(Rajan &amp; Zingales, 1998; Baltagi, Demetriades, &amp; Law, 2009)</w:t>
      </w:r>
      <w:r w:rsidR="00F6785A">
        <w:fldChar w:fldCharType="end"/>
      </w:r>
      <w:r w:rsidR="009B1483">
        <w:t xml:space="preserve"> and which, by extension drives economic growth</w:t>
      </w:r>
      <w:r w:rsidR="00A45DD3">
        <w:t xml:space="preserve"> as per the financial development-</w:t>
      </w:r>
      <w:r w:rsidR="001C6D3F">
        <w:t xml:space="preserve">economic </w:t>
      </w:r>
      <w:r w:rsidR="00A45DD3">
        <w:t>growth nexus literature</w:t>
      </w:r>
      <w:r w:rsidR="009B1483">
        <w:t xml:space="preserve"> </w:t>
      </w:r>
      <w:r w:rsidR="009B1483">
        <w:fldChar w:fldCharType="begin"/>
      </w:r>
      <w:r w:rsidR="00920F60">
        <w:instrText xml:space="preserve"> ADDIN EN.CITE &lt;EndNote&gt;&lt;Cite&gt;&lt;Author&gt;Claessens&lt;/Author&gt;&lt;Year&gt;2003&lt;/Year&gt;&lt;RecNum&gt;484&lt;/RecNum&gt;&lt;DisplayText&gt;(Claessens &amp;amp; Laeven, 2003)&lt;/DisplayText&gt;&lt;record&gt;&lt;rec-number&gt;484&lt;/rec-number&gt;&lt;foreign-keys&gt;&lt;key app="EN" db-id="wds9909saar09se5x9txwfw7ax9wfe2ftrt2" timestamp="1562609139" guid="54332a3c-812b-493f-8b53-1b1432f4bd28"&gt;484&lt;/key&gt;&lt;/foreign-keys&gt;&lt;ref-type name="Journal Article"&gt;17&lt;/ref-type&gt;&lt;contributors&gt;&lt;authors&gt;&lt;author&gt;Claessens, Stijn&lt;/author&gt;&lt;author&gt;Laeven, Luc&lt;/author&gt;&lt;/authors&gt;&lt;/contributors&gt;&lt;titles&gt;&lt;title&gt;Financial development, property rights, and growth&lt;/title&gt;&lt;secondary-title&gt;The Journal of Finance&lt;/secondary-title&gt;&lt;/titles&gt;&lt;periodical&gt;&lt;full-title&gt;The Journal of finance&lt;/full-title&gt;&lt;/periodical&gt;&lt;pages&gt;2401-2436&lt;/pages&gt;&lt;volume&gt;58&lt;/volume&gt;&lt;number&gt;6&lt;/number&gt;&lt;dates&gt;&lt;year&gt;2003&lt;/year&gt;&lt;/dates&gt;&lt;isbn&gt;0022-1082&lt;/isbn&gt;&lt;urls&gt;&lt;/urls&gt;&lt;/record&gt;&lt;/Cite&gt;&lt;/EndNote&gt;</w:instrText>
      </w:r>
      <w:r w:rsidR="009B1483">
        <w:fldChar w:fldCharType="separate"/>
      </w:r>
      <w:r w:rsidR="009B1483">
        <w:rPr>
          <w:noProof/>
        </w:rPr>
        <w:t>(Claessens &amp; Laeven, 2003)</w:t>
      </w:r>
      <w:r w:rsidR="009B1483">
        <w:fldChar w:fldCharType="end"/>
      </w:r>
      <w:r w:rsidR="00C660EE">
        <w:t xml:space="preserve">. </w:t>
      </w:r>
      <w:r w:rsidR="009B1483">
        <w:t>Also</w:t>
      </w:r>
      <w:r w:rsidR="00D5774F">
        <w:t>, the size of</w:t>
      </w:r>
      <w:r w:rsidR="00F56FD4">
        <w:t xml:space="preserve"> an MFI in terms of assets base, structure, and</w:t>
      </w:r>
      <w:r w:rsidR="00C0306A">
        <w:t xml:space="preserve"> tangibility </w:t>
      </w:r>
      <w:r w:rsidR="00D5774F">
        <w:t xml:space="preserve">could enhance its capital acquisition capacity in line with the </w:t>
      </w:r>
      <w:proofErr w:type="spellStart"/>
      <w:r w:rsidR="00D5774F">
        <w:t>tradeoff</w:t>
      </w:r>
      <w:proofErr w:type="spellEnd"/>
      <w:r w:rsidR="00D5774F">
        <w:t xml:space="preserve"> theory of capital structure</w:t>
      </w:r>
      <w:r w:rsidR="00C0306A">
        <w:t xml:space="preserve"> </w:t>
      </w:r>
      <w:r w:rsidR="00C0306A">
        <w:fldChar w:fldCharType="begin">
          <w:fldData xml:space="preserve">PEVuZE5vdGU+PENpdGU+PEF1dGhvcj5Hd2F0aWR6bzwvQXV0aG9yPjxZZWFyPjIwMDk8L1llYXI+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==
</w:fldData>
        </w:fldChar>
      </w:r>
      <w:r w:rsidR="00920F60">
        <w:instrText xml:space="preserve"> ADDIN EN.CITE </w:instrText>
      </w:r>
      <w:r w:rsidR="00920F60">
        <w:fldChar w:fldCharType="begin">
          <w:fldData xml:space="preserve">PEVuZE5vdGU+PENpdGU+PEF1dGhvcj5Hd2F0aWR6bzwvQXV0aG9yPjxZZWFyPjIwMDk8L1llYXI+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==
</w:fldData>
        </w:fldChar>
      </w:r>
      <w:r w:rsidR="00920F60">
        <w:instrText xml:space="preserve"> ADDIN EN.CITE.DATA </w:instrText>
      </w:r>
      <w:r w:rsidR="00920F60">
        <w:fldChar w:fldCharType="end"/>
      </w:r>
      <w:r w:rsidR="00C0306A">
        <w:fldChar w:fldCharType="separate"/>
      </w:r>
      <w:r w:rsidR="00C0306A">
        <w:rPr>
          <w:noProof/>
        </w:rPr>
        <w:t>(Barclay &amp; Smith, 2005; Gwatidzo &amp; Ojah, 2009; Ojah &amp; Ombati, 2016)</w:t>
      </w:r>
      <w:r w:rsidR="00C0306A">
        <w:fldChar w:fldCharType="end"/>
      </w:r>
      <w:r w:rsidR="00D5774F">
        <w:t xml:space="preserve">. </w:t>
      </w:r>
    </w:p>
    <w:p w14:paraId="5AC3C09A" w14:textId="4612132A" w:rsidR="003D455D" w:rsidRDefault="00BF07FA" w:rsidP="00CA7BD9">
      <w:pPr>
        <w:spacing w:line="360" w:lineRule="auto"/>
      </w:pPr>
      <w:r>
        <w:fldChar w:fldCharType="begin"/>
      </w:r>
      <w:r w:rsidR="00920F60">
        <w:instrText xml:space="preserve"> ADDIN EN.CITE &lt;EndNote&gt;&lt;Cite AuthorYear="1"&gt;&lt;Author&gt;Ledgerwood&lt;/Author&gt;&lt;Year&gt;2006&lt;/Year&gt;&lt;RecNum&gt;119&lt;/RecNum&gt;&lt;DisplayText&gt;Ledgerwood and White (2006)&lt;/DisplayText&gt;&lt;record&gt;&lt;rec-number&gt;119&lt;/rec-number&gt;&lt;foreign-keys&gt;&lt;key app="EN" db-id="wds9909saar09se5x9txwfw7ax9wfe2ftrt2" timestamp="1506515826" guid="93aa6ee4-8d30-4220-a7eb-d8c302fc710f"&gt;119&lt;/key&gt;&lt;/foreign-keys&gt;&lt;ref-type name="Book"&gt;6&lt;/ref-type&gt;&lt;contributors&gt;&lt;authors&gt;&lt;author&gt;Ledgerwood, Joanna&lt;/author&gt;&lt;author&gt;White, Victoria&lt;/author&gt;&lt;/authors&gt;&lt;/contributors&gt;&lt;titles&gt;&lt;title&gt;Transforming microfinance institutions: providing full financial services to the poor&lt;/title&gt;&lt;/titles&gt;&lt;dates&gt;&lt;year&gt;2006&lt;/year&gt;&lt;/dates&gt;&lt;pub-location&gt;New York&lt;/pub-location&gt;&lt;publisher&gt;World Bank Publications&lt;/publisher&gt;&lt;isbn&gt;0821366165&lt;/isbn&gt;&lt;urls&gt;&lt;/urls&gt;&lt;/record&gt;&lt;/Cite&gt;&lt;/EndNote&gt;</w:instrText>
      </w:r>
      <w:r>
        <w:fldChar w:fldCharType="separate"/>
      </w:r>
      <w:r>
        <w:rPr>
          <w:noProof/>
        </w:rPr>
        <w:t>Ledgerwood and White (2006)</w:t>
      </w:r>
      <w:r>
        <w:fldChar w:fldCharType="end"/>
      </w:r>
      <w:r>
        <w:t xml:space="preserve"> attribute the financing structure, and hence the organisational form of an MFI to the institutional life cycle. In the early stages, for instance, most MFIs operate as NGOs relying on </w:t>
      </w:r>
      <w:r w:rsidRPr="00BF07FA">
        <w:t>donations and concessionary funds</w:t>
      </w:r>
      <w:r>
        <w:t>, given that commercial funders deem them too risky.</w:t>
      </w:r>
      <w:r w:rsidR="00D46989">
        <w:t xml:space="preserve"> Later, they supplement their funding through government subsidies and equity funding from NGOs and public investors. </w:t>
      </w:r>
      <w:r w:rsidR="002256F2">
        <w:t>In the final, consolidation phase, most MFIs rely on debt, using foreign donors as guarantees, and deposits</w:t>
      </w:r>
      <w:r w:rsidR="00E6520A">
        <w:t>, and increasingly adopt the commercial model</w:t>
      </w:r>
      <w:r w:rsidR="002256F2">
        <w:t xml:space="preserve">. </w:t>
      </w:r>
      <w:r w:rsidR="00E6520A">
        <w:t>Thus, the age of an MFI has a bearing on both the capital structure and organisational structure</w:t>
      </w:r>
      <w:r w:rsidR="00C134D2">
        <w:t xml:space="preserve">, </w:t>
      </w:r>
      <w:r w:rsidR="00496F6B">
        <w:t xml:space="preserve">with </w:t>
      </w:r>
      <w:r w:rsidR="00C134D2">
        <w:t>firm-level</w:t>
      </w:r>
      <w:r w:rsidR="005120A7">
        <w:t xml:space="preserve">, country and regional, </w:t>
      </w:r>
      <w:r w:rsidR="00A42D4E">
        <w:t>disparities attributable to regulatory provisions relating to the ways MFIs can raise capital and historical legacies on saving and lending</w:t>
      </w:r>
      <w:r w:rsidR="00602FDE">
        <w:t xml:space="preserve"> </w:t>
      </w:r>
      <w:r w:rsidR="00602FDE">
        <w:fldChar w:fldCharType="begin"/>
      </w:r>
      <w:r w:rsidR="00920F60">
        <w:instrText xml:space="preserve"> ADDIN EN.CITE &lt;EndNote&gt;&lt;Cite&gt;&lt;Author&gt;Bayai&lt;/Author&gt;&lt;Year&gt;2016&lt;/Year&gt;&lt;RecNum&gt;319&lt;/RecNum&gt;&lt;DisplayText&gt;(Bayai &amp;amp; Ikhide, 2016)&lt;/DisplayText&gt;&lt;record&gt;&lt;rec-number&gt;319&lt;/rec-number&gt;&lt;foreign-keys&gt;&lt;key app="EN" db-id="wds9909saar09se5x9txwfw7ax9wfe2ftrt2" timestamp="1516045851" guid="ee8d8706-126d-4050-a2c3-6dce19924f49"&gt;319&lt;/key&gt;&lt;/foreign-keys&gt;&lt;ref-type name="Journal Article"&gt;17&lt;/ref-type&gt;&lt;contributors&gt;&lt;authors&gt;&lt;author&gt;Bayai, Innocent&lt;/author&gt;&lt;author&gt;Ikhide, Sylvanus&lt;/author&gt;&lt;/authors&gt;&lt;/contributors&gt;&lt;titles&gt;&lt;title&gt;Financing and financial sustainability of microfinance institutions (MFIs): A conceptual view&lt;/title&gt;&lt;secondary-title&gt;Banks and Bank Systems&lt;/secondary-title&gt;&lt;/titles&gt;&lt;pages&gt;21-32&lt;/pages&gt;&lt;volume&gt;2&lt;/volume&gt;&lt;number&gt;2&lt;/number&gt;&lt;dates&gt;&lt;year&gt;2016&lt;/year&gt;&lt;/dates&gt;&lt;urls&gt;&lt;/urls&gt;&lt;/record&gt;&lt;/Cite&gt;&lt;/EndNote&gt;</w:instrText>
      </w:r>
      <w:r w:rsidR="00602FDE">
        <w:fldChar w:fldCharType="separate"/>
      </w:r>
      <w:r w:rsidR="00602FDE">
        <w:rPr>
          <w:noProof/>
        </w:rPr>
        <w:t>(Bayai &amp; Ikhide, 2016)</w:t>
      </w:r>
      <w:r w:rsidR="00602FDE">
        <w:fldChar w:fldCharType="end"/>
      </w:r>
      <w:r w:rsidR="00602FDE">
        <w:t xml:space="preserve"> </w:t>
      </w:r>
      <w:r w:rsidR="00E6520A">
        <w:t xml:space="preserve">. </w:t>
      </w:r>
    </w:p>
    <w:p w14:paraId="1B8BBC34" w14:textId="0C0A1710" w:rsidR="00A45DD3" w:rsidRDefault="006B7130" w:rsidP="00CA7BD9">
      <w:pPr>
        <w:spacing w:line="360" w:lineRule="auto"/>
      </w:pPr>
      <w:r>
        <w:t>Nonetheless, i</w:t>
      </w:r>
      <w:r w:rsidR="00CA5EB4">
        <w:t>t is the agency conflict that follows the introduction of debt and equity that brings to the fore the potential conflict between optimi</w:t>
      </w:r>
      <w:r w:rsidR="00294D1C">
        <w:t>s</w:t>
      </w:r>
      <w:r w:rsidR="00CA5EB4">
        <w:t>ing financial returns and the quest to stick to the social mission of MFIs, in line with the agency theory</w:t>
      </w:r>
      <w:r w:rsidR="002D21F3">
        <w:t xml:space="preserve"> </w:t>
      </w:r>
      <w:r w:rsidR="001541BA">
        <w:fldChar w:fldCharType="begin">
          <w:fldData xml:space="preserve">PEVuZE5vdGU+PENpdGU+PEF1dGhvcj5Bd2F3b3J5aSBDaHVyY2hpbGw8L0F1dGhvcj48WWVhcj4y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</w:fldData>
        </w:fldChar>
      </w:r>
      <w:r w:rsidR="00920F60">
        <w:instrText xml:space="preserve"> ADDIN EN.CITE </w:instrText>
      </w:r>
      <w:r w:rsidR="00920F60">
        <w:fldChar w:fldCharType="begin">
          <w:fldData xml:space="preserve">PEVuZE5vdGU+PENpdGU+PEF1dGhvcj5Bd2F3b3J5aSBDaHVyY2hpbGw8L0F1dGhvcj48WWVhcj4y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</w:fldData>
        </w:fldChar>
      </w:r>
      <w:r w:rsidR="00920F60">
        <w:instrText xml:space="preserve"> ADDIN EN.CITE.DATA </w:instrText>
      </w:r>
      <w:r w:rsidR="00920F60">
        <w:fldChar w:fldCharType="end"/>
      </w:r>
      <w:r w:rsidR="001541BA">
        <w:fldChar w:fldCharType="separate"/>
      </w:r>
      <w:r w:rsidR="001541BA">
        <w:rPr>
          <w:noProof/>
        </w:rPr>
        <w:t>(Nurmakhanova, Kretzschmar, &amp; Fedhila, 2015; Bayai &amp; Ikhide, 2016; Abdulai &amp; Tewari, 2017; Awaworyi Churchill, 2018)</w:t>
      </w:r>
      <w:r w:rsidR="001541BA">
        <w:fldChar w:fldCharType="end"/>
      </w:r>
      <w:r w:rsidR="002D21F3">
        <w:t xml:space="preserve"> which forms the</w:t>
      </w:r>
      <w:r w:rsidR="001541BA">
        <w:t xml:space="preserve"> second major strand of research</w:t>
      </w:r>
      <w:r w:rsidR="002D21F3">
        <w:t xml:space="preserve"> on MFI transformation</w:t>
      </w:r>
      <w:r w:rsidR="00A71CD6">
        <w:t>.</w:t>
      </w:r>
      <w:r w:rsidR="004F0704">
        <w:t xml:space="preserve"> </w:t>
      </w:r>
    </w:p>
    <w:p w14:paraId="2615AEBE" w14:textId="5ABFE963" w:rsidR="008D24EC" w:rsidRDefault="00CA7BD9" w:rsidP="00CA7BD9">
      <w:pPr>
        <w:spacing w:line="360" w:lineRule="auto"/>
      </w:pPr>
      <w:r>
        <w:t xml:space="preserve">The next section highlights the </w:t>
      </w:r>
      <w:r w:rsidR="00C134D2">
        <w:t xml:space="preserve">results of the study. </w:t>
      </w:r>
    </w:p>
    <w:p w14:paraId="0B446E25" w14:textId="1FD28FBC" w:rsidR="00316522" w:rsidRDefault="00F85277" w:rsidP="00316522">
      <w:pPr>
        <w:pStyle w:val="Heading2"/>
      </w:pPr>
      <w:r>
        <w:lastRenderedPageBreak/>
        <w:t>Summary of Results</w:t>
      </w:r>
    </w:p>
    <w:p w14:paraId="6BE0DA57" w14:textId="6EB2C724" w:rsidR="00F85277" w:rsidRPr="00CA7BD9" w:rsidRDefault="00F85277" w:rsidP="00F85277">
      <w:pPr>
        <w:spacing w:line="360" w:lineRule="auto"/>
      </w:pPr>
      <w:r w:rsidRPr="00CA7BD9">
        <w:t xml:space="preserve">The output from analysis of the data shows that at the country level, </w:t>
      </w:r>
      <w:r w:rsidR="00C029EA" w:rsidRPr="00CA7BD9">
        <w:t xml:space="preserve">it is </w:t>
      </w:r>
      <w:r w:rsidRPr="00CA7BD9">
        <w:t>legal tradition, financial development, and, to some extent, governance</w:t>
      </w:r>
      <w:r w:rsidR="00A45DD3">
        <w:t xml:space="preserve"> (institutional quality)</w:t>
      </w:r>
      <w:r w:rsidRPr="00CA7BD9">
        <w:t xml:space="preserve"> </w:t>
      </w:r>
      <w:r w:rsidR="00D75B58" w:rsidRPr="00CA7BD9">
        <w:t>that relate to the likelihood of the</w:t>
      </w:r>
      <w:r w:rsidRPr="00CA7BD9">
        <w:t xml:space="preserve"> transformation of MFIs.  At the firm level, it is the age and size of the MFI that raise the probability of transformation with significant regional variations. </w:t>
      </w:r>
      <w:r w:rsidR="0046614A" w:rsidRPr="00CA7BD9">
        <w:t xml:space="preserve">GDP growth </w:t>
      </w:r>
      <w:r w:rsidR="00E5634A">
        <w:t xml:space="preserve">rate </w:t>
      </w:r>
      <w:r w:rsidR="0046614A" w:rsidRPr="00CA7BD9">
        <w:t>and education</w:t>
      </w:r>
      <w:r w:rsidR="00E5634A">
        <w:t xml:space="preserve"> levels</w:t>
      </w:r>
      <w:r w:rsidR="0046614A" w:rsidRPr="00CA7BD9">
        <w:t xml:space="preserve"> are not important determinants of the probability of transformation. </w:t>
      </w:r>
      <w:r w:rsidRPr="00CA7BD9">
        <w:t xml:space="preserve"> </w:t>
      </w:r>
    </w:p>
    <w:p w14:paraId="3BB5B416" w14:textId="0B9725E8" w:rsidR="00811354" w:rsidRPr="00CA7BD9" w:rsidRDefault="00A45DD3" w:rsidP="00F85277">
      <w:pPr>
        <w:spacing w:line="360" w:lineRule="auto"/>
      </w:pPr>
      <w:r>
        <w:t>Precisely, t</w:t>
      </w:r>
      <w:r w:rsidR="00811354" w:rsidRPr="00CA7BD9">
        <w:t xml:space="preserve">he probability of an MFI transforming declines with </w:t>
      </w:r>
      <w:r w:rsidR="00B601BC" w:rsidRPr="00CA7BD9">
        <w:t xml:space="preserve">the </w:t>
      </w:r>
      <w:r w:rsidR="00811354" w:rsidRPr="00CA7BD9">
        <w:t xml:space="preserve">increase in age, while bigger MFIs have a higher likelihood of transforming. Capital market development/ </w:t>
      </w:r>
      <w:r w:rsidR="0048723A" w:rsidRPr="00CA7BD9">
        <w:t>f</w:t>
      </w:r>
      <w:r w:rsidR="00811354" w:rsidRPr="00CA7BD9">
        <w:t xml:space="preserve">inancial development in a country also raises the probability of transformation, while, curiously, governance negatively relates to the chance of transformation. </w:t>
      </w:r>
      <w:r w:rsidR="00942672" w:rsidRPr="00CA7BD9">
        <w:t xml:space="preserve">MFIs that operate in civil law countries and other legal traditions (like Ethiopia and former Portuguese colonies of Mozambique and Angola) have a higher probability of transforming compared to those that operate in common law countries. </w:t>
      </w:r>
      <w:r w:rsidR="003129B3" w:rsidRPr="00CA7BD9">
        <w:t xml:space="preserve">Regionally, compared to MFIs in Eastern Africa, MFIs in Southern Africa and central Africa are less likely to convert, while those in West Africa are more likely to transform although the relationship is not significant. </w:t>
      </w:r>
    </w:p>
    <w:p w14:paraId="34FB528B" w14:textId="40D00256" w:rsidR="004D4FFF" w:rsidRPr="00CA7BD9" w:rsidRDefault="00B46554" w:rsidP="00F85277">
      <w:pPr>
        <w:spacing w:line="360" w:lineRule="auto"/>
      </w:pPr>
      <w:r>
        <w:t>Nevertheless,</w:t>
      </w:r>
      <w:r w:rsidR="00B336EC" w:rsidRPr="00CA7BD9">
        <w:t xml:space="preserve"> results from the analysis of the pooled data masks some crucial insights.  For instance, mature firms are more likely to transform than younger ones if they have more assets and are in countries with relatively high levels of financial development. </w:t>
      </w:r>
      <w:r w:rsidR="00D76C24" w:rsidRPr="00CA7BD9">
        <w:t xml:space="preserve">On the other hand, the importance of </w:t>
      </w:r>
      <w:r w:rsidR="004315FD">
        <w:t xml:space="preserve">MFI </w:t>
      </w:r>
      <w:r w:rsidR="00D76C24" w:rsidRPr="00CA7BD9">
        <w:t>size in determining the probability of transformation reduces as financi</w:t>
      </w:r>
      <w:r>
        <w:t>al development in a country rises</w:t>
      </w:r>
      <w:r w:rsidR="00D76C24" w:rsidRPr="00CA7BD9">
        <w:t xml:space="preserve">. Also, governance raises the probability that an MFI would transform in West Africa but has the opposite effect in Central and Southern Africa. In the next section, we highlight the methodology applied in the study. </w:t>
      </w:r>
    </w:p>
    <w:p w14:paraId="386B8AA9" w14:textId="049322FA" w:rsidR="00F70101" w:rsidRDefault="003A3D9E" w:rsidP="002F1DF7">
      <w:pPr>
        <w:pStyle w:val="Heading2"/>
      </w:pPr>
      <w:r w:rsidRPr="007B13BF">
        <w:t>Method</w:t>
      </w:r>
    </w:p>
    <w:p w14:paraId="11AD3ABB" w14:textId="1DF98991" w:rsidR="000F067F" w:rsidRPr="00CA7BD9" w:rsidRDefault="003C3177" w:rsidP="00CA7BD9">
      <w:pPr>
        <w:spacing w:line="360" w:lineRule="auto"/>
      </w:pPr>
      <w:r w:rsidRPr="00CA7BD9">
        <w:t xml:space="preserve">The article applies the panel </w:t>
      </w:r>
      <w:r w:rsidR="00496F6B" w:rsidRPr="00CA7BD9">
        <w:t xml:space="preserve">mixed </w:t>
      </w:r>
      <w:r w:rsidRPr="00CA7BD9">
        <w:t xml:space="preserve">logit and </w:t>
      </w:r>
      <w:r w:rsidR="00496F6B" w:rsidRPr="00CA7BD9">
        <w:t xml:space="preserve">mixed </w:t>
      </w:r>
      <w:r w:rsidRPr="00CA7BD9">
        <w:t>probit models where MFIs following the NGO model take a code of zero and one for NBFIs, credit unions/ co</w:t>
      </w:r>
      <w:r w:rsidR="00294D1C" w:rsidRPr="00CA7BD9">
        <w:t>o</w:t>
      </w:r>
      <w:r w:rsidRPr="00CA7BD9">
        <w:t>peratives, and rural banks. Because the research focuses on the transformation from the NGO type to the variants of the commercial model, we do not utili</w:t>
      </w:r>
      <w:r w:rsidR="00294D1C" w:rsidRPr="00CA7BD9">
        <w:t>s</w:t>
      </w:r>
      <w:r w:rsidRPr="00CA7BD9">
        <w:t>e the multinomial logit</w:t>
      </w:r>
      <w:r w:rsidR="001D4C97" w:rsidRPr="00CA7BD9">
        <w:t xml:space="preserve">.  </w:t>
      </w:r>
      <w:r w:rsidRPr="00CA7BD9">
        <w:t xml:space="preserve">The </w:t>
      </w:r>
      <w:r w:rsidR="001D4C97" w:rsidRPr="00CA7BD9">
        <w:t xml:space="preserve">next section lays out the </w:t>
      </w:r>
      <w:r w:rsidRPr="00CA7BD9">
        <w:t>model</w:t>
      </w:r>
      <w:r w:rsidR="00F80C22" w:rsidRPr="00CA7BD9">
        <w:t>,</w:t>
      </w:r>
      <w:r w:rsidR="001D4C97" w:rsidRPr="00CA7BD9">
        <w:t xml:space="preserve"> together with the description of variables and data sources</w:t>
      </w:r>
      <w:r w:rsidR="002F1DF7" w:rsidRPr="00CA7BD9">
        <w:t xml:space="preserve">. </w:t>
      </w:r>
    </w:p>
    <w:p w14:paraId="66025A9D" w14:textId="6DAD4102" w:rsidR="00F70101" w:rsidRDefault="007B13BF" w:rsidP="00B46554">
      <w:pPr>
        <w:pStyle w:val="Heading3"/>
      </w:pPr>
      <w:r>
        <w:t>4.1</w:t>
      </w:r>
      <w:r>
        <w:tab/>
      </w:r>
      <w:r w:rsidR="00F70101" w:rsidRPr="000650E0">
        <w:t>The Model</w:t>
      </w:r>
      <w:r w:rsidR="007661C4">
        <w:t xml:space="preserve">, </w:t>
      </w:r>
      <w:r w:rsidR="007661C4" w:rsidRPr="0090677A">
        <w:t>Variables Description and Data Sources</w:t>
      </w:r>
    </w:p>
    <w:p w14:paraId="38CB837D" w14:textId="0C771F4A" w:rsidR="002F1DF7" w:rsidRPr="008D7B88" w:rsidRDefault="008D7B88" w:rsidP="00CA7BD9">
      <w:pPr>
        <w:spacing w:line="360" w:lineRule="auto"/>
      </w:pPr>
      <w:r w:rsidRPr="008D7B88">
        <w:t>We use</w:t>
      </w:r>
      <w:r w:rsidR="007D3A11">
        <w:t xml:space="preserve"> the model below to run both</w:t>
      </w:r>
      <w:r w:rsidRPr="008D7B88">
        <w:t xml:space="preserve"> </w:t>
      </w:r>
      <w:r w:rsidR="00512843">
        <w:t xml:space="preserve">mixed </w:t>
      </w:r>
      <w:r w:rsidRPr="008D7B88">
        <w:t xml:space="preserve">logit and </w:t>
      </w:r>
      <w:r w:rsidR="00512843">
        <w:t xml:space="preserve">mixed </w:t>
      </w:r>
      <w:r w:rsidRPr="008D7B88">
        <w:t>probit regressions</w:t>
      </w:r>
      <w:r w:rsidR="007D3A11">
        <w:t xml:space="preserve"> on a panel dataset of 705 MFIs in Africa</w:t>
      </w:r>
      <w:r>
        <w:t xml:space="preserve">. </w:t>
      </w:r>
    </w:p>
    <w:p w14:paraId="0AB4E9F5" w14:textId="072015C0" w:rsidR="005845AE" w:rsidRPr="00316522" w:rsidRDefault="00F70101" w:rsidP="00CA7BD9">
      <w:pPr>
        <w:spacing w:line="360" w:lineRule="auto"/>
        <w:rPr>
          <w:b/>
        </w:rPr>
      </w:pPr>
      <m:oMathPara>
        <m:oMath>
          <m:r>
            <w:rPr>
              <w:rFonts w:ascii="Cambria Math" w:eastAsia="Calibri" w:hAnsi="Cambria Math"/>
            </w:rPr>
            <m:t>f</m:t>
          </m:r>
          <m:d>
            <m:dPr>
              <m:ctrlPr>
                <w:rPr>
                  <w:rFonts w:ascii="Cambria Math" w:eastAsia="Calibri" w:hAnsi="Cambria Math"/>
                  <w:i/>
                </w:rPr>
              </m:ctrlPr>
            </m:dPr>
            <m:e>
              <m:r>
                <w:rPr>
                  <w:rFonts w:ascii="Cambria Math" w:eastAsia="Calibri" w:hAnsi="Cambria Math"/>
                </w:rPr>
                <m:t>x</m:t>
              </m:r>
            </m:e>
          </m:d>
          <m:r>
            <w:rPr>
              <w:rFonts w:ascii="Cambria Math" w:eastAsia="Calibri" w:hAnsi="Cambria Math"/>
            </w:rPr>
            <m:t>=</m:t>
          </m:r>
          <m:func>
            <m:funcPr>
              <m:ctrlPr>
                <w:rPr>
                  <w:rFonts w:ascii="Cambria Math" w:eastAsia="Calibri" w:hAnsi="Cambria Math"/>
                </w:rPr>
              </m:ctrlPr>
            </m:funcPr>
            <m:fName>
              <m:r>
                <m:rPr>
                  <m:sty m:val="p"/>
                </m:rPr>
                <w:rPr>
                  <w:rFonts w:ascii="Cambria Math" w:eastAsia="Calibri" w:hAnsi="Cambria Math"/>
                </w:rPr>
                <m:t>ln</m:t>
              </m:r>
            </m:fName>
            <m:e>
              <m:d>
                <m:dPr>
                  <m:ctrlPr>
                    <w:rPr>
                      <w:rFonts w:ascii="Cambria Math" w:eastAsia="Calibri" w:hAnsi="Cambria Math"/>
                      <w:i/>
                    </w:rPr>
                  </m:ctrlPr>
                </m:dPr>
                <m:e>
                  <m:f>
                    <m:fPr>
                      <m:ctrlPr>
                        <w:rPr>
                          <w:rFonts w:ascii="Cambria Math" w:eastAsia="Calibri" w:hAnsi="Cambria Math"/>
                          <w:i/>
                        </w:rPr>
                      </m:ctrlPr>
                    </m:fPr>
                    <m:num>
                      <w:bookmarkStart w:id="0" w:name="_Hlk504857589"/>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i</m:t>
                          </m:r>
                        </m:sub>
                      </m:sSub>
                      <w:bookmarkEnd w:id="0"/>
                    </m:num>
                    <m:den>
                      <m:sSub>
                        <m:sSubPr>
                          <m:ctrlPr>
                            <w:rPr>
                              <w:rFonts w:ascii="Cambria Math" w:eastAsia="Calibri" w:hAnsi="Cambria Math"/>
                              <w:i/>
                            </w:rPr>
                          </m:ctrlPr>
                        </m:sSubPr>
                        <m:e>
                          <w:bookmarkStart w:id="1" w:name="_Hlk504857655"/>
                          <m:r>
                            <w:rPr>
                              <w:rFonts w:ascii="Cambria Math" w:eastAsia="Calibri" w:hAnsi="Cambria Math"/>
                            </w:rPr>
                            <m:t>1-P</m:t>
                          </m:r>
                          <w:bookmarkEnd w:id="1"/>
                        </m:e>
                        <m:sub>
                          <m:r>
                            <w:rPr>
                              <w:rFonts w:ascii="Cambria Math" w:eastAsia="Calibri" w:hAnsi="Cambria Math"/>
                            </w:rPr>
                            <m:t>i</m:t>
                          </m:r>
                        </m:sub>
                      </m:sSub>
                    </m:den>
                  </m:f>
                </m:e>
              </m:d>
            </m:e>
          </m:func>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β</m:t>
              </m:r>
            </m:e>
            <m:sub>
              <m:r>
                <w:rPr>
                  <w:rFonts w:ascii="Cambria Math" w:eastAsia="Calibri" w:hAnsi="Cambria Math"/>
                </w:rPr>
                <m:t>0</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β</m:t>
              </m:r>
            </m:e>
            <m:sub>
              <m:r>
                <w:rPr>
                  <w:rFonts w:ascii="Cambria Math" w:eastAsia="Calibri" w:hAnsi="Cambria Math"/>
                </w:rPr>
                <m:t>i</m:t>
              </m:r>
            </m:sub>
          </m:sSub>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it</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µ</m:t>
              </m:r>
            </m:e>
            <m:sub>
              <m:r>
                <w:rPr>
                  <w:rFonts w:ascii="Cambria Math" w:eastAsia="Calibri" w:hAnsi="Cambria Math"/>
                </w:rPr>
                <m:t>it</m:t>
              </m:r>
            </m:sub>
          </m:sSub>
        </m:oMath>
      </m:oMathPara>
    </w:p>
    <w:p w14:paraId="7104856C" w14:textId="707B201F" w:rsidR="00CA7BD9" w:rsidRDefault="005C286D" w:rsidP="00CA7BD9">
      <w:pPr>
        <w:spacing w:line="360" w:lineRule="auto"/>
      </w:pPr>
      <w:r>
        <w:rPr>
          <w:rFonts w:eastAsiaTheme="minorEastAsia"/>
        </w:rPr>
        <w:lastRenderedPageBreak/>
        <w:t>The dependent variable is the current legal status of the MFI.</w:t>
      </w:r>
      <w:r w:rsidR="00A430FC">
        <w:rPr>
          <w:rFonts w:eastAsiaTheme="minorEastAsia"/>
        </w:rPr>
        <w:t xml:space="preserve"> The symbol</w:t>
      </w:r>
      <w:r>
        <w:rPr>
          <w:rFonts w:eastAsiaTheme="minorEastAsia"/>
        </w:rPr>
        <w:t xml:space="preserve"> </w:t>
      </w:r>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it</m:t>
            </m:r>
          </m:sub>
        </m:sSub>
      </m:oMath>
      <w:r w:rsidR="00A430FC">
        <w:rPr>
          <w:rFonts w:eastAsiaTheme="minorEastAsia"/>
        </w:rPr>
        <w:t xml:space="preserve"> represents </w:t>
      </w:r>
      <w:r>
        <w:rPr>
          <w:rFonts w:eastAsiaTheme="minorEastAsia"/>
        </w:rPr>
        <w:t>a vector of independent variables</w:t>
      </w:r>
      <w:r w:rsidR="00A53AF1">
        <w:rPr>
          <w:rFonts w:eastAsiaTheme="minorEastAsia"/>
        </w:rPr>
        <w:t>- age, size, capital market development, legal tradition, GDP growth rate, institutional quality, and education</w:t>
      </w:r>
      <w:r>
        <w:rPr>
          <w:rFonts w:eastAsiaTheme="minorEastAsia"/>
        </w:rPr>
        <w:t xml:space="preserve">. </w:t>
      </w:r>
      <w:r w:rsidR="00A53AF1">
        <w:rPr>
          <w:rFonts w:eastAsiaTheme="minorEastAsia"/>
        </w:rPr>
        <w:t>Additionally, w</w:t>
      </w:r>
      <w:r>
        <w:rPr>
          <w:rFonts w:eastAsiaTheme="minorEastAsia"/>
        </w:rPr>
        <w:t>e also include regional</w:t>
      </w:r>
      <w:r w:rsidR="007B56E6">
        <w:rPr>
          <w:rFonts w:eastAsiaTheme="minorEastAsia"/>
        </w:rPr>
        <w:t xml:space="preserve"> and </w:t>
      </w:r>
      <w:r>
        <w:rPr>
          <w:rFonts w:eastAsiaTheme="minorEastAsia"/>
        </w:rPr>
        <w:t>time dummies</w:t>
      </w:r>
      <w:r w:rsidR="007B56E6">
        <w:rPr>
          <w:rFonts w:eastAsiaTheme="minorEastAsia"/>
        </w:rPr>
        <w:t>.</w:t>
      </w:r>
      <w:r w:rsidR="00A53AF1">
        <w:rPr>
          <w:rFonts w:eastAsiaTheme="minorEastAsia"/>
        </w:rPr>
        <w:t xml:space="preserve"> </w:t>
      </w:r>
      <w:r w:rsidR="004315FD">
        <w:t>Table 1</w:t>
      </w:r>
      <w:r w:rsidR="008D24EC" w:rsidRPr="008D24EC">
        <w:t xml:space="preserve"> </w:t>
      </w:r>
      <w:r w:rsidR="00761D65">
        <w:t xml:space="preserve">below </w:t>
      </w:r>
      <w:r w:rsidR="008D24EC" w:rsidRPr="008D24EC">
        <w:t xml:space="preserve">describes the variables in detail. </w:t>
      </w:r>
    </w:p>
    <w:p w14:paraId="513FF4DB" w14:textId="644DD764" w:rsidR="00A11860" w:rsidRPr="00A11860" w:rsidRDefault="00A11860" w:rsidP="00A11860">
      <w:pPr>
        <w:pStyle w:val="Caption"/>
        <w:rPr>
          <w:rFonts w:ascii="Maiandra GD" w:hAnsi="Maiandra GD"/>
          <w:b/>
          <w:bCs/>
          <w:i w:val="0"/>
          <w:color w:val="auto"/>
          <w:sz w:val="24"/>
          <w:szCs w:val="24"/>
        </w:rPr>
      </w:pPr>
      <w:r w:rsidRPr="00A11860">
        <w:rPr>
          <w:b/>
          <w:i w:val="0"/>
          <w:color w:val="auto"/>
          <w:sz w:val="24"/>
          <w:szCs w:val="24"/>
        </w:rPr>
        <w:t xml:space="preserve">Table </w:t>
      </w:r>
      <w:r w:rsidRPr="00A11860">
        <w:rPr>
          <w:b/>
          <w:i w:val="0"/>
          <w:color w:val="auto"/>
          <w:sz w:val="24"/>
          <w:szCs w:val="24"/>
        </w:rPr>
        <w:fldChar w:fldCharType="begin"/>
      </w:r>
      <w:r w:rsidRPr="00A11860">
        <w:rPr>
          <w:b/>
          <w:i w:val="0"/>
          <w:color w:val="auto"/>
          <w:sz w:val="24"/>
          <w:szCs w:val="24"/>
        </w:rPr>
        <w:instrText xml:space="preserve"> SEQ Table \* ARABIC </w:instrText>
      </w:r>
      <w:r w:rsidRPr="00A11860">
        <w:rPr>
          <w:b/>
          <w:i w:val="0"/>
          <w:color w:val="auto"/>
          <w:sz w:val="24"/>
          <w:szCs w:val="24"/>
        </w:rPr>
        <w:fldChar w:fldCharType="separate"/>
      </w:r>
      <w:r w:rsidRPr="00A11860">
        <w:rPr>
          <w:b/>
          <w:i w:val="0"/>
          <w:noProof/>
          <w:color w:val="auto"/>
          <w:sz w:val="24"/>
          <w:szCs w:val="24"/>
        </w:rPr>
        <w:t>1</w:t>
      </w:r>
      <w:r w:rsidRPr="00A11860">
        <w:rPr>
          <w:b/>
          <w:i w:val="0"/>
          <w:color w:val="auto"/>
          <w:sz w:val="24"/>
          <w:szCs w:val="24"/>
        </w:rPr>
        <w:fldChar w:fldCharType="end"/>
      </w:r>
      <w:r w:rsidRPr="00A11860">
        <w:rPr>
          <w:b/>
          <w:i w:val="0"/>
          <w:color w:val="auto"/>
          <w:sz w:val="24"/>
          <w:szCs w:val="24"/>
        </w:rPr>
        <w:t>: Description of variables</w:t>
      </w:r>
    </w:p>
    <w:tbl>
      <w:tblPr>
        <w:tblStyle w:val="PlainTable5"/>
        <w:tblW w:w="0" w:type="auto"/>
        <w:tblLook w:val="04A0" w:firstRow="1" w:lastRow="0" w:firstColumn="1" w:lastColumn="0" w:noHBand="0" w:noVBand="1"/>
      </w:tblPr>
      <w:tblGrid>
        <w:gridCol w:w="9017"/>
      </w:tblGrid>
      <w:tr w:rsidR="00E14EFD" w:rsidRPr="00F92640" w14:paraId="5E7CA92B" w14:textId="77777777" w:rsidTr="00F926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7" w:type="dxa"/>
            <w:tcBorders>
              <w:top w:val="single" w:sz="4" w:space="0" w:color="auto"/>
              <w:left w:val="single" w:sz="4" w:space="0" w:color="auto"/>
              <w:right w:val="single" w:sz="4" w:space="0" w:color="auto"/>
            </w:tcBorders>
          </w:tcPr>
          <w:p w14:paraId="221A1AA3" w14:textId="51D48559" w:rsidR="0015500D" w:rsidRPr="00CA7BD9" w:rsidRDefault="0015500D" w:rsidP="00CA7BD9">
            <w:pPr>
              <w:spacing w:line="360" w:lineRule="auto"/>
              <w:rPr>
                <w:b/>
                <w:i w:val="0"/>
              </w:rPr>
            </w:pPr>
            <w:r w:rsidRPr="00CA7BD9">
              <w:rPr>
                <w:b/>
                <w:i w:val="0"/>
              </w:rPr>
              <w:t>Indicator name, description, and data source</w:t>
            </w:r>
          </w:p>
        </w:tc>
      </w:tr>
      <w:tr w:rsidR="00513284" w:rsidRPr="00F92640" w14:paraId="589696F2" w14:textId="77777777" w:rsidTr="00F92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Borders>
              <w:top w:val="single" w:sz="4" w:space="0" w:color="auto"/>
              <w:left w:val="single" w:sz="4" w:space="0" w:color="auto"/>
              <w:right w:val="single" w:sz="4" w:space="0" w:color="auto"/>
            </w:tcBorders>
          </w:tcPr>
          <w:p w14:paraId="0BBFCFE1" w14:textId="5D32E8B2" w:rsidR="00513284" w:rsidRPr="00CA7BD9" w:rsidRDefault="00513284" w:rsidP="00CA7BD9">
            <w:pPr>
              <w:spacing w:line="360" w:lineRule="auto"/>
              <w:rPr>
                <w:b/>
                <w:i w:val="0"/>
              </w:rPr>
            </w:pPr>
            <w:r w:rsidRPr="00CA7BD9">
              <w:rPr>
                <w:b/>
                <w:i w:val="0"/>
              </w:rPr>
              <w:t>DEPENDENT VARIABLE</w:t>
            </w:r>
          </w:p>
        </w:tc>
      </w:tr>
      <w:tr w:rsidR="00E14EFD" w:rsidRPr="00F92640" w14:paraId="0F714F5A" w14:textId="77777777" w:rsidTr="00F92640">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54F67EF5" w14:textId="62AA5603" w:rsidR="00A11860" w:rsidRPr="00CA7BD9" w:rsidRDefault="00E14EFD" w:rsidP="00CA7BD9">
            <w:pPr>
              <w:spacing w:line="360" w:lineRule="auto"/>
            </w:pPr>
            <w:r w:rsidRPr="00CA7BD9">
              <w:rPr>
                <w:b/>
                <w:i w:val="0"/>
              </w:rPr>
              <w:t>Current Legal Statu</w:t>
            </w:r>
            <w:r w:rsidR="00F20B6D" w:rsidRPr="00CA7BD9">
              <w:rPr>
                <w:b/>
                <w:i w:val="0"/>
              </w:rPr>
              <w:t>s:</w:t>
            </w:r>
            <w:r w:rsidR="00F20B6D" w:rsidRPr="00CA7BD9">
              <w:rPr>
                <w:i w:val="0"/>
              </w:rPr>
              <w:t xml:space="preserve"> </w:t>
            </w:r>
            <w:r w:rsidRPr="00CA7BD9">
              <w:rPr>
                <w:i w:val="0"/>
              </w:rPr>
              <w:t>We create a dummy with</w:t>
            </w:r>
            <w:r w:rsidR="002F2D77">
              <w:rPr>
                <w:i w:val="0"/>
              </w:rPr>
              <w:t xml:space="preserve"> the </w:t>
            </w:r>
            <w:r w:rsidRPr="00CA7BD9">
              <w:rPr>
                <w:i w:val="0"/>
              </w:rPr>
              <w:t xml:space="preserve">MFIs </w:t>
            </w:r>
            <w:r w:rsidR="002F2D77">
              <w:rPr>
                <w:i w:val="0"/>
              </w:rPr>
              <w:t xml:space="preserve">following the NGO Model </w:t>
            </w:r>
            <w:r w:rsidRPr="00CA7BD9">
              <w:rPr>
                <w:i w:val="0"/>
              </w:rPr>
              <w:t xml:space="preserve">getting a code of zero, and one in the case of non-bank financial institutions (NBFIs), rural banks, </w:t>
            </w:r>
            <w:r w:rsidR="001F64F8" w:rsidRPr="00CA7BD9">
              <w:rPr>
                <w:i w:val="0"/>
              </w:rPr>
              <w:t xml:space="preserve">and credit unions/ cooperatives. The data is available from MIX </w:t>
            </w:r>
            <w:r w:rsidR="001F64F8" w:rsidRPr="00CA7BD9">
              <w:t>(See note 1).</w:t>
            </w:r>
          </w:p>
        </w:tc>
      </w:tr>
      <w:tr w:rsidR="00504E59" w:rsidRPr="00F92640" w14:paraId="576924D2" w14:textId="77777777" w:rsidTr="00F92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4EE58D43" w14:textId="77777777" w:rsidR="00504E59" w:rsidRPr="00CA7BD9" w:rsidRDefault="00504E59" w:rsidP="00CA7BD9">
            <w:pPr>
              <w:spacing w:line="360" w:lineRule="auto"/>
              <w:rPr>
                <w:b/>
                <w:i w:val="0"/>
              </w:rPr>
            </w:pPr>
          </w:p>
        </w:tc>
      </w:tr>
      <w:tr w:rsidR="00F705E7" w:rsidRPr="00F92640" w14:paraId="4A66BC0B" w14:textId="77777777" w:rsidTr="00F92640">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35459B62" w14:textId="406D5702" w:rsidR="00F705E7" w:rsidRPr="00CA7BD9" w:rsidRDefault="00F705E7" w:rsidP="00CA7BD9">
            <w:pPr>
              <w:spacing w:line="360" w:lineRule="auto"/>
              <w:rPr>
                <w:b/>
                <w:i w:val="0"/>
              </w:rPr>
            </w:pPr>
            <w:r w:rsidRPr="00CA7BD9">
              <w:rPr>
                <w:b/>
                <w:i w:val="0"/>
              </w:rPr>
              <w:t>INDEPENDENT VARIABLES</w:t>
            </w:r>
          </w:p>
        </w:tc>
      </w:tr>
      <w:tr w:rsidR="00E14EFD" w:rsidRPr="00F92640" w14:paraId="1F837E0C" w14:textId="77777777" w:rsidTr="00F92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2F63B12B" w14:textId="6063767D" w:rsidR="0015500D" w:rsidRPr="00CA7BD9" w:rsidRDefault="0015500D" w:rsidP="00CA7BD9">
            <w:pPr>
              <w:spacing w:line="360" w:lineRule="auto"/>
              <w:rPr>
                <w:i w:val="0"/>
              </w:rPr>
            </w:pPr>
            <w:r w:rsidRPr="00CA7BD9">
              <w:rPr>
                <w:b/>
                <w:i w:val="0"/>
              </w:rPr>
              <w:t>Ag</w:t>
            </w:r>
            <w:r w:rsidR="00F20B6D" w:rsidRPr="00CA7BD9">
              <w:rPr>
                <w:b/>
                <w:i w:val="0"/>
              </w:rPr>
              <w:t>e:</w:t>
            </w:r>
            <w:r w:rsidR="00F20B6D" w:rsidRPr="00CA7BD9">
              <w:rPr>
                <w:i w:val="0"/>
              </w:rPr>
              <w:t xml:space="preserve"> </w:t>
            </w:r>
            <w:r w:rsidRPr="00CA7BD9">
              <w:rPr>
                <w:i w:val="0"/>
              </w:rPr>
              <w:t xml:space="preserve">The period </w:t>
            </w:r>
            <w:r w:rsidR="00B934C2" w:rsidRPr="00CA7BD9">
              <w:rPr>
                <w:i w:val="0"/>
              </w:rPr>
              <w:t xml:space="preserve">in </w:t>
            </w:r>
            <w:r w:rsidRPr="00CA7BD9">
              <w:rPr>
                <w:i w:val="0"/>
              </w:rPr>
              <w:t>which the MFI has been in operation. MIX classifies MFIs into three groups</w:t>
            </w:r>
            <w:r w:rsidR="00504E59" w:rsidRPr="00CA7BD9">
              <w:rPr>
                <w:i w:val="0"/>
              </w:rPr>
              <w:t>:</w:t>
            </w:r>
            <w:r w:rsidRPr="00CA7BD9">
              <w:rPr>
                <w:i w:val="0"/>
              </w:rPr>
              <w:t xml:space="preserve"> new, young, an</w:t>
            </w:r>
            <w:r w:rsidR="00DC20BF" w:rsidRPr="00CA7BD9">
              <w:rPr>
                <w:i w:val="0"/>
              </w:rPr>
              <w:t>d mature</w:t>
            </w:r>
            <w:r w:rsidRPr="00CA7BD9">
              <w:rPr>
                <w:i w:val="0"/>
              </w:rPr>
              <w:t xml:space="preserve">. </w:t>
            </w:r>
            <w:r w:rsidR="00DC20BF" w:rsidRPr="00CA7BD9">
              <w:rPr>
                <w:i w:val="0"/>
              </w:rPr>
              <w:t>The variable enter</w:t>
            </w:r>
            <w:r w:rsidR="00B934C2" w:rsidRPr="00CA7BD9">
              <w:rPr>
                <w:i w:val="0"/>
              </w:rPr>
              <w:t>s</w:t>
            </w:r>
            <w:r w:rsidR="00DC20BF" w:rsidRPr="00CA7BD9">
              <w:rPr>
                <w:i w:val="0"/>
              </w:rPr>
              <w:t xml:space="preserve"> the model as a dummy.</w:t>
            </w:r>
          </w:p>
          <w:p w14:paraId="6F72BB2C" w14:textId="4C5F0C91" w:rsidR="00124AC9" w:rsidRPr="00CA7BD9" w:rsidRDefault="00124AC9" w:rsidP="00CA7BD9">
            <w:pPr>
              <w:spacing w:line="360" w:lineRule="auto"/>
              <w:rPr>
                <w:i w:val="0"/>
              </w:rPr>
            </w:pPr>
          </w:p>
        </w:tc>
      </w:tr>
      <w:tr w:rsidR="00E14EFD" w:rsidRPr="00F92640" w14:paraId="6E2C8AC5" w14:textId="77777777" w:rsidTr="00F92640">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279C2AAC" w14:textId="77777777" w:rsidR="0015500D" w:rsidRPr="00CA7BD9" w:rsidRDefault="0015500D" w:rsidP="00CA7BD9">
            <w:pPr>
              <w:spacing w:line="360" w:lineRule="auto"/>
              <w:rPr>
                <w:i w:val="0"/>
              </w:rPr>
            </w:pPr>
            <w:r w:rsidRPr="00CA7BD9">
              <w:rPr>
                <w:b/>
                <w:i w:val="0"/>
              </w:rPr>
              <w:t>Siz</w:t>
            </w:r>
            <w:r w:rsidR="00F20B6D" w:rsidRPr="00CA7BD9">
              <w:rPr>
                <w:b/>
                <w:i w:val="0"/>
              </w:rPr>
              <w:t>e:</w:t>
            </w:r>
            <w:r w:rsidR="00F20B6D" w:rsidRPr="00CA7BD9">
              <w:rPr>
                <w:i w:val="0"/>
              </w:rPr>
              <w:t xml:space="preserve"> </w:t>
            </w:r>
            <w:r w:rsidRPr="00CA7BD9">
              <w:rPr>
                <w:i w:val="0"/>
              </w:rPr>
              <w:t xml:space="preserve">We proxy the size of MFI with the natural logarithm of total assets, again using data from MIX. </w:t>
            </w:r>
          </w:p>
          <w:p w14:paraId="12875DF7" w14:textId="0FF11796" w:rsidR="001D4C97" w:rsidRPr="00CA7BD9" w:rsidRDefault="001D4C97" w:rsidP="00CA7BD9">
            <w:pPr>
              <w:spacing w:line="360" w:lineRule="auto"/>
              <w:rPr>
                <w:i w:val="0"/>
              </w:rPr>
            </w:pPr>
          </w:p>
        </w:tc>
      </w:tr>
      <w:tr w:rsidR="00E14EFD" w:rsidRPr="00F92640" w14:paraId="1EBFAA26" w14:textId="77777777" w:rsidTr="00F92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2D1DCCE5" w14:textId="54053A9B" w:rsidR="0015500D" w:rsidRPr="00CA7BD9" w:rsidRDefault="0015500D" w:rsidP="00CA7BD9">
            <w:pPr>
              <w:spacing w:line="360" w:lineRule="auto"/>
            </w:pPr>
            <w:r w:rsidRPr="00CA7BD9">
              <w:rPr>
                <w:b/>
                <w:i w:val="0"/>
              </w:rPr>
              <w:t>C</w:t>
            </w:r>
            <w:r w:rsidR="00F20B6D" w:rsidRPr="00CA7BD9">
              <w:rPr>
                <w:b/>
                <w:i w:val="0"/>
              </w:rPr>
              <w:t xml:space="preserve">apital Market Development </w:t>
            </w:r>
            <w:r w:rsidR="00B934C2" w:rsidRPr="00CA7BD9">
              <w:rPr>
                <w:b/>
                <w:i w:val="0"/>
              </w:rPr>
              <w:t xml:space="preserve">/ Financial Development </w:t>
            </w:r>
            <w:r w:rsidR="00F20B6D" w:rsidRPr="00CA7BD9">
              <w:rPr>
                <w:b/>
                <w:i w:val="0"/>
              </w:rPr>
              <w:t>(CAP):</w:t>
            </w:r>
            <w:r w:rsidR="00F20B6D" w:rsidRPr="00CA7BD9">
              <w:rPr>
                <w:i w:val="0"/>
              </w:rPr>
              <w:t xml:space="preserve"> </w:t>
            </w:r>
            <w:r w:rsidRPr="00CA7BD9">
              <w:rPr>
                <w:i w:val="0"/>
              </w:rPr>
              <w:t>We construct an index that captures both the quality and quantity of the financial sector of individual countries. We follow the procedure similar</w:t>
            </w:r>
            <w:r w:rsidR="0036287A" w:rsidRPr="00CA7BD9">
              <w:rPr>
                <w:i w:val="0"/>
              </w:rPr>
              <w:t xml:space="preserve"> to that of </w:t>
            </w:r>
            <w:r w:rsidRPr="00CA7BD9">
              <w:rPr>
                <w:i w:val="0"/>
              </w:rPr>
              <w:t xml:space="preserve"> </w:t>
            </w:r>
            <w:r w:rsidR="0036287A" w:rsidRPr="00CA7BD9">
              <w:rPr>
                <w:bCs/>
                <w:szCs w:val="24"/>
              </w:rPr>
              <w:fldChar w:fldCharType="begin"/>
            </w:r>
            <w:r w:rsidR="00920F60">
              <w:rPr>
                <w:bCs/>
                <w:szCs w:val="24"/>
              </w:rPr>
              <w:instrText xml:space="preserve"> ADDIN EN.CITE &lt;EndNote&gt;&lt;Cite AuthorYear="1"&gt;&lt;Author&gt;Ito&lt;/Author&gt;&lt;Year&gt;2018&lt;/Year&gt;&lt;RecNum&gt;485&lt;/RecNum&gt;&lt;DisplayText&gt;Ito and Kawai (2018)&lt;/DisplayText&gt;&lt;record&gt;&lt;rec-number&gt;485&lt;/rec-number&gt;&lt;foreign-keys&gt;&lt;key app="EN" db-id="wds9909saar09se5x9txwfw7ax9wfe2ftrt2" timestamp="1566831801" guid="844e03f4-4100-4488-ac7f-c286afa661bd"&gt;485&lt;/key&gt;&lt;/foreign-keys&gt;&lt;ref-type name="Journal Article"&gt;17&lt;/ref-type&gt;&lt;contributors&gt;&lt;authors&gt;&lt;author&gt;Ito, Hiroyuki&lt;/author&gt;&lt;author&gt;Kawai, Masahiro&lt;/author&gt;&lt;/authors&gt;&lt;/contributors&gt;&lt;titles&gt;&lt;title&gt;Quantity and Quality Measures of Financial Development: Implications for Macroeconomic Performance&lt;/title&gt;&lt;secondary-title&gt;Public Policy Review&lt;/secondary-title&gt;&lt;/titles&gt;&lt;pages&gt;803-834&lt;/pages&gt;&lt;volume&gt;14&lt;/volume&gt;&lt;number&gt;5&lt;/number&gt;&lt;dates&gt;&lt;year&gt;2018&lt;/year&gt;&lt;/dates&gt;&lt;urls&gt;&lt;/urls&gt;&lt;/record&gt;&lt;/Cite&gt;&lt;/EndNote&gt;</w:instrText>
            </w:r>
            <w:r w:rsidR="0036287A" w:rsidRPr="00CA7BD9">
              <w:rPr>
                <w:bCs/>
                <w:szCs w:val="24"/>
              </w:rPr>
              <w:fldChar w:fldCharType="separate"/>
            </w:r>
            <w:r w:rsidR="0036287A" w:rsidRPr="00CA7BD9">
              <w:rPr>
                <w:bCs/>
                <w:i w:val="0"/>
                <w:noProof/>
                <w:szCs w:val="24"/>
              </w:rPr>
              <w:t>Ito and Kawai (2018)</w:t>
            </w:r>
            <w:r w:rsidR="0036287A" w:rsidRPr="00CA7BD9">
              <w:rPr>
                <w:bCs/>
                <w:szCs w:val="24"/>
              </w:rPr>
              <w:fldChar w:fldCharType="end"/>
            </w:r>
            <w:r w:rsidR="0036287A" w:rsidRPr="00CA7BD9">
              <w:rPr>
                <w:bCs/>
                <w:i w:val="0"/>
                <w:szCs w:val="24"/>
              </w:rPr>
              <w:t xml:space="preserve"> </w:t>
            </w:r>
            <w:r w:rsidRPr="00CA7BD9">
              <w:rPr>
                <w:i w:val="0"/>
              </w:rPr>
              <w:t>by taking the first principa</w:t>
            </w:r>
            <w:r w:rsidR="00F66649" w:rsidRPr="00CA7BD9">
              <w:rPr>
                <w:i w:val="0"/>
              </w:rPr>
              <w:t xml:space="preserve">l component index composed of bank credit, public and private debt market, and </w:t>
            </w:r>
            <w:r w:rsidR="00A30143" w:rsidRPr="00CA7BD9">
              <w:rPr>
                <w:i w:val="0"/>
              </w:rPr>
              <w:t xml:space="preserve">the </w:t>
            </w:r>
            <w:r w:rsidR="00F66649" w:rsidRPr="00CA7BD9">
              <w:rPr>
                <w:i w:val="0"/>
              </w:rPr>
              <w:t>stock market</w:t>
            </w:r>
            <w:r w:rsidRPr="00CA7BD9">
              <w:rPr>
                <w:i w:val="0"/>
              </w:rPr>
              <w:t>.</w:t>
            </w:r>
            <w:r w:rsidR="00615282" w:rsidRPr="00CA7BD9">
              <w:rPr>
                <w:i w:val="0"/>
              </w:rPr>
              <w:t xml:space="preserve"> The data source is the</w:t>
            </w:r>
            <w:r w:rsidR="00441325" w:rsidRPr="00CA7BD9">
              <w:rPr>
                <w:i w:val="0"/>
              </w:rPr>
              <w:t xml:space="preserve"> GFDD</w:t>
            </w:r>
            <w:r w:rsidR="00615282" w:rsidRPr="00CA7BD9">
              <w:rPr>
                <w:i w:val="0"/>
              </w:rPr>
              <w:t xml:space="preserve"> of the </w:t>
            </w:r>
            <w:r w:rsidR="004B5B2F" w:rsidRPr="00CA7BD9">
              <w:rPr>
                <w:i w:val="0"/>
              </w:rPr>
              <w:t>World Bank</w:t>
            </w:r>
            <w:r w:rsidR="000D3836" w:rsidRPr="00CA7BD9">
              <w:rPr>
                <w:i w:val="0"/>
              </w:rPr>
              <w:t xml:space="preserve"> </w:t>
            </w:r>
            <w:r w:rsidR="000D3836" w:rsidRPr="00CA7BD9">
              <w:t>(See note 4).</w:t>
            </w:r>
          </w:p>
          <w:p w14:paraId="3DD490B1" w14:textId="3C5EE89C" w:rsidR="001D4C97" w:rsidRPr="00CA7BD9" w:rsidRDefault="001D4C97" w:rsidP="00CA7BD9">
            <w:pPr>
              <w:spacing w:line="360" w:lineRule="auto"/>
              <w:rPr>
                <w:i w:val="0"/>
              </w:rPr>
            </w:pPr>
          </w:p>
        </w:tc>
      </w:tr>
      <w:tr w:rsidR="00E14EFD" w:rsidRPr="00F92640" w14:paraId="283B55E3" w14:textId="77777777" w:rsidTr="00F92640">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6B4A40CF" w14:textId="5E837D4A" w:rsidR="0015500D" w:rsidRPr="00CA7BD9" w:rsidRDefault="0015500D" w:rsidP="00CA7BD9">
            <w:pPr>
              <w:spacing w:line="360" w:lineRule="auto"/>
              <w:rPr>
                <w:bCs/>
                <w:i w:val="0"/>
                <w:szCs w:val="24"/>
              </w:rPr>
            </w:pPr>
            <w:r w:rsidRPr="00CA7BD9">
              <w:rPr>
                <w:b/>
                <w:i w:val="0"/>
              </w:rPr>
              <w:t>Legal Tradition (Legal</w:t>
            </w:r>
            <w:r w:rsidR="00F20B6D" w:rsidRPr="00CA7BD9">
              <w:rPr>
                <w:b/>
                <w:i w:val="0"/>
              </w:rPr>
              <w:t>):</w:t>
            </w:r>
            <w:r w:rsidR="00F20B6D" w:rsidRPr="00CA7BD9">
              <w:rPr>
                <w:i w:val="0"/>
              </w:rPr>
              <w:t xml:space="preserve"> </w:t>
            </w:r>
            <w:r w:rsidRPr="00CA7BD9">
              <w:rPr>
                <w:i w:val="0"/>
              </w:rPr>
              <w:t>The indicator is a dummy variable with common law countries coded 0, civil law countries 1, and 2</w:t>
            </w:r>
            <w:r w:rsidR="0036287A" w:rsidRPr="00CA7BD9">
              <w:rPr>
                <w:i w:val="0"/>
              </w:rPr>
              <w:t xml:space="preserve"> otherwise as per the classification by </w:t>
            </w:r>
            <w:r w:rsidR="0036287A" w:rsidRPr="00CA7BD9">
              <w:rPr>
                <w:bCs/>
                <w:szCs w:val="24"/>
              </w:rPr>
              <w:fldChar w:fldCharType="begin"/>
            </w:r>
            <w:r w:rsidR="00920F60">
              <w:rPr>
                <w:bCs/>
                <w:szCs w:val="24"/>
              </w:rPr>
              <w:instrText xml:space="preserve"> ADDIN EN.CITE &lt;EndNote&gt;&lt;Cite AuthorYear="1"&gt;&lt;Author&gt;Oto-Peralías&lt;/Author&gt;&lt;Year&gt;2014&lt;/Year&gt;&lt;RecNum&gt;482&lt;/RecNum&gt;&lt;DisplayText&gt;Oto-Peralías and Romero-Ávila (2014)&lt;/DisplayText&gt;&lt;record&gt;&lt;rec-number&gt;482&lt;/rec-number&gt;&lt;foreign-keys&gt;&lt;key app="EN" db-id="wds9909saar09se5x9txwfw7ax9wfe2ftrt2" timestamp="1562607401" guid="8c2094ec-d4c2-43d8-99da-47c5bf305511"&gt;482&lt;/key&gt;&lt;/foreign-keys&gt;&lt;ref-type name="Journal Article"&gt;17&lt;/ref-type&gt;&lt;contributors&gt;&lt;authors&gt;&lt;author&gt;Oto-Peralías, Daniel&lt;/author&gt;&lt;author&gt;Romero-Ávila, Diego&lt;/author&gt;&lt;/authors&gt;&lt;/contributors&gt;&lt;titles&gt;&lt;title&gt;The distribution of legal traditions around the world: a contribution to the legal-origins theory&lt;/title&gt;&lt;secondary-title&gt;The Journal of Law and Economics&lt;/secondary-title&gt;&lt;/titles&gt;&lt;pages&gt;561-628&lt;/pages&gt;&lt;volume&gt;57&lt;/volume&gt;&lt;number&gt;3&lt;/number&gt;&lt;dates&gt;&lt;year&gt;2014&lt;/year&gt;&lt;/dates&gt;&lt;isbn&gt;0022-2186&lt;/isbn&gt;&lt;urls&gt;&lt;/urls&gt;&lt;/record&gt;&lt;/Cite&gt;&lt;/EndNote&gt;</w:instrText>
            </w:r>
            <w:r w:rsidR="0036287A" w:rsidRPr="00CA7BD9">
              <w:rPr>
                <w:bCs/>
                <w:szCs w:val="24"/>
              </w:rPr>
              <w:fldChar w:fldCharType="separate"/>
            </w:r>
            <w:r w:rsidR="0036287A" w:rsidRPr="00CA7BD9">
              <w:rPr>
                <w:bCs/>
                <w:i w:val="0"/>
                <w:noProof/>
                <w:szCs w:val="24"/>
              </w:rPr>
              <w:t>Oto-Peralías and Romero-Ávila (2014)</w:t>
            </w:r>
            <w:r w:rsidR="0036287A" w:rsidRPr="00CA7BD9">
              <w:rPr>
                <w:bCs/>
                <w:szCs w:val="24"/>
              </w:rPr>
              <w:fldChar w:fldCharType="end"/>
            </w:r>
            <w:r w:rsidR="0036287A" w:rsidRPr="00CA7BD9">
              <w:rPr>
                <w:bCs/>
                <w:i w:val="0"/>
                <w:szCs w:val="24"/>
              </w:rPr>
              <w:t xml:space="preserve">. </w:t>
            </w:r>
          </w:p>
          <w:p w14:paraId="39EF3119" w14:textId="5CB147FB" w:rsidR="001D4C97" w:rsidRPr="00CA7BD9" w:rsidRDefault="001D4C97" w:rsidP="00CA7BD9">
            <w:pPr>
              <w:spacing w:line="360" w:lineRule="auto"/>
              <w:rPr>
                <w:i w:val="0"/>
              </w:rPr>
            </w:pPr>
          </w:p>
        </w:tc>
      </w:tr>
      <w:tr w:rsidR="00E14EFD" w:rsidRPr="00F92640" w14:paraId="3EEE4A92" w14:textId="77777777" w:rsidTr="00F92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1AA53A51" w14:textId="77777777" w:rsidR="0036287A" w:rsidRPr="00CA7BD9" w:rsidRDefault="0036287A" w:rsidP="00CA7BD9">
            <w:pPr>
              <w:spacing w:line="360" w:lineRule="auto"/>
              <w:rPr>
                <w:szCs w:val="24"/>
              </w:rPr>
            </w:pPr>
            <w:r w:rsidRPr="00CA7BD9">
              <w:rPr>
                <w:b/>
                <w:i w:val="0"/>
                <w:szCs w:val="24"/>
              </w:rPr>
              <w:t>GDP annual growth rate (GDP)</w:t>
            </w:r>
            <w:r w:rsidR="00F20B6D" w:rsidRPr="00CA7BD9">
              <w:rPr>
                <w:b/>
                <w:i w:val="0"/>
                <w:szCs w:val="24"/>
              </w:rPr>
              <w:t>:</w:t>
            </w:r>
            <w:r w:rsidR="00F20B6D" w:rsidRPr="00CA7BD9">
              <w:rPr>
                <w:i w:val="0"/>
                <w:szCs w:val="24"/>
              </w:rPr>
              <w:t xml:space="preserve"> </w:t>
            </w:r>
            <w:r w:rsidRPr="00CA7BD9">
              <w:rPr>
                <w:i w:val="0"/>
                <w:szCs w:val="24"/>
              </w:rPr>
              <w:t>This is the year on year growth in output adjusted for inflation and sourced from the WDI</w:t>
            </w:r>
            <w:r w:rsidR="00E36561" w:rsidRPr="00CA7BD9">
              <w:rPr>
                <w:i w:val="0"/>
                <w:szCs w:val="24"/>
              </w:rPr>
              <w:t xml:space="preserve"> </w:t>
            </w:r>
            <w:r w:rsidR="00E36561" w:rsidRPr="00CA7BD9">
              <w:rPr>
                <w:szCs w:val="24"/>
              </w:rPr>
              <w:t>(See note 2)</w:t>
            </w:r>
            <w:r w:rsidR="00D3269B" w:rsidRPr="00CA7BD9">
              <w:rPr>
                <w:szCs w:val="24"/>
              </w:rPr>
              <w:t>.</w:t>
            </w:r>
          </w:p>
          <w:p w14:paraId="075ABC16" w14:textId="159E3023" w:rsidR="001D4C97" w:rsidRPr="00CA7BD9" w:rsidRDefault="001D4C97" w:rsidP="00CA7BD9">
            <w:pPr>
              <w:spacing w:line="360" w:lineRule="auto"/>
              <w:rPr>
                <w:i w:val="0"/>
                <w:szCs w:val="24"/>
              </w:rPr>
            </w:pPr>
          </w:p>
        </w:tc>
      </w:tr>
      <w:tr w:rsidR="00E14EFD" w:rsidRPr="00F92640" w14:paraId="27E06F68" w14:textId="77777777" w:rsidTr="00F92640">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4FBAE54E" w14:textId="6D9A8F88" w:rsidR="0036287A" w:rsidRPr="00CA7BD9" w:rsidRDefault="0036287A" w:rsidP="00CA7BD9">
            <w:pPr>
              <w:spacing w:line="360" w:lineRule="auto"/>
              <w:rPr>
                <w:bCs/>
                <w:i w:val="0"/>
                <w:szCs w:val="24"/>
              </w:rPr>
            </w:pPr>
            <w:r w:rsidRPr="00CA7BD9">
              <w:rPr>
                <w:b/>
                <w:i w:val="0"/>
              </w:rPr>
              <w:t>Region</w:t>
            </w:r>
            <w:r w:rsidR="00F20B6D" w:rsidRPr="00CA7BD9">
              <w:rPr>
                <w:b/>
                <w:i w:val="0"/>
              </w:rPr>
              <w:t>:</w:t>
            </w:r>
            <w:r w:rsidR="00F20B6D" w:rsidRPr="00CA7BD9">
              <w:rPr>
                <w:i w:val="0"/>
              </w:rPr>
              <w:t xml:space="preserve"> </w:t>
            </w:r>
            <w:r w:rsidRPr="00CA7BD9">
              <w:rPr>
                <w:bCs/>
                <w:i w:val="0"/>
                <w:szCs w:val="24"/>
              </w:rPr>
              <w:t>As per the African Union (AU) classification, we allocate dummy variables to each of Africa</w:t>
            </w:r>
            <w:r w:rsidR="00920F60">
              <w:rPr>
                <w:bCs/>
                <w:i w:val="0"/>
                <w:szCs w:val="24"/>
              </w:rPr>
              <w:t>'</w:t>
            </w:r>
            <w:r w:rsidRPr="00CA7BD9">
              <w:rPr>
                <w:bCs/>
                <w:i w:val="0"/>
                <w:szCs w:val="24"/>
              </w:rPr>
              <w:t xml:space="preserve">s regions; Eastern Africa, Central Africa, Southern Africa, West Africa, and North Africa. </w:t>
            </w:r>
            <w:r w:rsidRPr="00CA7BD9">
              <w:rPr>
                <w:bCs/>
                <w:i w:val="0"/>
                <w:szCs w:val="24"/>
              </w:rPr>
              <w:lastRenderedPageBreak/>
              <w:t xml:space="preserve">However, we exclude the African Diaspora in our analysis. Please refer to the AU handbook at </w:t>
            </w:r>
            <w:hyperlink r:id="rId10" w:history="1">
              <w:r w:rsidRPr="00CA7BD9">
                <w:rPr>
                  <w:rStyle w:val="Hyperlink"/>
                  <w:bCs/>
                  <w:i w:val="0"/>
                  <w:color w:val="auto"/>
                  <w:szCs w:val="24"/>
                </w:rPr>
                <w:t>https://au.int/en/handbook</w:t>
              </w:r>
            </w:hyperlink>
            <w:r w:rsidRPr="00CA7BD9">
              <w:rPr>
                <w:bCs/>
                <w:i w:val="0"/>
                <w:szCs w:val="24"/>
              </w:rPr>
              <w:t xml:space="preserve"> for the details.</w:t>
            </w:r>
          </w:p>
          <w:p w14:paraId="56AF8DD1" w14:textId="429290F6" w:rsidR="001D4C97" w:rsidRPr="00CA7BD9" w:rsidRDefault="001D4C97" w:rsidP="00CA7BD9">
            <w:pPr>
              <w:spacing w:line="360" w:lineRule="auto"/>
              <w:rPr>
                <w:i w:val="0"/>
              </w:rPr>
            </w:pPr>
          </w:p>
        </w:tc>
      </w:tr>
      <w:tr w:rsidR="00E14EFD" w:rsidRPr="00F92640" w14:paraId="7CB31B3C" w14:textId="77777777" w:rsidTr="00F92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4FFBBDCC" w14:textId="58DBF06F" w:rsidR="0036287A" w:rsidRPr="00CA7BD9" w:rsidRDefault="009B0F0A" w:rsidP="00CA7BD9">
            <w:pPr>
              <w:spacing w:line="360" w:lineRule="auto"/>
              <w:rPr>
                <w:i w:val="0"/>
              </w:rPr>
            </w:pPr>
            <w:r w:rsidRPr="00CA7BD9">
              <w:rPr>
                <w:b/>
                <w:i w:val="0"/>
              </w:rPr>
              <w:lastRenderedPageBreak/>
              <w:t xml:space="preserve">Governance/ </w:t>
            </w:r>
            <w:r w:rsidR="0036287A" w:rsidRPr="00CA7BD9">
              <w:rPr>
                <w:b/>
                <w:i w:val="0"/>
              </w:rPr>
              <w:t>Institutional Quality (KKM)</w:t>
            </w:r>
            <w:r w:rsidR="00F20B6D" w:rsidRPr="00CA7BD9">
              <w:rPr>
                <w:b/>
                <w:i w:val="0"/>
              </w:rPr>
              <w:t>:</w:t>
            </w:r>
            <w:r w:rsidR="00F20B6D" w:rsidRPr="00CA7BD9">
              <w:rPr>
                <w:i w:val="0"/>
              </w:rPr>
              <w:t xml:space="preserve"> </w:t>
            </w:r>
            <w:r w:rsidR="0036287A" w:rsidRPr="00CA7BD9">
              <w:rPr>
                <w:i w:val="0"/>
              </w:rPr>
              <w:t>We take the first principal component of the WGI developed by</w:t>
            </w:r>
            <w:r w:rsidR="003E0C8F" w:rsidRPr="00CA7BD9">
              <w:rPr>
                <w:i w:val="0"/>
              </w:rPr>
              <w:t xml:space="preserve"> Daniel </w:t>
            </w:r>
            <w:hyperlink r:id="rId11" w:history="1">
              <w:r w:rsidR="003E0C8F" w:rsidRPr="00CA7BD9">
                <w:rPr>
                  <w:i w:val="0"/>
                </w:rPr>
                <w:t xml:space="preserve">Kaufmann, </w:t>
              </w:r>
              <w:proofErr w:type="spellStart"/>
              <w:r w:rsidR="003E0C8F" w:rsidRPr="00CA7BD9">
                <w:rPr>
                  <w:i w:val="0"/>
                </w:rPr>
                <w:t>Aart</w:t>
              </w:r>
              <w:proofErr w:type="spellEnd"/>
              <w:r w:rsidR="003E0C8F" w:rsidRPr="00CA7BD9">
                <w:rPr>
                  <w:i w:val="0"/>
                </w:rPr>
                <w:t xml:space="preserve"> </w:t>
              </w:r>
              <w:proofErr w:type="spellStart"/>
              <w:r w:rsidR="003E0C8F" w:rsidRPr="00CA7BD9">
                <w:rPr>
                  <w:i w:val="0"/>
                </w:rPr>
                <w:t>Kraay</w:t>
              </w:r>
              <w:proofErr w:type="spellEnd"/>
              <w:r w:rsidR="003E0C8F" w:rsidRPr="00CA7BD9">
                <w:rPr>
                  <w:i w:val="0"/>
                </w:rPr>
                <w:t xml:space="preserve"> and Massimo </w:t>
              </w:r>
              <w:proofErr w:type="spellStart"/>
              <w:r w:rsidR="003E0C8F" w:rsidRPr="00CA7BD9">
                <w:rPr>
                  <w:i w:val="0"/>
                </w:rPr>
                <w:t>Mastruzzi</w:t>
              </w:r>
              <w:proofErr w:type="spellEnd"/>
            </w:hyperlink>
            <w:r w:rsidR="0036287A" w:rsidRPr="00CA7BD9">
              <w:rPr>
                <w:i w:val="0"/>
              </w:rPr>
              <w:t xml:space="preserve"> </w:t>
            </w:r>
            <w:r w:rsidR="003E0C8F" w:rsidRPr="00CA7BD9">
              <w:rPr>
                <w:i w:val="0"/>
              </w:rPr>
              <w:t xml:space="preserve">(KKM) </w:t>
            </w:r>
            <w:r w:rsidR="00E36561" w:rsidRPr="00CA7BD9">
              <w:t>(See note 3).</w:t>
            </w:r>
            <w:r w:rsidR="00E36561" w:rsidRPr="00CA7BD9">
              <w:rPr>
                <w:i w:val="0"/>
              </w:rPr>
              <w:t xml:space="preserve"> </w:t>
            </w:r>
          </w:p>
          <w:p w14:paraId="681EB282" w14:textId="0AD74D20" w:rsidR="001D4C97" w:rsidRPr="00CA7BD9" w:rsidRDefault="001D4C97" w:rsidP="00CA7BD9">
            <w:pPr>
              <w:spacing w:line="360" w:lineRule="auto"/>
              <w:rPr>
                <w:i w:val="0"/>
              </w:rPr>
            </w:pPr>
          </w:p>
        </w:tc>
      </w:tr>
      <w:tr w:rsidR="00E14EFD" w:rsidRPr="00F92640" w14:paraId="17768AB1" w14:textId="77777777" w:rsidTr="00F92640">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right w:val="single" w:sz="4" w:space="0" w:color="auto"/>
            </w:tcBorders>
          </w:tcPr>
          <w:p w14:paraId="43BF2836" w14:textId="311E9A3F" w:rsidR="00A939E6" w:rsidRPr="00CA7BD9" w:rsidRDefault="00A939E6" w:rsidP="00CA7BD9">
            <w:pPr>
              <w:spacing w:line="360" w:lineRule="auto"/>
              <w:rPr>
                <w:i w:val="0"/>
              </w:rPr>
            </w:pPr>
            <w:r w:rsidRPr="00CA7BD9">
              <w:rPr>
                <w:b/>
                <w:i w:val="0"/>
              </w:rPr>
              <w:t>Education (EDUC)</w:t>
            </w:r>
            <w:r w:rsidR="00F20B6D" w:rsidRPr="00CA7BD9">
              <w:rPr>
                <w:b/>
                <w:i w:val="0"/>
              </w:rPr>
              <w:t>:</w:t>
            </w:r>
            <w:r w:rsidR="00F20B6D" w:rsidRPr="00CA7BD9">
              <w:rPr>
                <w:i w:val="0"/>
              </w:rPr>
              <w:t xml:space="preserve"> </w:t>
            </w:r>
            <w:r w:rsidRPr="00CA7BD9">
              <w:rPr>
                <w:bCs/>
                <w:i w:val="0"/>
                <w:szCs w:val="24"/>
              </w:rPr>
              <w:t>The indicator is a ratio of the gross enrolment in secondary school to the gross primary school enrol</w:t>
            </w:r>
            <w:r w:rsidR="00124AC9" w:rsidRPr="00CA7BD9">
              <w:rPr>
                <w:bCs/>
                <w:i w:val="0"/>
                <w:szCs w:val="24"/>
              </w:rPr>
              <w:t xml:space="preserve">ment as defined in the </w:t>
            </w:r>
            <w:r w:rsidRPr="00CA7BD9">
              <w:rPr>
                <w:bCs/>
                <w:i w:val="0"/>
                <w:szCs w:val="24"/>
              </w:rPr>
              <w:t xml:space="preserve">literature </w:t>
            </w:r>
            <w:r w:rsidRPr="00CA7BD9">
              <w:rPr>
                <w:bCs/>
                <w:szCs w:val="24"/>
              </w:rPr>
              <w:fldChar w:fldCharType="begin"/>
            </w:r>
            <w:r w:rsidR="00920F60">
              <w:rPr>
                <w:bCs/>
                <w:szCs w:val="24"/>
              </w:rPr>
              <w:instrText xml:space="preserve"> ADDIN EN.CITE &lt;EndNote&gt;&lt;Cite&gt;&lt;Author&gt;Allen&lt;/Author&gt;&lt;Year&gt;2014&lt;/Year&gt;&lt;RecNum&gt;466&lt;/RecNum&gt;&lt;DisplayText&gt;(Allen et al., 2013, 2014)&lt;/DisplayText&gt;&lt;record&gt;&lt;rec-number&gt;466&lt;/rec-number&gt;&lt;foreign-keys&gt;&lt;key app="EN" db-id="wds9909saar09se5x9txwfw7ax9wfe2ftrt2" timestamp="1555849956" guid="909c69ab-0ea5-454b-ae02-2a6e09bb8b53"&gt;466&lt;/key&gt;&lt;/foreign-keys&gt;&lt;ref-type name="Journal Article"&gt;17&lt;/ref-type&gt;&lt;contributors&gt;&lt;authors&gt;&lt;author&gt;Allen,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Patricio&lt;/author&gt;&lt;/authors&gt;&lt;/contributors&gt;&lt;titles&gt;&lt;title&gt;The African financial development and financial inclusion gaps&lt;/title&gt;&lt;secondary-title&gt;Journal of African economies&lt;/secondary-title&gt;&lt;/titles&gt;&lt;periodical&gt;&lt;full-title&gt;Journal of African Economies&lt;/full-title&gt;&lt;abbr-1&gt;J. African Economies&lt;/abbr-1&gt;&lt;abbr-2&gt;J African Economies&lt;/abbr-2&gt;&lt;/periodical&gt;&lt;pages&gt;614-642&lt;/pages&gt;&lt;volume&gt;23&lt;/volume&gt;&lt;number&gt;5&lt;/number&gt;&lt;dates&gt;&lt;year&gt;2014&lt;/year&gt;&lt;/dates&gt;&lt;isbn&gt;1464-3723&lt;/isbn&gt;&lt;urls&gt;&lt;/urls&gt;&lt;/record&gt;&lt;/Cite&gt;&lt;Cite&gt;&lt;Author&gt;Allen&lt;/Author&gt;&lt;Year&gt;2013&lt;/Year&gt;&lt;RecNum&gt;465&lt;/RecNum&gt;&lt;record&gt;&lt;rec-number&gt;465&lt;/rec-number&gt;&lt;foreign-keys&gt;&lt;key app="EN" db-id="wds9909saar09se5x9txwfw7ax9wfe2ftrt2" timestamp="1555849867" guid="a61c35a9-06d4-4aab-9a05-5e0fa2759621"&gt;465&lt;/key&gt;&lt;/foreign-keys&gt;&lt;ref-type name="Book"&gt;6&lt;/ref-type&gt;&lt;contributors&gt;&lt;authors&gt;&lt;author&gt;Allen,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Patricio&lt;/author&gt;&lt;/authors&gt;&lt;/contributors&gt;&lt;titles&gt;&lt;title&gt;Resolving the African financial development gap: Cross-country comparisons and a within-country study of Kenya&lt;/title&gt;&lt;/titles&gt;&lt;dates&gt;&lt;year&gt;2013&lt;/year&gt;&lt;/dates&gt;&lt;pub-location&gt;New York&lt;/pub-location&gt;&lt;publisher&gt;The World Bank&lt;/publisher&gt;&lt;isbn&gt;1813-9450&lt;/isbn&gt;&lt;urls&gt;&lt;/urls&gt;&lt;/record&gt;&lt;/Cite&gt;&lt;/EndNote&gt;</w:instrText>
            </w:r>
            <w:r w:rsidRPr="00CA7BD9">
              <w:rPr>
                <w:bCs/>
                <w:szCs w:val="24"/>
              </w:rPr>
              <w:fldChar w:fldCharType="separate"/>
            </w:r>
            <w:r w:rsidRPr="00CA7BD9">
              <w:rPr>
                <w:bCs/>
                <w:i w:val="0"/>
                <w:noProof/>
                <w:szCs w:val="24"/>
              </w:rPr>
              <w:t>(Allen et al., 2013, 2014)</w:t>
            </w:r>
            <w:r w:rsidRPr="00CA7BD9">
              <w:rPr>
                <w:bCs/>
                <w:szCs w:val="24"/>
              </w:rPr>
              <w:fldChar w:fldCharType="end"/>
            </w:r>
          </w:p>
        </w:tc>
      </w:tr>
      <w:tr w:rsidR="00E14EFD" w:rsidRPr="00F92640" w14:paraId="3FDF7D6F" w14:textId="77777777" w:rsidTr="00F92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7" w:type="dxa"/>
            <w:tcBorders>
              <w:left w:val="single" w:sz="4" w:space="0" w:color="auto"/>
              <w:bottom w:val="single" w:sz="4" w:space="0" w:color="auto"/>
              <w:right w:val="single" w:sz="4" w:space="0" w:color="auto"/>
            </w:tcBorders>
          </w:tcPr>
          <w:p w14:paraId="4F6B9701" w14:textId="77777777" w:rsidR="00A939E6" w:rsidRPr="00E5634A" w:rsidRDefault="00A939E6" w:rsidP="00DC20BF">
            <w:pPr>
              <w:pBdr>
                <w:top w:val="single" w:sz="4" w:space="1" w:color="auto"/>
              </w:pBdr>
              <w:spacing w:line="360" w:lineRule="auto"/>
              <w:rPr>
                <w:b/>
                <w:i w:val="0"/>
                <w:sz w:val="16"/>
                <w:szCs w:val="16"/>
              </w:rPr>
            </w:pPr>
            <w:r w:rsidRPr="00E5634A">
              <w:rPr>
                <w:b/>
                <w:i w:val="0"/>
                <w:sz w:val="16"/>
                <w:szCs w:val="16"/>
              </w:rPr>
              <w:t>Notes:</w:t>
            </w:r>
          </w:p>
          <w:p w14:paraId="741F99BF" w14:textId="77777777" w:rsidR="00A939E6" w:rsidRPr="00E5634A" w:rsidRDefault="00A939E6" w:rsidP="00DC20BF">
            <w:pPr>
              <w:pStyle w:val="ListParagraph"/>
              <w:numPr>
                <w:ilvl w:val="0"/>
                <w:numId w:val="5"/>
              </w:numPr>
              <w:spacing w:line="360" w:lineRule="auto"/>
              <w:ind w:left="454"/>
              <w:jc w:val="left"/>
              <w:rPr>
                <w:bCs/>
                <w:i w:val="0"/>
                <w:sz w:val="16"/>
                <w:szCs w:val="16"/>
              </w:rPr>
            </w:pPr>
            <w:r w:rsidRPr="00E5634A">
              <w:rPr>
                <w:bCs/>
                <w:i w:val="0"/>
                <w:sz w:val="16"/>
                <w:szCs w:val="16"/>
              </w:rPr>
              <w:t xml:space="preserve">The Microfinance Information Exchange (MIX) data on microfinance institutions across the globe, </w:t>
            </w:r>
            <w:hyperlink r:id="rId12" w:history="1">
              <w:r w:rsidRPr="00E5634A">
                <w:rPr>
                  <w:rStyle w:val="Hyperlink"/>
                  <w:bCs/>
                  <w:i w:val="0"/>
                  <w:color w:val="auto"/>
                  <w:sz w:val="16"/>
                  <w:szCs w:val="16"/>
                </w:rPr>
                <w:t>www.themix.org</w:t>
              </w:r>
            </w:hyperlink>
            <w:r w:rsidRPr="00E5634A">
              <w:rPr>
                <w:bCs/>
                <w:i w:val="0"/>
                <w:sz w:val="16"/>
                <w:szCs w:val="16"/>
              </w:rPr>
              <w:t>.</w:t>
            </w:r>
          </w:p>
          <w:p w14:paraId="592F22CF" w14:textId="094F9997" w:rsidR="00A939E6" w:rsidRPr="00E5634A" w:rsidRDefault="00A939E6" w:rsidP="00DC20BF">
            <w:pPr>
              <w:pStyle w:val="ListParagraph"/>
              <w:numPr>
                <w:ilvl w:val="0"/>
                <w:numId w:val="5"/>
              </w:numPr>
              <w:spacing w:line="360" w:lineRule="auto"/>
              <w:ind w:left="454"/>
              <w:jc w:val="left"/>
              <w:rPr>
                <w:bCs/>
                <w:i w:val="0"/>
                <w:sz w:val="16"/>
                <w:szCs w:val="16"/>
              </w:rPr>
            </w:pPr>
            <w:r w:rsidRPr="00E5634A">
              <w:rPr>
                <w:bCs/>
                <w:i w:val="0"/>
                <w:sz w:val="16"/>
                <w:szCs w:val="16"/>
              </w:rPr>
              <w:t>The World Development Indicators (WDI)</w:t>
            </w:r>
            <w:r w:rsidR="001E05B4" w:rsidRPr="00E5634A">
              <w:rPr>
                <w:bCs/>
                <w:i w:val="0"/>
                <w:sz w:val="16"/>
                <w:szCs w:val="16"/>
              </w:rPr>
              <w:t xml:space="preserve"> database of </w:t>
            </w:r>
            <w:r w:rsidRPr="00E5634A">
              <w:rPr>
                <w:bCs/>
                <w:i w:val="0"/>
                <w:sz w:val="16"/>
                <w:szCs w:val="16"/>
              </w:rPr>
              <w:t>the World Bank</w:t>
            </w:r>
            <w:r w:rsidR="001E05B4" w:rsidRPr="00E5634A">
              <w:rPr>
                <w:bCs/>
                <w:i w:val="0"/>
                <w:sz w:val="16"/>
                <w:szCs w:val="16"/>
              </w:rPr>
              <w:t xml:space="preserve"> is available at</w:t>
            </w:r>
            <w:r w:rsidRPr="00E5634A">
              <w:rPr>
                <w:bCs/>
                <w:i w:val="0"/>
                <w:sz w:val="16"/>
                <w:szCs w:val="16"/>
              </w:rPr>
              <w:t xml:space="preserve">, </w:t>
            </w:r>
            <w:hyperlink r:id="rId13" w:history="1">
              <w:r w:rsidRPr="00E5634A">
                <w:rPr>
                  <w:rStyle w:val="Hyperlink"/>
                  <w:bCs/>
                  <w:i w:val="0"/>
                  <w:color w:val="auto"/>
                  <w:sz w:val="16"/>
                  <w:szCs w:val="16"/>
                </w:rPr>
                <w:t>https://databank.worldbank.org/source/world-development-indicators</w:t>
              </w:r>
            </w:hyperlink>
            <w:r w:rsidRPr="00E5634A">
              <w:rPr>
                <w:bCs/>
                <w:i w:val="0"/>
                <w:sz w:val="16"/>
                <w:szCs w:val="16"/>
              </w:rPr>
              <w:t>.</w:t>
            </w:r>
          </w:p>
          <w:p w14:paraId="7C2AB69C" w14:textId="54FC93B6" w:rsidR="00A939E6" w:rsidRPr="00E5634A" w:rsidRDefault="00A939E6" w:rsidP="00DC20BF">
            <w:pPr>
              <w:pStyle w:val="ListParagraph"/>
              <w:numPr>
                <w:ilvl w:val="0"/>
                <w:numId w:val="5"/>
              </w:numPr>
              <w:spacing w:line="360" w:lineRule="auto"/>
              <w:ind w:left="454"/>
              <w:jc w:val="left"/>
              <w:rPr>
                <w:bCs/>
                <w:i w:val="0"/>
                <w:sz w:val="16"/>
                <w:szCs w:val="16"/>
              </w:rPr>
            </w:pPr>
            <w:r w:rsidRPr="00E5634A">
              <w:rPr>
                <w:bCs/>
                <w:i w:val="0"/>
                <w:sz w:val="16"/>
                <w:szCs w:val="16"/>
              </w:rPr>
              <w:t xml:space="preserve">The Worldwide Governance Indicators (WGI), </w:t>
            </w:r>
            <w:r w:rsidR="001E05B4" w:rsidRPr="00E5634A">
              <w:rPr>
                <w:bCs/>
                <w:i w:val="0"/>
                <w:sz w:val="16"/>
                <w:szCs w:val="16"/>
              </w:rPr>
              <w:t>of</w:t>
            </w:r>
            <w:r w:rsidRPr="00E5634A">
              <w:rPr>
                <w:bCs/>
                <w:i w:val="0"/>
                <w:sz w:val="16"/>
                <w:szCs w:val="16"/>
              </w:rPr>
              <w:t xml:space="preserve"> the World Bank</w:t>
            </w:r>
            <w:r w:rsidR="0083791D" w:rsidRPr="00E5634A">
              <w:rPr>
                <w:bCs/>
                <w:i w:val="0"/>
                <w:sz w:val="16"/>
                <w:szCs w:val="16"/>
              </w:rPr>
              <w:t>,</w:t>
            </w:r>
            <w:r w:rsidRPr="00E5634A">
              <w:rPr>
                <w:bCs/>
                <w:i w:val="0"/>
                <w:sz w:val="16"/>
                <w:szCs w:val="16"/>
              </w:rPr>
              <w:t xml:space="preserve"> </w:t>
            </w:r>
            <w:r w:rsidR="001E05B4" w:rsidRPr="00E5634A">
              <w:rPr>
                <w:bCs/>
                <w:i w:val="0"/>
                <w:sz w:val="16"/>
                <w:szCs w:val="16"/>
              </w:rPr>
              <w:t>is</w:t>
            </w:r>
            <w:r w:rsidRPr="00E5634A">
              <w:rPr>
                <w:bCs/>
                <w:i w:val="0"/>
                <w:sz w:val="16"/>
                <w:szCs w:val="16"/>
              </w:rPr>
              <w:t xml:space="preserve"> available at </w:t>
            </w:r>
            <w:hyperlink r:id="rId14" w:history="1">
              <w:r w:rsidRPr="00E5634A">
                <w:rPr>
                  <w:rStyle w:val="Hyperlink"/>
                  <w:bCs/>
                  <w:i w:val="0"/>
                  <w:color w:val="auto"/>
                  <w:sz w:val="16"/>
                  <w:szCs w:val="16"/>
                </w:rPr>
                <w:t>https://databank.worldbank.org/source/worldwide-governance-indicators</w:t>
              </w:r>
            </w:hyperlink>
            <w:r w:rsidRPr="00E5634A">
              <w:rPr>
                <w:bCs/>
                <w:i w:val="0"/>
                <w:sz w:val="16"/>
                <w:szCs w:val="16"/>
              </w:rPr>
              <w:t>.</w:t>
            </w:r>
          </w:p>
          <w:p w14:paraId="67945075" w14:textId="6B60A631" w:rsidR="00441325" w:rsidRPr="00F92640" w:rsidRDefault="00441325" w:rsidP="00DC20BF">
            <w:pPr>
              <w:pStyle w:val="ListParagraph"/>
              <w:numPr>
                <w:ilvl w:val="0"/>
                <w:numId w:val="5"/>
              </w:numPr>
              <w:spacing w:line="360" w:lineRule="auto"/>
              <w:ind w:left="454"/>
              <w:jc w:val="left"/>
              <w:rPr>
                <w:rFonts w:ascii="Maiandra GD" w:hAnsi="Maiandra GD"/>
                <w:bCs/>
                <w:i w:val="0"/>
                <w:szCs w:val="24"/>
              </w:rPr>
            </w:pPr>
            <w:r w:rsidRPr="00E5634A">
              <w:rPr>
                <w:bCs/>
                <w:i w:val="0"/>
                <w:sz w:val="16"/>
                <w:szCs w:val="16"/>
              </w:rPr>
              <w:t xml:space="preserve">Global Financial Development Database </w:t>
            </w:r>
            <w:r w:rsidR="00124AC9" w:rsidRPr="00E5634A">
              <w:rPr>
                <w:bCs/>
                <w:i w:val="0"/>
                <w:sz w:val="16"/>
                <w:szCs w:val="16"/>
              </w:rPr>
              <w:t>o</w:t>
            </w:r>
            <w:r w:rsidR="00B83CD1" w:rsidRPr="00E5634A">
              <w:rPr>
                <w:bCs/>
                <w:i w:val="0"/>
                <w:sz w:val="16"/>
                <w:szCs w:val="16"/>
              </w:rPr>
              <w:t>f</w:t>
            </w:r>
            <w:r w:rsidR="00124AC9" w:rsidRPr="00E5634A">
              <w:rPr>
                <w:bCs/>
                <w:i w:val="0"/>
                <w:sz w:val="16"/>
                <w:szCs w:val="16"/>
              </w:rPr>
              <w:t xml:space="preserve"> the  World Bank available at </w:t>
            </w:r>
            <w:hyperlink r:id="rId15" w:history="1">
              <w:r w:rsidRPr="00E5634A">
                <w:rPr>
                  <w:rStyle w:val="Hyperlink"/>
                  <w:bCs/>
                  <w:i w:val="0"/>
                  <w:color w:val="auto"/>
                  <w:sz w:val="16"/>
                  <w:szCs w:val="16"/>
                </w:rPr>
                <w:t>https://www.worldbank.org/en/publication/gfdr/data/global-financial-development-database</w:t>
              </w:r>
            </w:hyperlink>
          </w:p>
        </w:tc>
      </w:tr>
    </w:tbl>
    <w:p w14:paraId="4F49CDB4" w14:textId="458C36F0" w:rsidR="00F35C59" w:rsidRDefault="00A11860" w:rsidP="00C76334">
      <w:pPr>
        <w:spacing w:line="360" w:lineRule="auto"/>
        <w:rPr>
          <w:rFonts w:ascii="Maiandra GD" w:hAnsi="Maiandra GD"/>
          <w:b/>
          <w:bCs/>
        </w:rPr>
      </w:pPr>
      <w:r>
        <w:rPr>
          <w:rFonts w:ascii="Maiandra GD" w:hAnsi="Maiandra GD"/>
          <w:b/>
          <w:bCs/>
        </w:rPr>
        <w:t>Source: Authors</w:t>
      </w:r>
      <w:r w:rsidR="00920F60">
        <w:rPr>
          <w:rFonts w:ascii="Maiandra GD" w:hAnsi="Maiandra GD"/>
          <w:b/>
          <w:bCs/>
        </w:rPr>
        <w:t>'</w:t>
      </w:r>
      <w:r>
        <w:rPr>
          <w:rFonts w:ascii="Maiandra GD" w:hAnsi="Maiandra GD"/>
          <w:b/>
          <w:bCs/>
        </w:rPr>
        <w:t xml:space="preserve"> Constructions</w:t>
      </w:r>
    </w:p>
    <w:p w14:paraId="301109A7" w14:textId="10C602C3" w:rsidR="005845AE" w:rsidRPr="005845AE" w:rsidRDefault="005845AE" w:rsidP="005845AE">
      <w:pPr>
        <w:pStyle w:val="Heading2"/>
      </w:pPr>
      <w:r w:rsidRPr="005845AE">
        <w:t>Results and Discussion</w:t>
      </w:r>
    </w:p>
    <w:p w14:paraId="18AC16D3" w14:textId="22815938" w:rsidR="005845AE" w:rsidRDefault="00251AE4" w:rsidP="00F6729E">
      <w:pPr>
        <w:pStyle w:val="Heading3"/>
        <w:numPr>
          <w:ilvl w:val="1"/>
          <w:numId w:val="15"/>
        </w:numPr>
      </w:pPr>
      <w:r>
        <w:t xml:space="preserve">The Predominant MFI </w:t>
      </w:r>
      <w:r w:rsidR="00E730D3">
        <w:t>Organisational</w:t>
      </w:r>
      <w:r>
        <w:t xml:space="preserve"> Structures in Africa</w:t>
      </w:r>
    </w:p>
    <w:p w14:paraId="448B799E" w14:textId="142461C9" w:rsidR="00CA7BD9" w:rsidRDefault="007922DC" w:rsidP="00CA7BD9">
      <w:pPr>
        <w:spacing w:line="360" w:lineRule="auto"/>
      </w:pPr>
      <w:r>
        <w:t>We start by presenting a summary of the organisational structures that MFIs in Africa adopt as pe</w:t>
      </w:r>
      <w:r w:rsidR="00E82BF0">
        <w:t>r the</w:t>
      </w:r>
      <w:r w:rsidR="004315FD">
        <w:t xml:space="preserve"> MIX pooled database. As F</w:t>
      </w:r>
      <w:r>
        <w:t>igure</w:t>
      </w:r>
      <w:r w:rsidR="00495177">
        <w:t xml:space="preserve"> </w:t>
      </w:r>
      <w:r w:rsidR="004315FD">
        <w:t xml:space="preserve">1 </w:t>
      </w:r>
      <w:r>
        <w:t xml:space="preserve">shows, the cooperative/ credit union model dominates, followed by Non-Bank Financial Institutions (NBFIs) and then NGOs. </w:t>
      </w:r>
      <w:r w:rsidR="00495177">
        <w:t xml:space="preserve">The rural banking model is the least popular. It is worth noting that the MIX pooled database does not capture the entirety of the MFIs in Africa. However, as </w:t>
      </w:r>
      <w:r w:rsidR="00096CE5">
        <w:fldChar w:fldCharType="begin"/>
      </w:r>
      <w:r w:rsidR="00920F60">
        <w:instrText xml:space="preserve"> ADDIN EN.CITE &lt;EndNote&gt;&lt;Cite AuthorYear="1"&gt;&lt;Author&gt;Jarotschkin&lt;/Author&gt;&lt;Year&gt;2013&lt;/Year&gt;&lt;RecNum&gt;449&lt;/RecNum&gt;&lt;DisplayText&gt;Jarotschkin (2013)&lt;/DisplayText&gt;&lt;record&gt;&lt;rec-number&gt;449&lt;/rec-number&gt;&lt;foreign-keys&gt;&lt;key app="EN" db-id="wds9909saar09se5x9txwfw7ax9wfe2ftrt2" timestamp="1549135697" guid="8ded2ce5-7ef6-4f00-a77b-2ca7042f2855"&gt;449&lt;/key&gt;&lt;/foreign-keys&gt;&lt;ref-type name="Book Section"&gt;5&lt;/ref-type&gt;&lt;contributors&gt;&lt;authors&gt;&lt;author&gt;Jarotschkin, A.&lt;/author&gt;&lt;/authors&gt;&lt;secondary-authors&gt;&lt;author&gt;Thorsten Beck&lt;/author&gt;&lt;author&gt;Samuel Munzele&lt;/author&gt;&lt;/secondary-authors&gt;&lt;/contributors&gt;&lt;titles&gt;&lt;title&gt;Microfinance in Africa&lt;/title&gt;&lt;secondary-title&gt;Financial Sector Development in Africa&lt;/secondary-title&gt;&lt;tertiary-title&gt;Directions in Development Finance&lt;/tertiary-title&gt;&lt;/titles&gt;&lt;pages&gt;7-40&lt;/pages&gt;&lt;section&gt;1&lt;/section&gt;&lt;dates&gt;&lt;year&gt;2013&lt;/year&gt;&lt;/dates&gt;&lt;pub-location&gt;New York&lt;/pub-location&gt;&lt;publisher&gt;The World bank&lt;/publisher&gt;&lt;urls&gt;&lt;/urls&gt;&lt;/record&gt;&lt;/Cite&gt;&lt;/EndNote&gt;</w:instrText>
      </w:r>
      <w:r w:rsidR="00096CE5">
        <w:fldChar w:fldCharType="separate"/>
      </w:r>
      <w:r w:rsidR="00096CE5">
        <w:rPr>
          <w:noProof/>
        </w:rPr>
        <w:t>Jarotschkin (2013)</w:t>
      </w:r>
      <w:r w:rsidR="00096CE5">
        <w:fldChar w:fldCharType="end"/>
      </w:r>
      <w:r w:rsidR="00096CE5">
        <w:t xml:space="preserve"> </w:t>
      </w:r>
      <w:r w:rsidR="00495177">
        <w:t xml:space="preserve">argues, the data does represent trends in </w:t>
      </w:r>
      <w:r w:rsidR="00CC694D">
        <w:t>micro-finance</w:t>
      </w:r>
      <w:r w:rsidR="00495177">
        <w:t xml:space="preserve">. In this case, the data does show the predominant organisation types adopted by MFIs in Africa. </w:t>
      </w:r>
    </w:p>
    <w:p w14:paraId="25CE64EA" w14:textId="72728E5A" w:rsidR="00A11860" w:rsidRDefault="00A11860" w:rsidP="001F0626">
      <w:pPr>
        <w:pStyle w:val="Heading3"/>
        <w:numPr>
          <w:ilvl w:val="1"/>
          <w:numId w:val="15"/>
        </w:numPr>
      </w:pPr>
      <w:r w:rsidRPr="00251AE4">
        <w:t>Descriptive Statistics</w:t>
      </w:r>
    </w:p>
    <w:p w14:paraId="585C8536" w14:textId="0330E26E" w:rsidR="00CA1AE0" w:rsidRDefault="001F0626" w:rsidP="00A83DE2">
      <w:pPr>
        <w:spacing w:line="360" w:lineRule="auto"/>
      </w:pPr>
      <w:r>
        <w:t xml:space="preserve">In the figures () below, we start by </w:t>
      </w:r>
      <w:r w:rsidR="007B47CA">
        <w:t>examining the correlation</w:t>
      </w:r>
      <w:r w:rsidR="002F7A46">
        <w:t xml:space="preserve"> and distribution of the independent variables. </w:t>
      </w:r>
      <w:r w:rsidR="00263CCF">
        <w:t>The correlation between the indepen</w:t>
      </w:r>
      <w:r w:rsidR="00805178">
        <w:t>d</w:t>
      </w:r>
      <w:r w:rsidR="00263CCF">
        <w:t xml:space="preserve">ent variables </w:t>
      </w:r>
      <w:r w:rsidR="0093570E">
        <w:t>is moderate, with the highest between education and institutions at -0.25.</w:t>
      </w:r>
      <w:r w:rsidR="006463EE">
        <w:t xml:space="preserve"> Figures 2 and 3 </w:t>
      </w:r>
      <w:r>
        <w:t>highlight the legal status of MFIs in the sample data.</w:t>
      </w:r>
      <w:r w:rsidR="00962680">
        <w:t xml:space="preserve"> While most credit unions, </w:t>
      </w:r>
      <w:r w:rsidR="00F33AFE">
        <w:t xml:space="preserve">NBFIs, </w:t>
      </w:r>
      <w:r w:rsidR="005E793F">
        <w:t xml:space="preserve">NGOs </w:t>
      </w:r>
      <w:r w:rsidR="00F33AFE">
        <w:t xml:space="preserve">and </w:t>
      </w:r>
      <w:r w:rsidR="005E793F">
        <w:t xml:space="preserve">rural banks </w:t>
      </w:r>
      <w:r w:rsidR="00F33AFE">
        <w:t xml:space="preserve">are </w:t>
      </w:r>
      <w:r w:rsidR="007D1BE1">
        <w:t>mature, commercial</w:t>
      </w:r>
      <w:r w:rsidR="005E793F">
        <w:t xml:space="preserve"> banks are </w:t>
      </w:r>
      <w:r w:rsidR="007D1BE1">
        <w:t xml:space="preserve">more likely to be new or young. Moreover, </w:t>
      </w:r>
      <w:r w:rsidR="00A83DE2">
        <w:t xml:space="preserve">credit unions/ cooperatives are the dominant legal structure in Africa- and more so in West Africa and </w:t>
      </w:r>
      <w:r w:rsidR="007D1BE1">
        <w:t xml:space="preserve">in </w:t>
      </w:r>
      <w:r w:rsidR="00A83DE2">
        <w:t>countries that follow the civil law tradition.</w:t>
      </w:r>
      <w:r w:rsidR="00A754D9">
        <w:t xml:space="preserve"> The data could indicate the prevalence of legal structures of MFIs in </w:t>
      </w:r>
      <w:r w:rsidR="00FF1294">
        <w:t xml:space="preserve">countries, </w:t>
      </w:r>
      <w:r w:rsidR="00570B10">
        <w:t>regions,</w:t>
      </w:r>
      <w:r w:rsidR="00FF1294">
        <w:t xml:space="preserve"> and legal traditions</w:t>
      </w:r>
      <w:r w:rsidR="00956BA0">
        <w:t xml:space="preserve">, with </w:t>
      </w:r>
      <w:r w:rsidR="00B36D17">
        <w:t xml:space="preserve">common law countries showing the lowest prevalence of credit unions. </w:t>
      </w:r>
    </w:p>
    <w:p w14:paraId="7707ED18" w14:textId="38515699" w:rsidR="000A5AF2" w:rsidRDefault="00BB7F37" w:rsidP="00A83DE2">
      <w:pPr>
        <w:spacing w:line="360" w:lineRule="auto"/>
        <w:sectPr w:rsidR="000A5AF2" w:rsidSect="002F1DF7">
          <w:footerReference w:type="default" r:id="rId16"/>
          <w:pgSz w:w="11907" w:h="16839" w:code="9"/>
          <w:pgMar w:top="1440" w:right="1440" w:bottom="1440" w:left="1440" w:header="720" w:footer="720" w:gutter="0"/>
          <w:cols w:space="720"/>
          <w:docGrid w:linePitch="360"/>
        </w:sectPr>
      </w:pPr>
      <w:r>
        <w:lastRenderedPageBreak/>
        <w:t xml:space="preserve">Turning to size, commercial banks and NBFIs exhibit </w:t>
      </w:r>
      <w:r w:rsidR="00570B10">
        <w:t>the highest</w:t>
      </w:r>
      <w:r>
        <w:t xml:space="preserve"> median loan </w:t>
      </w:r>
      <w:r w:rsidR="00570B10">
        <w:t>sizes</w:t>
      </w:r>
      <w:r w:rsidR="00600D26">
        <w:t xml:space="preserve"> measured as the logarithm of total assets</w:t>
      </w:r>
      <w:r w:rsidR="00570B10">
        <w:t>, followed by NBFIs</w:t>
      </w:r>
      <w:r w:rsidR="0002303A">
        <w:t>, while</w:t>
      </w:r>
      <w:r w:rsidR="006D3B35">
        <w:t xml:space="preserve"> </w:t>
      </w:r>
      <w:r w:rsidR="0002303A">
        <w:t xml:space="preserve">credit unions </w:t>
      </w:r>
      <w:r w:rsidR="00944B74">
        <w:t>are the smallest followed by NGOs. Credit unions tend to serve a limited geographic area, mostly targeting users with a common interest like employer or occupation</w:t>
      </w:r>
      <w:r w:rsidR="00A943E5">
        <w:t xml:space="preserve"> which could explain their smaller relative sizes. </w:t>
      </w:r>
      <w:r w:rsidR="00600D26">
        <w:t xml:space="preserve"> However, credit unions show the highest </w:t>
      </w:r>
      <w:r w:rsidR="001239E7">
        <w:t>level of asset structure/ tangibility- the ratio of non-current assets to total assets.</w:t>
      </w:r>
      <w:r w:rsidR="00C30CD8">
        <w:t xml:space="preserve">, followed by commercial banks. It means that credit unions and commercial banks tend </w:t>
      </w:r>
      <w:r w:rsidR="00166AC3">
        <w:t>to invest</w:t>
      </w:r>
      <w:r w:rsidR="009A54BB">
        <w:t xml:space="preserve"> more in physical infrastructure to serve their clients, a scenario that could get affected as they embrace </w:t>
      </w:r>
      <w:r w:rsidR="00166AC3">
        <w:t xml:space="preserve">fintech. NBFI and rural banks have the lowest rates of asset tangibility. </w:t>
      </w:r>
    </w:p>
    <w:p w14:paraId="2EC5243B" w14:textId="7F571C63" w:rsidR="00A11860" w:rsidRPr="00C04ECA" w:rsidRDefault="00C04ECA" w:rsidP="00C04ECA">
      <w:pPr>
        <w:pStyle w:val="Caption"/>
        <w:rPr>
          <w:i w:val="0"/>
        </w:rPr>
      </w:pPr>
      <w:r w:rsidRPr="00C04ECA">
        <w:rPr>
          <w:i w:val="0"/>
          <w:iCs w:val="0"/>
        </w:rPr>
        <w:lastRenderedPageBreak/>
        <w:t xml:space="preserve">Figure </w:t>
      </w:r>
      <w:r w:rsidRPr="00C04ECA">
        <w:rPr>
          <w:i w:val="0"/>
          <w:iCs w:val="0"/>
        </w:rPr>
        <w:fldChar w:fldCharType="begin"/>
      </w:r>
      <w:r w:rsidRPr="00C04ECA">
        <w:rPr>
          <w:i w:val="0"/>
          <w:iCs w:val="0"/>
        </w:rPr>
        <w:instrText xml:space="preserve"> SEQ Figure \* ARABIC </w:instrText>
      </w:r>
      <w:r w:rsidRPr="00C04ECA">
        <w:rPr>
          <w:i w:val="0"/>
          <w:iCs w:val="0"/>
        </w:rPr>
        <w:fldChar w:fldCharType="separate"/>
      </w:r>
      <w:r w:rsidR="003F3C5F">
        <w:rPr>
          <w:i w:val="0"/>
          <w:iCs w:val="0"/>
          <w:noProof/>
        </w:rPr>
        <w:t>1</w:t>
      </w:r>
      <w:r w:rsidRPr="00C04ECA">
        <w:rPr>
          <w:i w:val="0"/>
          <w:iCs w:val="0"/>
        </w:rPr>
        <w:fldChar w:fldCharType="end"/>
      </w:r>
      <w:r w:rsidRPr="00C04ECA">
        <w:rPr>
          <w:i w:val="0"/>
          <w:iCs w:val="0"/>
        </w:rPr>
        <w:t xml:space="preserve">: pairwise plots for quantitative variables </w:t>
      </w:r>
    </w:p>
    <w:p w14:paraId="6F4EA164" w14:textId="7D880661" w:rsidR="00500EC7" w:rsidRDefault="00C55ABA" w:rsidP="00500EC7">
      <w:pPr>
        <w:spacing w:line="360" w:lineRule="auto"/>
      </w:pPr>
      <w:r>
        <w:rPr>
          <w:noProof/>
        </w:rPr>
        <w:drawing>
          <wp:anchor distT="0" distB="0" distL="114300" distR="114300" simplePos="0" relativeHeight="251658240" behindDoc="1" locked="0" layoutInCell="1" allowOverlap="1" wp14:anchorId="00DB89FF" wp14:editId="081047CA">
            <wp:simplePos x="0" y="0"/>
            <wp:positionH relativeFrom="column">
              <wp:posOffset>-81481</wp:posOffset>
            </wp:positionH>
            <wp:positionV relativeFrom="paragraph">
              <wp:posOffset>75791</wp:posOffset>
            </wp:positionV>
            <wp:extent cx="8853836" cy="4806710"/>
            <wp:effectExtent l="0" t="0" r="4445" b="0"/>
            <wp:wrapNone/>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map&#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856019" cy="4807895"/>
                    </a:xfrm>
                    <a:prstGeom prst="rect">
                      <a:avLst/>
                    </a:prstGeom>
                  </pic:spPr>
                </pic:pic>
              </a:graphicData>
            </a:graphic>
            <wp14:sizeRelH relativeFrom="margin">
              <wp14:pctWidth>0</wp14:pctWidth>
            </wp14:sizeRelH>
            <wp14:sizeRelV relativeFrom="margin">
              <wp14:pctHeight>0</wp14:pctHeight>
            </wp14:sizeRelV>
          </wp:anchor>
        </w:drawing>
      </w:r>
      <w:r w:rsidR="00500EC7">
        <w:rPr>
          <w:noProof/>
        </w:rPr>
        <mc:AlternateContent>
          <mc:Choice Requires="wps">
            <w:drawing>
              <wp:inline distT="0" distB="0" distL="0" distR="0" wp14:anchorId="0A9AB8D0" wp14:editId="0EC128D2">
                <wp:extent cx="307975" cy="307975"/>
                <wp:effectExtent l="0" t="0" r="0" b="0"/>
                <wp:docPr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643CD" id="AutoShape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" filled="f" stroked="f">
                <o:lock v:ext="edit" aspectratio="t"/>
                <w10:anchorlock/>
              </v:rect>
            </w:pict>
          </mc:Fallback>
        </mc:AlternateContent>
      </w:r>
      <w:r w:rsidR="00500EC7">
        <w:rPr>
          <w:noProof/>
        </w:rPr>
        <mc:AlternateContent>
          <mc:Choice Requires="wps">
            <w:drawing>
              <wp:inline distT="0" distB="0" distL="0" distR="0" wp14:anchorId="0FA5207D" wp14:editId="421623ED">
                <wp:extent cx="307975" cy="307975"/>
                <wp:effectExtent l="0" t="0" r="0" b="0"/>
                <wp:docPr id="9"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42CBD" id="AutoShape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" filled="f" stroked="f">
                <o:lock v:ext="edit" aspectratio="t"/>
                <w10:anchorlock/>
              </v:rect>
            </w:pict>
          </mc:Fallback>
        </mc:AlternateContent>
      </w:r>
    </w:p>
    <w:p w14:paraId="16137EEC" w14:textId="0D0AACEE" w:rsidR="00E24135" w:rsidRDefault="00E55064" w:rsidP="00CA7BD9">
      <w:pPr>
        <w:spacing w:line="360" w:lineRule="auto"/>
      </w:pPr>
      <w:r>
        <w:rPr>
          <w:noProof/>
        </w:rPr>
        <mc:AlternateContent>
          <mc:Choice Requires="wps">
            <w:drawing>
              <wp:inline distT="0" distB="0" distL="0" distR="0" wp14:anchorId="10BBD527" wp14:editId="10ECFB08">
                <wp:extent cx="302260" cy="30226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49FB6" id="AutoShap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&#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P6XnCLnAQAAxAMAAA4AAAAAAAAAAAAAAAAALgIAAGRycy9lMm9Eb2MueG1sUEsBAi0A&#10;FAAGAAgAAAAhAAKdVXjZAAAAAwEAAA8AAAAAAAAAAAAAAAAAQQQAAGRycy9kb3ducmV2LnhtbFBL&#10;BQYAAAAABAAEAPMAAABHBQAAAAA=&#10;" filled="f" stroked="f">
                <o:lock v:ext="edit" aspectratio="t"/>
                <w10:anchorlock/>
              </v:rect>
            </w:pict>
          </mc:Fallback>
        </mc:AlternateContent>
      </w:r>
    </w:p>
    <w:p w14:paraId="4ADB9129" w14:textId="77777777" w:rsidR="002A536A" w:rsidRDefault="002A536A" w:rsidP="00CA7BD9">
      <w:pPr>
        <w:spacing w:line="360" w:lineRule="auto"/>
      </w:pPr>
    </w:p>
    <w:p w14:paraId="5349108D" w14:textId="4ED55A87" w:rsidR="002A536A" w:rsidRDefault="002A536A" w:rsidP="00CA7BD9">
      <w:pPr>
        <w:spacing w:line="360" w:lineRule="auto"/>
      </w:pPr>
    </w:p>
    <w:p w14:paraId="4AB989BD" w14:textId="77777777" w:rsidR="002A536A" w:rsidRDefault="002A536A" w:rsidP="00CA7BD9">
      <w:pPr>
        <w:spacing w:line="360" w:lineRule="auto"/>
      </w:pPr>
    </w:p>
    <w:p w14:paraId="71661911" w14:textId="6E05764A" w:rsidR="002A536A" w:rsidRDefault="002A536A" w:rsidP="00CA7BD9">
      <w:pPr>
        <w:spacing w:line="360" w:lineRule="auto"/>
      </w:pPr>
    </w:p>
    <w:p w14:paraId="4E6A2085" w14:textId="77777777" w:rsidR="002A536A" w:rsidRDefault="002A536A" w:rsidP="00CA7BD9">
      <w:pPr>
        <w:spacing w:line="360" w:lineRule="auto"/>
      </w:pPr>
    </w:p>
    <w:p w14:paraId="201FC6E0" w14:textId="77777777" w:rsidR="002A536A" w:rsidRDefault="002A536A" w:rsidP="00CA7BD9">
      <w:pPr>
        <w:spacing w:line="360" w:lineRule="auto"/>
      </w:pPr>
    </w:p>
    <w:p w14:paraId="449E7F8D" w14:textId="77777777" w:rsidR="002A536A" w:rsidRDefault="002A536A" w:rsidP="00CA7BD9">
      <w:pPr>
        <w:spacing w:line="360" w:lineRule="auto"/>
      </w:pPr>
    </w:p>
    <w:p w14:paraId="28CC873E" w14:textId="77777777" w:rsidR="002A536A" w:rsidRDefault="002A536A" w:rsidP="00CA7BD9">
      <w:pPr>
        <w:spacing w:line="360" w:lineRule="auto"/>
      </w:pPr>
    </w:p>
    <w:p w14:paraId="3F707DCD" w14:textId="77777777" w:rsidR="002A536A" w:rsidRDefault="002A536A" w:rsidP="00CA7BD9">
      <w:pPr>
        <w:spacing w:line="360" w:lineRule="auto"/>
      </w:pPr>
    </w:p>
    <w:p w14:paraId="0ED82D63" w14:textId="77777777" w:rsidR="002A536A" w:rsidRDefault="002A536A" w:rsidP="00CA7BD9">
      <w:pPr>
        <w:spacing w:line="360" w:lineRule="auto"/>
      </w:pPr>
    </w:p>
    <w:p w14:paraId="5E54BBA0" w14:textId="77777777" w:rsidR="002A536A" w:rsidRDefault="002A536A" w:rsidP="00CA7BD9">
      <w:pPr>
        <w:spacing w:line="360" w:lineRule="auto"/>
      </w:pPr>
    </w:p>
    <w:p w14:paraId="16BBBE64" w14:textId="77777777" w:rsidR="002A536A" w:rsidRDefault="002A536A" w:rsidP="00CA7BD9">
      <w:pPr>
        <w:spacing w:line="360" w:lineRule="auto"/>
      </w:pPr>
    </w:p>
    <w:p w14:paraId="487A9F25" w14:textId="77777777" w:rsidR="002A536A" w:rsidRDefault="002A536A" w:rsidP="00CA7BD9">
      <w:pPr>
        <w:spacing w:line="360" w:lineRule="auto"/>
      </w:pPr>
    </w:p>
    <w:p w14:paraId="7B4468BD" w14:textId="23381E18" w:rsidR="00E24135" w:rsidRDefault="00E24135" w:rsidP="00CA7BD9">
      <w:pPr>
        <w:spacing w:line="360" w:lineRule="auto"/>
        <w:sectPr w:rsidR="00E24135" w:rsidSect="001F0626">
          <w:pgSz w:w="16839" w:h="11907" w:orient="landscape" w:code="9"/>
          <w:pgMar w:top="1440" w:right="1440" w:bottom="1440" w:left="1440" w:header="720" w:footer="720" w:gutter="0"/>
          <w:cols w:num="2" w:space="720"/>
          <w:docGrid w:linePitch="360"/>
        </w:sectPr>
      </w:pPr>
    </w:p>
    <w:p w14:paraId="2456B039" w14:textId="36D98FD3" w:rsidR="008C5385" w:rsidRPr="00504E59" w:rsidRDefault="008C5385" w:rsidP="008C5385">
      <w:pPr>
        <w:pStyle w:val="Caption"/>
        <w:rPr>
          <w:i w:val="0"/>
          <w:iCs w:val="0"/>
        </w:rPr>
      </w:pPr>
      <w:r w:rsidRPr="00504E59">
        <w:rPr>
          <w:i w:val="0"/>
          <w:iCs w:val="0"/>
        </w:rPr>
        <w:lastRenderedPageBreak/>
        <w:t xml:space="preserve">Figure </w:t>
      </w:r>
      <w:r w:rsidRPr="00504E59">
        <w:rPr>
          <w:i w:val="0"/>
          <w:iCs w:val="0"/>
        </w:rPr>
        <w:fldChar w:fldCharType="begin"/>
      </w:r>
      <w:r w:rsidRPr="00504E59">
        <w:rPr>
          <w:i w:val="0"/>
          <w:iCs w:val="0"/>
        </w:rPr>
        <w:instrText xml:space="preserve"> SEQ Figure \* ARABIC </w:instrText>
      </w:r>
      <w:r w:rsidRPr="00504E59">
        <w:rPr>
          <w:i w:val="0"/>
          <w:iCs w:val="0"/>
        </w:rPr>
        <w:fldChar w:fldCharType="separate"/>
      </w:r>
      <w:r w:rsidR="003F3C5F">
        <w:rPr>
          <w:i w:val="0"/>
          <w:iCs w:val="0"/>
          <w:noProof/>
        </w:rPr>
        <w:t>2</w:t>
      </w:r>
      <w:r w:rsidRPr="00504E59">
        <w:rPr>
          <w:i w:val="0"/>
          <w:iCs w:val="0"/>
        </w:rPr>
        <w:fldChar w:fldCharType="end"/>
      </w:r>
      <w:r w:rsidRPr="00504E59">
        <w:rPr>
          <w:i w:val="0"/>
          <w:iCs w:val="0"/>
        </w:rPr>
        <w:t>: Relationships Between Current Legal Status and Other Variables</w:t>
      </w:r>
    </w:p>
    <w:p w14:paraId="388BA96E" w14:textId="3502C084" w:rsidR="002A536A" w:rsidRDefault="008C5385" w:rsidP="00A11860">
      <w:pPr>
        <w:pStyle w:val="Caption"/>
        <w:rPr>
          <w:b/>
          <w:color w:val="auto"/>
          <w:sz w:val="24"/>
          <w:szCs w:val="24"/>
        </w:rPr>
      </w:pPr>
      <w:r w:rsidRPr="002A536A">
        <w:rPr>
          <w:noProof/>
        </w:rPr>
        <w:drawing>
          <wp:inline distT="0" distB="0" distL="0" distR="0" wp14:anchorId="45A05C79" wp14:editId="0B2A8151">
            <wp:extent cx="8728435" cy="50967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47425" cy="5107875"/>
                    </a:xfrm>
                    <a:prstGeom prst="rect">
                      <a:avLst/>
                    </a:prstGeom>
                  </pic:spPr>
                </pic:pic>
              </a:graphicData>
            </a:graphic>
          </wp:inline>
        </w:drawing>
      </w:r>
    </w:p>
    <w:p w14:paraId="340EF58B" w14:textId="522EF193" w:rsidR="002A536A" w:rsidRPr="00994725" w:rsidRDefault="002A536A" w:rsidP="00B612DD">
      <w:pPr>
        <w:pStyle w:val="Caption"/>
        <w:jc w:val="left"/>
        <w:rPr>
          <w:i w:val="0"/>
          <w:iCs w:val="0"/>
        </w:rPr>
      </w:pPr>
    </w:p>
    <w:p w14:paraId="761D546A" w14:textId="1D437593" w:rsidR="0086174F" w:rsidRPr="00A11860" w:rsidRDefault="00A11860" w:rsidP="00A11860">
      <w:pPr>
        <w:pStyle w:val="Caption"/>
        <w:rPr>
          <w:b/>
          <w:color w:val="auto"/>
          <w:sz w:val="24"/>
          <w:szCs w:val="24"/>
        </w:rPr>
      </w:pPr>
      <w:r w:rsidRPr="00A11860">
        <w:rPr>
          <w:b/>
          <w:color w:val="auto"/>
          <w:sz w:val="24"/>
          <w:szCs w:val="24"/>
        </w:rPr>
        <w:lastRenderedPageBreak/>
        <w:t xml:space="preserve">Table </w:t>
      </w:r>
      <w:r w:rsidRPr="00A11860">
        <w:rPr>
          <w:b/>
          <w:color w:val="auto"/>
          <w:sz w:val="24"/>
          <w:szCs w:val="24"/>
        </w:rPr>
        <w:fldChar w:fldCharType="begin"/>
      </w:r>
      <w:r w:rsidRPr="00A11860">
        <w:rPr>
          <w:b/>
          <w:color w:val="auto"/>
          <w:sz w:val="24"/>
          <w:szCs w:val="24"/>
        </w:rPr>
        <w:instrText xml:space="preserve"> SEQ Table \* ARABIC </w:instrText>
      </w:r>
      <w:r w:rsidRPr="00A11860">
        <w:rPr>
          <w:b/>
          <w:color w:val="auto"/>
          <w:sz w:val="24"/>
          <w:szCs w:val="24"/>
        </w:rPr>
        <w:fldChar w:fldCharType="separate"/>
      </w:r>
      <w:r>
        <w:rPr>
          <w:b/>
          <w:noProof/>
          <w:color w:val="auto"/>
          <w:sz w:val="24"/>
          <w:szCs w:val="24"/>
        </w:rPr>
        <w:t>2</w:t>
      </w:r>
      <w:r w:rsidRPr="00A11860">
        <w:rPr>
          <w:b/>
          <w:color w:val="auto"/>
          <w:sz w:val="24"/>
          <w:szCs w:val="24"/>
        </w:rPr>
        <w:fldChar w:fldCharType="end"/>
      </w:r>
      <w:r w:rsidR="009E2DDD" w:rsidRPr="00A11860">
        <w:rPr>
          <w:b/>
          <w:color w:val="auto"/>
          <w:sz w:val="24"/>
          <w:szCs w:val="24"/>
        </w:rPr>
        <w:t xml:space="preserve">: </w:t>
      </w:r>
      <w:r w:rsidR="00C8779D" w:rsidRPr="00A11860">
        <w:rPr>
          <w:b/>
          <w:color w:val="auto"/>
          <w:sz w:val="24"/>
          <w:szCs w:val="24"/>
        </w:rPr>
        <w:t>Descriptive Statistics and Correlation Matrix</w:t>
      </w:r>
    </w:p>
    <w:tbl>
      <w:tblPr>
        <w:tblW w:w="5000" w:type="pct"/>
        <w:tblLook w:val="04A0" w:firstRow="1" w:lastRow="0" w:firstColumn="1" w:lastColumn="0" w:noHBand="0" w:noVBand="1"/>
      </w:tblPr>
      <w:tblGrid>
        <w:gridCol w:w="302"/>
        <w:gridCol w:w="2546"/>
        <w:gridCol w:w="645"/>
        <w:gridCol w:w="955"/>
        <w:gridCol w:w="651"/>
        <w:gridCol w:w="593"/>
        <w:gridCol w:w="650"/>
        <w:gridCol w:w="565"/>
        <w:gridCol w:w="801"/>
        <w:gridCol w:w="593"/>
        <w:gridCol w:w="678"/>
        <w:gridCol w:w="261"/>
        <w:gridCol w:w="565"/>
        <w:gridCol w:w="565"/>
        <w:gridCol w:w="565"/>
        <w:gridCol w:w="565"/>
        <w:gridCol w:w="565"/>
        <w:gridCol w:w="509"/>
        <w:gridCol w:w="222"/>
        <w:gridCol w:w="1162"/>
      </w:tblGrid>
      <w:tr w:rsidR="00B339D8" w:rsidRPr="008F778F" w14:paraId="1CBDB1E5" w14:textId="1ACB85F1" w:rsidTr="00936ACE">
        <w:trPr>
          <w:trHeight w:val="480"/>
        </w:trPr>
        <w:tc>
          <w:tcPr>
            <w:tcW w:w="128" w:type="pct"/>
            <w:tcBorders>
              <w:top w:val="single" w:sz="12" w:space="0" w:color="002060"/>
              <w:left w:val="nil"/>
              <w:bottom w:val="single" w:sz="12" w:space="0" w:color="002060"/>
              <w:right w:val="nil"/>
            </w:tcBorders>
            <w:shd w:val="clear" w:color="000000" w:fill="FFFFFF"/>
            <w:noWrap/>
            <w:vAlign w:val="bottom"/>
            <w:hideMark/>
          </w:tcPr>
          <w:p w14:paraId="520266AE" w14:textId="77777777" w:rsidR="00504E59" w:rsidRPr="00CC79AD" w:rsidRDefault="00504E59" w:rsidP="00504E59">
            <w:pPr>
              <w:spacing w:after="0" w:line="480" w:lineRule="auto"/>
              <w:jc w:val="left"/>
              <w:rPr>
                <w:rFonts w:eastAsia="Times New Roman" w:cs="Arial"/>
                <w:b/>
                <w:bCs/>
                <w:color w:val="002060"/>
                <w:sz w:val="18"/>
                <w:szCs w:val="18"/>
                <w:lang w:eastAsia="en-GB"/>
              </w:rPr>
            </w:pPr>
            <w:r w:rsidRPr="00CC79AD">
              <w:rPr>
                <w:rFonts w:eastAsia="Times New Roman" w:cs="Arial"/>
                <w:b/>
                <w:bCs/>
                <w:color w:val="002060"/>
                <w:sz w:val="18"/>
                <w:szCs w:val="18"/>
                <w:lang w:eastAsia="en-GB"/>
              </w:rPr>
              <w:t> </w:t>
            </w:r>
          </w:p>
        </w:tc>
        <w:tc>
          <w:tcPr>
            <w:tcW w:w="931" w:type="pct"/>
            <w:tcBorders>
              <w:top w:val="single" w:sz="12" w:space="0" w:color="002060"/>
              <w:left w:val="nil"/>
              <w:bottom w:val="single" w:sz="12" w:space="0" w:color="002060"/>
              <w:right w:val="nil"/>
            </w:tcBorders>
            <w:shd w:val="clear" w:color="000000" w:fill="FFFFFF"/>
            <w:noWrap/>
            <w:hideMark/>
          </w:tcPr>
          <w:p w14:paraId="4129F8BA" w14:textId="77777777" w:rsidR="00504E59" w:rsidRPr="00CC79AD" w:rsidRDefault="00504E59" w:rsidP="00504E59">
            <w:pPr>
              <w:spacing w:after="0" w:line="480" w:lineRule="auto"/>
              <w:jc w:val="left"/>
              <w:rPr>
                <w:rFonts w:eastAsia="Times New Roman" w:cs="Arial"/>
                <w:b/>
                <w:bCs/>
                <w:color w:val="002060"/>
                <w:sz w:val="18"/>
                <w:szCs w:val="18"/>
                <w:lang w:eastAsia="en-GB"/>
              </w:rPr>
            </w:pPr>
            <w:r w:rsidRPr="00CC79AD">
              <w:rPr>
                <w:rFonts w:eastAsia="Times New Roman" w:cs="Arial"/>
                <w:b/>
                <w:bCs/>
                <w:color w:val="002060"/>
                <w:sz w:val="18"/>
                <w:szCs w:val="18"/>
                <w:lang w:eastAsia="en-GB"/>
              </w:rPr>
              <w:t>Variable</w:t>
            </w:r>
          </w:p>
        </w:tc>
        <w:tc>
          <w:tcPr>
            <w:tcW w:w="250" w:type="pct"/>
            <w:tcBorders>
              <w:top w:val="single" w:sz="12" w:space="0" w:color="002060"/>
              <w:left w:val="nil"/>
              <w:bottom w:val="single" w:sz="12" w:space="0" w:color="002060"/>
              <w:right w:val="nil"/>
            </w:tcBorders>
            <w:shd w:val="clear" w:color="000000" w:fill="FFFFFF"/>
            <w:noWrap/>
            <w:hideMark/>
          </w:tcPr>
          <w:p w14:paraId="0237D768" w14:textId="77777777" w:rsidR="00504E59" w:rsidRPr="00CC79AD" w:rsidRDefault="00504E59" w:rsidP="00504E59">
            <w:pPr>
              <w:spacing w:after="0" w:line="480" w:lineRule="auto"/>
              <w:jc w:val="left"/>
              <w:rPr>
                <w:rFonts w:eastAsia="Times New Roman" w:cs="Arial"/>
                <w:b/>
                <w:bCs/>
                <w:color w:val="002060"/>
                <w:sz w:val="18"/>
                <w:szCs w:val="18"/>
                <w:lang w:eastAsia="en-GB"/>
              </w:rPr>
            </w:pPr>
            <w:r w:rsidRPr="00CC79AD">
              <w:rPr>
                <w:rFonts w:eastAsia="Times New Roman" w:cs="Arial"/>
                <w:b/>
                <w:bCs/>
                <w:color w:val="002060"/>
                <w:sz w:val="18"/>
                <w:szCs w:val="18"/>
                <w:lang w:eastAsia="en-GB"/>
              </w:rPr>
              <w:t>N</w:t>
            </w:r>
          </w:p>
        </w:tc>
        <w:tc>
          <w:tcPr>
            <w:tcW w:w="358" w:type="pct"/>
            <w:tcBorders>
              <w:top w:val="single" w:sz="12" w:space="0" w:color="002060"/>
              <w:left w:val="nil"/>
              <w:bottom w:val="single" w:sz="12" w:space="0" w:color="002060"/>
              <w:right w:val="nil"/>
            </w:tcBorders>
            <w:shd w:val="clear" w:color="000000" w:fill="FFFFFF"/>
            <w:hideMark/>
          </w:tcPr>
          <w:p w14:paraId="099A9493" w14:textId="77777777" w:rsidR="00504E59" w:rsidRPr="00CC79AD" w:rsidRDefault="00504E59" w:rsidP="00504E59">
            <w:pPr>
              <w:spacing w:after="0" w:line="480" w:lineRule="auto"/>
              <w:jc w:val="left"/>
              <w:rPr>
                <w:rFonts w:eastAsia="Times New Roman" w:cs="Arial"/>
                <w:b/>
                <w:bCs/>
                <w:color w:val="002060"/>
                <w:sz w:val="18"/>
                <w:szCs w:val="18"/>
                <w:lang w:eastAsia="en-GB"/>
              </w:rPr>
            </w:pPr>
            <w:r w:rsidRPr="00CC79AD">
              <w:rPr>
                <w:rFonts w:eastAsia="Times New Roman" w:cs="Arial"/>
                <w:b/>
                <w:bCs/>
                <w:color w:val="002060"/>
                <w:sz w:val="18"/>
                <w:szCs w:val="18"/>
                <w:lang w:eastAsia="en-GB"/>
              </w:rPr>
              <w:t xml:space="preserve">Complete </w:t>
            </w:r>
            <w:r w:rsidRPr="00CC79AD">
              <w:rPr>
                <w:rFonts w:eastAsia="Times New Roman" w:cs="Arial"/>
                <w:b/>
                <w:bCs/>
                <w:color w:val="002060"/>
                <w:sz w:val="18"/>
                <w:szCs w:val="18"/>
                <w:lang w:eastAsia="en-GB"/>
              </w:rPr>
              <w:br/>
              <w:t>Rate</w:t>
            </w:r>
          </w:p>
        </w:tc>
        <w:tc>
          <w:tcPr>
            <w:tcW w:w="242" w:type="pct"/>
            <w:tcBorders>
              <w:top w:val="single" w:sz="12" w:space="0" w:color="002060"/>
              <w:left w:val="nil"/>
              <w:bottom w:val="single" w:sz="12" w:space="0" w:color="002060"/>
              <w:right w:val="nil"/>
            </w:tcBorders>
            <w:shd w:val="clear" w:color="000000" w:fill="FFFFFF"/>
            <w:noWrap/>
            <w:hideMark/>
          </w:tcPr>
          <w:p w14:paraId="0A4281E1" w14:textId="77777777" w:rsidR="00504E59" w:rsidRPr="00CC79AD" w:rsidRDefault="00504E59" w:rsidP="00504E59">
            <w:pPr>
              <w:spacing w:after="0" w:line="480" w:lineRule="auto"/>
              <w:jc w:val="left"/>
              <w:rPr>
                <w:rFonts w:eastAsia="Times New Roman" w:cs="Arial"/>
                <w:b/>
                <w:bCs/>
                <w:color w:val="002060"/>
                <w:sz w:val="18"/>
                <w:szCs w:val="18"/>
                <w:lang w:eastAsia="en-GB"/>
              </w:rPr>
            </w:pPr>
            <w:r w:rsidRPr="00CC79AD">
              <w:rPr>
                <w:rFonts w:eastAsia="Times New Roman" w:cs="Arial"/>
                <w:b/>
                <w:bCs/>
                <w:color w:val="002060"/>
                <w:sz w:val="18"/>
                <w:szCs w:val="18"/>
                <w:lang w:eastAsia="en-GB"/>
              </w:rPr>
              <w:t>Mean</w:t>
            </w:r>
          </w:p>
        </w:tc>
        <w:tc>
          <w:tcPr>
            <w:tcW w:w="220" w:type="pct"/>
            <w:tcBorders>
              <w:top w:val="single" w:sz="12" w:space="0" w:color="002060"/>
              <w:left w:val="nil"/>
              <w:bottom w:val="single" w:sz="12" w:space="0" w:color="002060"/>
              <w:right w:val="nil"/>
            </w:tcBorders>
            <w:shd w:val="clear" w:color="000000" w:fill="FFFFFF"/>
            <w:noWrap/>
            <w:hideMark/>
          </w:tcPr>
          <w:p w14:paraId="347D4A3D" w14:textId="77777777" w:rsidR="00504E59" w:rsidRPr="00CC79AD" w:rsidRDefault="00504E59" w:rsidP="00504E59">
            <w:pPr>
              <w:spacing w:after="0" w:line="480" w:lineRule="auto"/>
              <w:jc w:val="left"/>
              <w:rPr>
                <w:rFonts w:eastAsia="Times New Roman" w:cs="Arial"/>
                <w:b/>
                <w:bCs/>
                <w:color w:val="002060"/>
                <w:sz w:val="18"/>
                <w:szCs w:val="18"/>
                <w:lang w:eastAsia="en-GB"/>
              </w:rPr>
            </w:pPr>
            <w:r w:rsidRPr="00CC79AD">
              <w:rPr>
                <w:rFonts w:eastAsia="Times New Roman" w:cs="Arial"/>
                <w:b/>
                <w:bCs/>
                <w:color w:val="002060"/>
                <w:sz w:val="18"/>
                <w:szCs w:val="18"/>
                <w:lang w:eastAsia="en-GB"/>
              </w:rPr>
              <w:t>SD</w:t>
            </w:r>
          </w:p>
        </w:tc>
        <w:tc>
          <w:tcPr>
            <w:tcW w:w="233" w:type="pct"/>
            <w:tcBorders>
              <w:top w:val="single" w:sz="12" w:space="0" w:color="002060"/>
              <w:left w:val="nil"/>
              <w:bottom w:val="single" w:sz="12" w:space="0" w:color="002060"/>
              <w:right w:val="nil"/>
            </w:tcBorders>
            <w:shd w:val="clear" w:color="000000" w:fill="FFFFFF"/>
            <w:noWrap/>
            <w:hideMark/>
          </w:tcPr>
          <w:p w14:paraId="4595D429" w14:textId="77777777" w:rsidR="00504E59" w:rsidRPr="00CC79AD" w:rsidRDefault="00504E59" w:rsidP="00504E59">
            <w:pPr>
              <w:spacing w:after="0" w:line="480" w:lineRule="auto"/>
              <w:jc w:val="left"/>
              <w:rPr>
                <w:rFonts w:eastAsia="Times New Roman" w:cs="Arial"/>
                <w:b/>
                <w:bCs/>
                <w:color w:val="002060"/>
                <w:sz w:val="18"/>
                <w:szCs w:val="18"/>
                <w:lang w:eastAsia="en-GB"/>
              </w:rPr>
            </w:pPr>
            <w:r w:rsidRPr="00CC79AD">
              <w:rPr>
                <w:rFonts w:eastAsia="Times New Roman" w:cs="Arial"/>
                <w:b/>
                <w:bCs/>
                <w:color w:val="002060"/>
                <w:sz w:val="18"/>
                <w:szCs w:val="18"/>
                <w:lang w:eastAsia="en-GB"/>
              </w:rPr>
              <w:t>Min</w:t>
            </w:r>
          </w:p>
        </w:tc>
        <w:tc>
          <w:tcPr>
            <w:tcW w:w="202" w:type="pct"/>
            <w:tcBorders>
              <w:top w:val="single" w:sz="12" w:space="0" w:color="002060"/>
              <w:left w:val="nil"/>
              <w:bottom w:val="single" w:sz="12" w:space="0" w:color="002060"/>
              <w:right w:val="nil"/>
            </w:tcBorders>
            <w:shd w:val="clear" w:color="000000" w:fill="FFFFFF"/>
            <w:noWrap/>
            <w:hideMark/>
          </w:tcPr>
          <w:p w14:paraId="1FF9061C" w14:textId="77777777" w:rsidR="00504E59" w:rsidRPr="00CC79AD" w:rsidRDefault="00504E59" w:rsidP="00504E59">
            <w:pPr>
              <w:spacing w:after="0" w:line="480" w:lineRule="auto"/>
              <w:jc w:val="left"/>
              <w:rPr>
                <w:rFonts w:eastAsia="Times New Roman" w:cs="Arial"/>
                <w:b/>
                <w:bCs/>
                <w:color w:val="002060"/>
                <w:sz w:val="18"/>
                <w:szCs w:val="18"/>
                <w:lang w:eastAsia="en-GB"/>
              </w:rPr>
            </w:pPr>
            <w:r w:rsidRPr="00CC79AD">
              <w:rPr>
                <w:rFonts w:eastAsia="Times New Roman" w:cs="Arial"/>
                <w:b/>
                <w:bCs/>
                <w:color w:val="002060"/>
                <w:sz w:val="18"/>
                <w:szCs w:val="18"/>
                <w:lang w:eastAsia="en-GB"/>
              </w:rPr>
              <w:t>Q1</w:t>
            </w:r>
          </w:p>
        </w:tc>
        <w:tc>
          <w:tcPr>
            <w:tcW w:w="299" w:type="pct"/>
            <w:tcBorders>
              <w:top w:val="single" w:sz="12" w:space="0" w:color="002060"/>
              <w:left w:val="nil"/>
              <w:bottom w:val="single" w:sz="12" w:space="0" w:color="002060"/>
              <w:right w:val="nil"/>
            </w:tcBorders>
            <w:shd w:val="clear" w:color="000000" w:fill="FFFFFF"/>
            <w:noWrap/>
            <w:hideMark/>
          </w:tcPr>
          <w:p w14:paraId="2F6C1226" w14:textId="77777777" w:rsidR="00504E59" w:rsidRPr="00CC79AD" w:rsidRDefault="00504E59" w:rsidP="00504E59">
            <w:pPr>
              <w:spacing w:after="0" w:line="480" w:lineRule="auto"/>
              <w:jc w:val="left"/>
              <w:rPr>
                <w:rFonts w:eastAsia="Times New Roman" w:cs="Arial"/>
                <w:b/>
                <w:bCs/>
                <w:color w:val="002060"/>
                <w:sz w:val="18"/>
                <w:szCs w:val="18"/>
                <w:lang w:eastAsia="en-GB"/>
              </w:rPr>
            </w:pPr>
            <w:r w:rsidRPr="00CC79AD">
              <w:rPr>
                <w:rFonts w:eastAsia="Times New Roman" w:cs="Arial"/>
                <w:b/>
                <w:bCs/>
                <w:color w:val="002060"/>
                <w:sz w:val="18"/>
                <w:szCs w:val="18"/>
                <w:lang w:eastAsia="en-GB"/>
              </w:rPr>
              <w:t>Median</w:t>
            </w:r>
          </w:p>
        </w:tc>
        <w:tc>
          <w:tcPr>
            <w:tcW w:w="220" w:type="pct"/>
            <w:tcBorders>
              <w:top w:val="single" w:sz="12" w:space="0" w:color="002060"/>
              <w:left w:val="nil"/>
              <w:bottom w:val="single" w:sz="12" w:space="0" w:color="002060"/>
              <w:right w:val="nil"/>
            </w:tcBorders>
            <w:shd w:val="clear" w:color="000000" w:fill="FFFFFF"/>
            <w:noWrap/>
            <w:hideMark/>
          </w:tcPr>
          <w:p w14:paraId="60011B90" w14:textId="77777777" w:rsidR="00504E59" w:rsidRPr="00CC79AD" w:rsidRDefault="00504E59" w:rsidP="00504E59">
            <w:pPr>
              <w:spacing w:after="0" w:line="480" w:lineRule="auto"/>
              <w:jc w:val="left"/>
              <w:rPr>
                <w:rFonts w:eastAsia="Times New Roman" w:cs="Arial"/>
                <w:b/>
                <w:bCs/>
                <w:color w:val="002060"/>
                <w:sz w:val="18"/>
                <w:szCs w:val="18"/>
                <w:lang w:eastAsia="en-GB"/>
              </w:rPr>
            </w:pPr>
            <w:r w:rsidRPr="00CC79AD">
              <w:rPr>
                <w:rFonts w:eastAsia="Times New Roman" w:cs="Arial"/>
                <w:b/>
                <w:bCs/>
                <w:color w:val="002060"/>
                <w:sz w:val="18"/>
                <w:szCs w:val="18"/>
                <w:lang w:eastAsia="en-GB"/>
              </w:rPr>
              <w:t>Q3</w:t>
            </w:r>
          </w:p>
        </w:tc>
        <w:tc>
          <w:tcPr>
            <w:tcW w:w="253" w:type="pct"/>
            <w:tcBorders>
              <w:top w:val="single" w:sz="12" w:space="0" w:color="002060"/>
              <w:left w:val="nil"/>
              <w:bottom w:val="single" w:sz="12" w:space="0" w:color="002060"/>
              <w:right w:val="nil"/>
            </w:tcBorders>
            <w:shd w:val="clear" w:color="000000" w:fill="FFFFFF"/>
            <w:noWrap/>
            <w:hideMark/>
          </w:tcPr>
          <w:p w14:paraId="258B4266" w14:textId="77777777" w:rsidR="00504E59" w:rsidRPr="00CC79AD" w:rsidRDefault="00504E59" w:rsidP="00504E59">
            <w:pPr>
              <w:spacing w:after="0" w:line="480" w:lineRule="auto"/>
              <w:jc w:val="left"/>
              <w:rPr>
                <w:rFonts w:eastAsia="Times New Roman" w:cs="Arial"/>
                <w:b/>
                <w:bCs/>
                <w:color w:val="002060"/>
                <w:sz w:val="18"/>
                <w:szCs w:val="18"/>
                <w:lang w:eastAsia="en-GB"/>
              </w:rPr>
            </w:pPr>
            <w:r w:rsidRPr="00CC79AD">
              <w:rPr>
                <w:rFonts w:eastAsia="Times New Roman" w:cs="Arial"/>
                <w:b/>
                <w:bCs/>
                <w:color w:val="002060"/>
                <w:sz w:val="18"/>
                <w:szCs w:val="18"/>
                <w:lang w:eastAsia="en-GB"/>
              </w:rPr>
              <w:t>Max</w:t>
            </w:r>
          </w:p>
        </w:tc>
        <w:tc>
          <w:tcPr>
            <w:tcW w:w="93" w:type="pct"/>
            <w:tcBorders>
              <w:top w:val="single" w:sz="12" w:space="0" w:color="002060"/>
              <w:left w:val="nil"/>
              <w:bottom w:val="single" w:sz="12" w:space="0" w:color="002060"/>
              <w:right w:val="single" w:sz="4" w:space="0" w:color="auto"/>
            </w:tcBorders>
            <w:shd w:val="clear" w:color="000000" w:fill="FFFFFF"/>
            <w:noWrap/>
            <w:hideMark/>
          </w:tcPr>
          <w:p w14:paraId="6A7F09C9" w14:textId="77777777" w:rsidR="00504E59" w:rsidRPr="00CC79AD" w:rsidRDefault="00504E59" w:rsidP="00504E59">
            <w:pPr>
              <w:spacing w:after="0" w:line="480" w:lineRule="auto"/>
              <w:jc w:val="left"/>
              <w:rPr>
                <w:rFonts w:eastAsia="Times New Roman" w:cs="Arial"/>
                <w:b/>
                <w:bCs/>
                <w:color w:val="002060"/>
                <w:sz w:val="18"/>
                <w:szCs w:val="18"/>
                <w:lang w:eastAsia="en-GB"/>
              </w:rPr>
            </w:pPr>
            <w:r w:rsidRPr="00CC79AD">
              <w:rPr>
                <w:rFonts w:eastAsia="Times New Roman" w:cs="Arial"/>
                <w:b/>
                <w:bCs/>
                <w:color w:val="002060"/>
                <w:sz w:val="18"/>
                <w:szCs w:val="18"/>
                <w:lang w:eastAsia="en-GB"/>
              </w:rPr>
              <w:t> </w:t>
            </w:r>
          </w:p>
        </w:tc>
        <w:tc>
          <w:tcPr>
            <w:tcW w:w="202" w:type="pct"/>
            <w:tcBorders>
              <w:top w:val="single" w:sz="12" w:space="0" w:color="002060"/>
              <w:left w:val="single" w:sz="4" w:space="0" w:color="auto"/>
              <w:bottom w:val="single" w:sz="12" w:space="0" w:color="002060"/>
              <w:right w:val="nil"/>
            </w:tcBorders>
            <w:shd w:val="clear" w:color="000000" w:fill="FFFFFF"/>
            <w:noWrap/>
            <w:vAlign w:val="bottom"/>
            <w:hideMark/>
          </w:tcPr>
          <w:p w14:paraId="26A74FD8" w14:textId="77777777" w:rsidR="00504E59" w:rsidRPr="00CC79AD" w:rsidRDefault="00504E59" w:rsidP="00504E59">
            <w:pPr>
              <w:spacing w:after="0" w:line="480" w:lineRule="auto"/>
              <w:jc w:val="right"/>
              <w:rPr>
                <w:rFonts w:eastAsia="Times New Roman" w:cs="Arial"/>
                <w:b/>
                <w:bCs/>
                <w:color w:val="00B0F0"/>
                <w:sz w:val="18"/>
                <w:szCs w:val="18"/>
                <w:lang w:eastAsia="en-GB"/>
              </w:rPr>
            </w:pPr>
            <w:r w:rsidRPr="00CC79AD">
              <w:rPr>
                <w:rFonts w:eastAsia="Times New Roman" w:cs="Arial"/>
                <w:b/>
                <w:bCs/>
                <w:color w:val="00B0F0"/>
                <w:sz w:val="18"/>
                <w:szCs w:val="18"/>
                <w:lang w:eastAsia="en-GB"/>
              </w:rPr>
              <w:t>3</w:t>
            </w:r>
          </w:p>
        </w:tc>
        <w:tc>
          <w:tcPr>
            <w:tcW w:w="202" w:type="pct"/>
            <w:tcBorders>
              <w:top w:val="single" w:sz="12" w:space="0" w:color="002060"/>
              <w:left w:val="nil"/>
              <w:bottom w:val="single" w:sz="12" w:space="0" w:color="002060"/>
              <w:right w:val="nil"/>
            </w:tcBorders>
            <w:shd w:val="clear" w:color="000000" w:fill="FFFFFF"/>
            <w:noWrap/>
            <w:vAlign w:val="bottom"/>
            <w:hideMark/>
          </w:tcPr>
          <w:p w14:paraId="7BAED38D" w14:textId="77777777" w:rsidR="00504E59" w:rsidRPr="00CC79AD" w:rsidRDefault="00504E59" w:rsidP="00504E59">
            <w:pPr>
              <w:spacing w:after="0" w:line="480" w:lineRule="auto"/>
              <w:jc w:val="right"/>
              <w:rPr>
                <w:rFonts w:eastAsia="Times New Roman" w:cs="Arial"/>
                <w:b/>
                <w:bCs/>
                <w:color w:val="00B0F0"/>
                <w:sz w:val="18"/>
                <w:szCs w:val="18"/>
                <w:lang w:eastAsia="en-GB"/>
              </w:rPr>
            </w:pPr>
            <w:r w:rsidRPr="00CC79AD">
              <w:rPr>
                <w:rFonts w:eastAsia="Times New Roman" w:cs="Arial"/>
                <w:b/>
                <w:bCs/>
                <w:color w:val="00B0F0"/>
                <w:sz w:val="18"/>
                <w:szCs w:val="18"/>
                <w:lang w:eastAsia="en-GB"/>
              </w:rPr>
              <w:t>4</w:t>
            </w:r>
          </w:p>
        </w:tc>
        <w:tc>
          <w:tcPr>
            <w:tcW w:w="202" w:type="pct"/>
            <w:tcBorders>
              <w:top w:val="single" w:sz="12" w:space="0" w:color="002060"/>
              <w:left w:val="nil"/>
              <w:bottom w:val="single" w:sz="12" w:space="0" w:color="002060"/>
              <w:right w:val="nil"/>
            </w:tcBorders>
            <w:shd w:val="clear" w:color="000000" w:fill="FFFFFF"/>
            <w:noWrap/>
            <w:vAlign w:val="bottom"/>
            <w:hideMark/>
          </w:tcPr>
          <w:p w14:paraId="7CF6D05D" w14:textId="77777777" w:rsidR="00504E59" w:rsidRPr="00CC79AD" w:rsidRDefault="00504E59" w:rsidP="00504E59">
            <w:pPr>
              <w:spacing w:after="0" w:line="480" w:lineRule="auto"/>
              <w:jc w:val="right"/>
              <w:rPr>
                <w:rFonts w:eastAsia="Times New Roman" w:cs="Arial"/>
                <w:b/>
                <w:bCs/>
                <w:color w:val="00B0F0"/>
                <w:sz w:val="18"/>
                <w:szCs w:val="18"/>
                <w:lang w:eastAsia="en-GB"/>
              </w:rPr>
            </w:pPr>
            <w:r w:rsidRPr="00CC79AD">
              <w:rPr>
                <w:rFonts w:eastAsia="Times New Roman" w:cs="Arial"/>
                <w:b/>
                <w:bCs/>
                <w:color w:val="00B0F0"/>
                <w:sz w:val="18"/>
                <w:szCs w:val="18"/>
                <w:lang w:eastAsia="en-GB"/>
              </w:rPr>
              <w:t>5</w:t>
            </w:r>
          </w:p>
        </w:tc>
        <w:tc>
          <w:tcPr>
            <w:tcW w:w="202" w:type="pct"/>
            <w:tcBorders>
              <w:top w:val="single" w:sz="12" w:space="0" w:color="002060"/>
              <w:left w:val="nil"/>
              <w:bottom w:val="single" w:sz="12" w:space="0" w:color="002060"/>
              <w:right w:val="nil"/>
            </w:tcBorders>
            <w:shd w:val="clear" w:color="000000" w:fill="FFFFFF"/>
            <w:noWrap/>
            <w:vAlign w:val="bottom"/>
            <w:hideMark/>
          </w:tcPr>
          <w:p w14:paraId="23A481A3" w14:textId="77777777" w:rsidR="00504E59" w:rsidRPr="00CC79AD" w:rsidRDefault="00504E59" w:rsidP="00504E59">
            <w:pPr>
              <w:spacing w:after="0" w:line="480" w:lineRule="auto"/>
              <w:jc w:val="right"/>
              <w:rPr>
                <w:rFonts w:eastAsia="Times New Roman" w:cs="Arial"/>
                <w:b/>
                <w:bCs/>
                <w:color w:val="00B0F0"/>
                <w:sz w:val="18"/>
                <w:szCs w:val="18"/>
                <w:lang w:eastAsia="en-GB"/>
              </w:rPr>
            </w:pPr>
            <w:r w:rsidRPr="00CC79AD">
              <w:rPr>
                <w:rFonts w:eastAsia="Times New Roman" w:cs="Arial"/>
                <w:b/>
                <w:bCs/>
                <w:color w:val="00B0F0"/>
                <w:sz w:val="18"/>
                <w:szCs w:val="18"/>
                <w:lang w:eastAsia="en-GB"/>
              </w:rPr>
              <w:t>6</w:t>
            </w:r>
          </w:p>
        </w:tc>
        <w:tc>
          <w:tcPr>
            <w:tcW w:w="202" w:type="pct"/>
            <w:tcBorders>
              <w:top w:val="single" w:sz="12" w:space="0" w:color="002060"/>
              <w:left w:val="nil"/>
              <w:bottom w:val="single" w:sz="12" w:space="0" w:color="002060"/>
              <w:right w:val="nil"/>
            </w:tcBorders>
            <w:shd w:val="clear" w:color="000000" w:fill="FFFFFF"/>
            <w:noWrap/>
            <w:vAlign w:val="bottom"/>
            <w:hideMark/>
          </w:tcPr>
          <w:p w14:paraId="790E1BCF" w14:textId="77777777" w:rsidR="00504E59" w:rsidRPr="00CC79AD" w:rsidRDefault="00504E59" w:rsidP="00504E59">
            <w:pPr>
              <w:spacing w:after="0" w:line="480" w:lineRule="auto"/>
              <w:jc w:val="right"/>
              <w:rPr>
                <w:rFonts w:eastAsia="Times New Roman" w:cs="Arial"/>
                <w:b/>
                <w:bCs/>
                <w:color w:val="00B0F0"/>
                <w:sz w:val="18"/>
                <w:szCs w:val="18"/>
                <w:lang w:eastAsia="en-GB"/>
              </w:rPr>
            </w:pPr>
            <w:r w:rsidRPr="00CC79AD">
              <w:rPr>
                <w:rFonts w:eastAsia="Times New Roman" w:cs="Arial"/>
                <w:b/>
                <w:bCs/>
                <w:color w:val="00B0F0"/>
                <w:sz w:val="18"/>
                <w:szCs w:val="18"/>
                <w:lang w:eastAsia="en-GB"/>
              </w:rPr>
              <w:t>7</w:t>
            </w:r>
          </w:p>
        </w:tc>
        <w:tc>
          <w:tcPr>
            <w:tcW w:w="189" w:type="pct"/>
            <w:tcBorders>
              <w:top w:val="single" w:sz="12" w:space="0" w:color="002060"/>
              <w:left w:val="nil"/>
              <w:bottom w:val="single" w:sz="12" w:space="0" w:color="002060"/>
              <w:right w:val="nil"/>
            </w:tcBorders>
            <w:shd w:val="clear" w:color="000000" w:fill="FFFFFF"/>
            <w:noWrap/>
            <w:vAlign w:val="bottom"/>
            <w:hideMark/>
          </w:tcPr>
          <w:p w14:paraId="2D4DCCFC" w14:textId="77777777" w:rsidR="00504E59" w:rsidRPr="00CC79AD" w:rsidRDefault="00504E59" w:rsidP="00504E59">
            <w:pPr>
              <w:spacing w:after="0" w:line="480" w:lineRule="auto"/>
              <w:jc w:val="right"/>
              <w:rPr>
                <w:rFonts w:eastAsia="Times New Roman" w:cs="Arial"/>
                <w:b/>
                <w:bCs/>
                <w:color w:val="00B0F0"/>
                <w:sz w:val="18"/>
                <w:szCs w:val="18"/>
                <w:lang w:eastAsia="en-GB"/>
              </w:rPr>
            </w:pPr>
            <w:r w:rsidRPr="00CC79AD">
              <w:rPr>
                <w:rFonts w:eastAsia="Times New Roman" w:cs="Arial"/>
                <w:b/>
                <w:bCs/>
                <w:color w:val="00B0F0"/>
                <w:sz w:val="18"/>
                <w:szCs w:val="18"/>
                <w:lang w:eastAsia="en-GB"/>
              </w:rPr>
              <w:t>8</w:t>
            </w:r>
          </w:p>
        </w:tc>
        <w:tc>
          <w:tcPr>
            <w:tcW w:w="81" w:type="pct"/>
            <w:tcBorders>
              <w:top w:val="single" w:sz="12" w:space="0" w:color="002060"/>
              <w:left w:val="nil"/>
              <w:bottom w:val="single" w:sz="12" w:space="0" w:color="002060"/>
              <w:right w:val="nil"/>
            </w:tcBorders>
            <w:shd w:val="clear" w:color="000000" w:fill="FFFFFF"/>
          </w:tcPr>
          <w:p w14:paraId="0D6960DE" w14:textId="77777777" w:rsidR="00504E59" w:rsidRPr="008F778F" w:rsidRDefault="00504E59" w:rsidP="00504E59">
            <w:pPr>
              <w:spacing w:after="0" w:line="480" w:lineRule="auto"/>
              <w:jc w:val="right"/>
              <w:rPr>
                <w:rFonts w:eastAsia="Times New Roman" w:cs="Arial"/>
                <w:b/>
                <w:bCs/>
                <w:color w:val="00B0F0"/>
                <w:sz w:val="18"/>
                <w:szCs w:val="18"/>
                <w:lang w:eastAsia="en-GB"/>
              </w:rPr>
            </w:pPr>
          </w:p>
        </w:tc>
        <w:tc>
          <w:tcPr>
            <w:tcW w:w="288" w:type="pct"/>
            <w:tcBorders>
              <w:top w:val="single" w:sz="12" w:space="0" w:color="002060"/>
              <w:left w:val="nil"/>
              <w:bottom w:val="single" w:sz="12" w:space="0" w:color="002060"/>
              <w:right w:val="nil"/>
            </w:tcBorders>
            <w:shd w:val="clear" w:color="000000" w:fill="FFFFFF"/>
          </w:tcPr>
          <w:p w14:paraId="0CDE40C1" w14:textId="0F43B06F" w:rsidR="00504E59" w:rsidRPr="008F778F" w:rsidRDefault="000939A7" w:rsidP="00504E59">
            <w:pPr>
              <w:spacing w:after="0" w:line="480" w:lineRule="auto"/>
              <w:jc w:val="right"/>
              <w:rPr>
                <w:rFonts w:eastAsia="Times New Roman" w:cs="Arial"/>
                <w:b/>
                <w:bCs/>
                <w:color w:val="00B0F0"/>
                <w:sz w:val="18"/>
                <w:szCs w:val="18"/>
                <w:lang w:eastAsia="en-GB"/>
              </w:rPr>
            </w:pPr>
            <w:r w:rsidRPr="008F778F">
              <w:rPr>
                <w:rFonts w:eastAsia="Times New Roman" w:cs="Arial"/>
                <w:b/>
                <w:bCs/>
                <w:color w:val="00B0F0"/>
                <w:sz w:val="18"/>
                <w:szCs w:val="18"/>
                <w:lang w:eastAsia="en-GB"/>
              </w:rPr>
              <w:t xml:space="preserve">Stationarity </w:t>
            </w:r>
            <w:r w:rsidR="00504E59" w:rsidRPr="008F778F">
              <w:rPr>
                <w:rFonts w:eastAsia="Times New Roman" w:cs="Arial"/>
                <w:b/>
                <w:bCs/>
                <w:color w:val="00B0F0"/>
                <w:sz w:val="18"/>
                <w:szCs w:val="18"/>
                <w:lang w:eastAsia="en-GB"/>
              </w:rPr>
              <w:t>Inverse Chi</w:t>
            </w:r>
          </w:p>
        </w:tc>
      </w:tr>
      <w:tr w:rsidR="00B339D8" w:rsidRPr="008F778F" w14:paraId="29AF32B0" w14:textId="4566DA32" w:rsidTr="00936ACE">
        <w:trPr>
          <w:trHeight w:val="240"/>
        </w:trPr>
        <w:tc>
          <w:tcPr>
            <w:tcW w:w="128" w:type="pct"/>
            <w:tcBorders>
              <w:top w:val="nil"/>
              <w:left w:val="nil"/>
              <w:bottom w:val="nil"/>
              <w:right w:val="nil"/>
            </w:tcBorders>
            <w:shd w:val="clear" w:color="000000" w:fill="FFFFFF"/>
            <w:noWrap/>
            <w:vAlign w:val="bottom"/>
            <w:hideMark/>
          </w:tcPr>
          <w:p w14:paraId="345E6992"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1</w:t>
            </w:r>
          </w:p>
        </w:tc>
        <w:tc>
          <w:tcPr>
            <w:tcW w:w="931" w:type="pct"/>
            <w:tcBorders>
              <w:top w:val="nil"/>
              <w:left w:val="nil"/>
              <w:bottom w:val="nil"/>
              <w:right w:val="nil"/>
            </w:tcBorders>
            <w:shd w:val="clear" w:color="000000" w:fill="FFFFFF"/>
            <w:noWrap/>
            <w:vAlign w:val="bottom"/>
            <w:hideMark/>
          </w:tcPr>
          <w:p w14:paraId="2504D58A"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Current Legal Status</w:t>
            </w:r>
          </w:p>
        </w:tc>
        <w:tc>
          <w:tcPr>
            <w:tcW w:w="250" w:type="pct"/>
            <w:tcBorders>
              <w:top w:val="nil"/>
              <w:left w:val="nil"/>
              <w:bottom w:val="nil"/>
              <w:right w:val="nil"/>
            </w:tcBorders>
            <w:shd w:val="clear" w:color="000000" w:fill="FFFFFF"/>
            <w:noWrap/>
            <w:vAlign w:val="bottom"/>
            <w:hideMark/>
          </w:tcPr>
          <w:p w14:paraId="4580DE42"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4782</w:t>
            </w:r>
          </w:p>
        </w:tc>
        <w:tc>
          <w:tcPr>
            <w:tcW w:w="358" w:type="pct"/>
            <w:tcBorders>
              <w:top w:val="nil"/>
              <w:left w:val="nil"/>
              <w:bottom w:val="nil"/>
              <w:right w:val="nil"/>
            </w:tcBorders>
            <w:shd w:val="clear" w:color="000000" w:fill="FFFFFF"/>
            <w:noWrap/>
            <w:vAlign w:val="bottom"/>
            <w:hideMark/>
          </w:tcPr>
          <w:p w14:paraId="297D2704"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100%</w:t>
            </w:r>
          </w:p>
        </w:tc>
        <w:tc>
          <w:tcPr>
            <w:tcW w:w="242" w:type="pct"/>
            <w:tcBorders>
              <w:top w:val="nil"/>
              <w:left w:val="nil"/>
              <w:bottom w:val="nil"/>
              <w:right w:val="nil"/>
            </w:tcBorders>
            <w:shd w:val="clear" w:color="000000" w:fill="FFFFFF"/>
            <w:noWrap/>
            <w:vAlign w:val="bottom"/>
            <w:hideMark/>
          </w:tcPr>
          <w:p w14:paraId="414E839E" w14:textId="042D2E0E"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220" w:type="pct"/>
            <w:tcBorders>
              <w:top w:val="nil"/>
              <w:left w:val="nil"/>
              <w:bottom w:val="nil"/>
              <w:right w:val="nil"/>
            </w:tcBorders>
            <w:shd w:val="clear" w:color="000000" w:fill="FFFFFF"/>
            <w:noWrap/>
            <w:vAlign w:val="bottom"/>
            <w:hideMark/>
          </w:tcPr>
          <w:p w14:paraId="7C1C22F4" w14:textId="4DD24D5E"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233" w:type="pct"/>
            <w:tcBorders>
              <w:top w:val="nil"/>
              <w:left w:val="nil"/>
              <w:bottom w:val="nil"/>
              <w:right w:val="nil"/>
            </w:tcBorders>
            <w:shd w:val="clear" w:color="000000" w:fill="FFFFFF"/>
            <w:noWrap/>
            <w:vAlign w:val="bottom"/>
            <w:hideMark/>
          </w:tcPr>
          <w:p w14:paraId="5E75F3AF" w14:textId="77A75AA7"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202" w:type="pct"/>
            <w:tcBorders>
              <w:top w:val="nil"/>
              <w:left w:val="nil"/>
              <w:bottom w:val="nil"/>
              <w:right w:val="nil"/>
            </w:tcBorders>
            <w:shd w:val="clear" w:color="000000" w:fill="FFFFFF"/>
            <w:noWrap/>
            <w:vAlign w:val="bottom"/>
            <w:hideMark/>
          </w:tcPr>
          <w:p w14:paraId="6E1262F4" w14:textId="2D45507C"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299" w:type="pct"/>
            <w:tcBorders>
              <w:top w:val="nil"/>
              <w:left w:val="nil"/>
              <w:bottom w:val="nil"/>
              <w:right w:val="nil"/>
            </w:tcBorders>
            <w:shd w:val="clear" w:color="000000" w:fill="FFFFFF"/>
            <w:noWrap/>
            <w:vAlign w:val="bottom"/>
            <w:hideMark/>
          </w:tcPr>
          <w:p w14:paraId="526B1770" w14:textId="292EF759"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220" w:type="pct"/>
            <w:tcBorders>
              <w:top w:val="nil"/>
              <w:left w:val="nil"/>
              <w:bottom w:val="nil"/>
              <w:right w:val="nil"/>
            </w:tcBorders>
            <w:shd w:val="clear" w:color="000000" w:fill="FFFFFF"/>
            <w:noWrap/>
            <w:vAlign w:val="bottom"/>
            <w:hideMark/>
          </w:tcPr>
          <w:p w14:paraId="716EF3A2" w14:textId="16A521A0"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253" w:type="pct"/>
            <w:tcBorders>
              <w:top w:val="nil"/>
              <w:left w:val="nil"/>
              <w:bottom w:val="nil"/>
              <w:right w:val="nil"/>
            </w:tcBorders>
            <w:shd w:val="clear" w:color="000000" w:fill="FFFFFF"/>
            <w:noWrap/>
            <w:vAlign w:val="bottom"/>
            <w:hideMark/>
          </w:tcPr>
          <w:p w14:paraId="488586C9" w14:textId="7EC41CC4"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93" w:type="pct"/>
            <w:tcBorders>
              <w:top w:val="nil"/>
              <w:left w:val="nil"/>
              <w:bottom w:val="nil"/>
              <w:right w:val="single" w:sz="4" w:space="0" w:color="auto"/>
            </w:tcBorders>
            <w:shd w:val="clear" w:color="000000" w:fill="FFFFFF"/>
            <w:noWrap/>
            <w:vAlign w:val="bottom"/>
            <w:hideMark/>
          </w:tcPr>
          <w:p w14:paraId="4590AD74"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single" w:sz="4" w:space="0" w:color="auto"/>
              <w:bottom w:val="nil"/>
              <w:right w:val="nil"/>
            </w:tcBorders>
            <w:shd w:val="clear" w:color="000000" w:fill="FFFFFF"/>
            <w:noWrap/>
            <w:vAlign w:val="bottom"/>
            <w:hideMark/>
          </w:tcPr>
          <w:p w14:paraId="5A5B0C36"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71F061FC"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2DEBEFBE"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4F5914C7"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277EFE72"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189" w:type="pct"/>
            <w:tcBorders>
              <w:top w:val="nil"/>
              <w:left w:val="nil"/>
              <w:bottom w:val="nil"/>
              <w:right w:val="nil"/>
            </w:tcBorders>
            <w:shd w:val="clear" w:color="000000" w:fill="FFFFFF"/>
            <w:noWrap/>
            <w:vAlign w:val="bottom"/>
            <w:hideMark/>
          </w:tcPr>
          <w:p w14:paraId="4DF42152"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81" w:type="pct"/>
            <w:tcBorders>
              <w:top w:val="nil"/>
              <w:left w:val="nil"/>
              <w:bottom w:val="nil"/>
              <w:right w:val="nil"/>
            </w:tcBorders>
            <w:shd w:val="clear" w:color="000000" w:fill="FFFFFF"/>
          </w:tcPr>
          <w:p w14:paraId="40E378CA"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88" w:type="pct"/>
            <w:tcBorders>
              <w:top w:val="nil"/>
              <w:left w:val="nil"/>
              <w:bottom w:val="nil"/>
              <w:right w:val="nil"/>
            </w:tcBorders>
            <w:shd w:val="clear" w:color="000000" w:fill="FFFFFF"/>
          </w:tcPr>
          <w:p w14:paraId="15CD7ED7" w14:textId="6AA8354E" w:rsidR="00504E59" w:rsidRPr="008F778F" w:rsidRDefault="00D55941" w:rsidP="00D55941">
            <w:pPr>
              <w:spacing w:after="0" w:line="480" w:lineRule="auto"/>
              <w:jc w:val="right"/>
              <w:rPr>
                <w:rFonts w:eastAsia="Times New Roman" w:cs="Arial"/>
                <w:color w:val="000000"/>
                <w:sz w:val="18"/>
                <w:szCs w:val="18"/>
                <w:lang w:eastAsia="en-GB"/>
              </w:rPr>
            </w:pPr>
            <w:r w:rsidRPr="008F778F">
              <w:rPr>
                <w:rFonts w:eastAsia="Times New Roman" w:cs="Arial"/>
                <w:color w:val="000000"/>
                <w:sz w:val="18"/>
                <w:szCs w:val="18"/>
                <w:lang w:eastAsia="en-GB"/>
              </w:rPr>
              <w:t>-</w:t>
            </w:r>
          </w:p>
        </w:tc>
      </w:tr>
      <w:tr w:rsidR="00B339D8" w:rsidRPr="008F778F" w14:paraId="644FC8D6" w14:textId="0787CD4F" w:rsidTr="00936ACE">
        <w:trPr>
          <w:trHeight w:val="230"/>
        </w:trPr>
        <w:tc>
          <w:tcPr>
            <w:tcW w:w="128" w:type="pct"/>
            <w:tcBorders>
              <w:top w:val="nil"/>
              <w:left w:val="nil"/>
              <w:bottom w:val="nil"/>
              <w:right w:val="nil"/>
            </w:tcBorders>
            <w:shd w:val="clear" w:color="000000" w:fill="FFFFFF"/>
            <w:noWrap/>
            <w:vAlign w:val="bottom"/>
            <w:hideMark/>
          </w:tcPr>
          <w:p w14:paraId="413852FE" w14:textId="5445577F"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2</w:t>
            </w:r>
          </w:p>
        </w:tc>
        <w:tc>
          <w:tcPr>
            <w:tcW w:w="931" w:type="pct"/>
            <w:tcBorders>
              <w:top w:val="nil"/>
              <w:left w:val="nil"/>
              <w:bottom w:val="nil"/>
              <w:right w:val="nil"/>
            </w:tcBorders>
            <w:shd w:val="clear" w:color="000000" w:fill="FFFFFF"/>
            <w:noWrap/>
            <w:vAlign w:val="bottom"/>
            <w:hideMark/>
          </w:tcPr>
          <w:p w14:paraId="28D4B7EF"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Age</w:t>
            </w:r>
          </w:p>
        </w:tc>
        <w:tc>
          <w:tcPr>
            <w:tcW w:w="250" w:type="pct"/>
            <w:tcBorders>
              <w:top w:val="nil"/>
              <w:left w:val="nil"/>
              <w:bottom w:val="nil"/>
              <w:right w:val="nil"/>
            </w:tcBorders>
            <w:shd w:val="clear" w:color="000000" w:fill="FFFFFF"/>
            <w:noWrap/>
            <w:vAlign w:val="bottom"/>
            <w:hideMark/>
          </w:tcPr>
          <w:p w14:paraId="03A1279E"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4782</w:t>
            </w:r>
          </w:p>
        </w:tc>
        <w:tc>
          <w:tcPr>
            <w:tcW w:w="358" w:type="pct"/>
            <w:tcBorders>
              <w:top w:val="nil"/>
              <w:left w:val="nil"/>
              <w:bottom w:val="nil"/>
              <w:right w:val="nil"/>
            </w:tcBorders>
            <w:shd w:val="clear" w:color="000000" w:fill="FFFFFF"/>
            <w:noWrap/>
            <w:vAlign w:val="bottom"/>
            <w:hideMark/>
          </w:tcPr>
          <w:p w14:paraId="47266282"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100%</w:t>
            </w:r>
          </w:p>
        </w:tc>
        <w:tc>
          <w:tcPr>
            <w:tcW w:w="242" w:type="pct"/>
            <w:tcBorders>
              <w:top w:val="nil"/>
              <w:left w:val="nil"/>
              <w:bottom w:val="nil"/>
              <w:right w:val="nil"/>
            </w:tcBorders>
            <w:shd w:val="clear" w:color="000000" w:fill="FFFFFF"/>
            <w:noWrap/>
            <w:vAlign w:val="bottom"/>
            <w:hideMark/>
          </w:tcPr>
          <w:p w14:paraId="269DED32" w14:textId="7512AB0F"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220" w:type="pct"/>
            <w:tcBorders>
              <w:top w:val="nil"/>
              <w:left w:val="nil"/>
              <w:bottom w:val="nil"/>
              <w:right w:val="nil"/>
            </w:tcBorders>
            <w:shd w:val="clear" w:color="000000" w:fill="FFFFFF"/>
            <w:noWrap/>
            <w:vAlign w:val="bottom"/>
            <w:hideMark/>
          </w:tcPr>
          <w:p w14:paraId="13A15415" w14:textId="5FC1789C"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233" w:type="pct"/>
            <w:tcBorders>
              <w:top w:val="nil"/>
              <w:left w:val="nil"/>
              <w:bottom w:val="nil"/>
              <w:right w:val="nil"/>
            </w:tcBorders>
            <w:shd w:val="clear" w:color="000000" w:fill="FFFFFF"/>
            <w:noWrap/>
            <w:vAlign w:val="bottom"/>
            <w:hideMark/>
          </w:tcPr>
          <w:p w14:paraId="2F2376F5" w14:textId="6225423B"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202" w:type="pct"/>
            <w:tcBorders>
              <w:top w:val="nil"/>
              <w:left w:val="nil"/>
              <w:bottom w:val="nil"/>
              <w:right w:val="nil"/>
            </w:tcBorders>
            <w:shd w:val="clear" w:color="000000" w:fill="FFFFFF"/>
            <w:noWrap/>
            <w:vAlign w:val="bottom"/>
            <w:hideMark/>
          </w:tcPr>
          <w:p w14:paraId="7E9759DC" w14:textId="2AA6234D"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299" w:type="pct"/>
            <w:tcBorders>
              <w:top w:val="nil"/>
              <w:left w:val="nil"/>
              <w:bottom w:val="nil"/>
              <w:right w:val="nil"/>
            </w:tcBorders>
            <w:shd w:val="clear" w:color="000000" w:fill="FFFFFF"/>
            <w:noWrap/>
            <w:vAlign w:val="bottom"/>
            <w:hideMark/>
          </w:tcPr>
          <w:p w14:paraId="0F5F4A5B" w14:textId="0DD7B130"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220" w:type="pct"/>
            <w:tcBorders>
              <w:top w:val="nil"/>
              <w:left w:val="nil"/>
              <w:bottom w:val="nil"/>
              <w:right w:val="nil"/>
            </w:tcBorders>
            <w:shd w:val="clear" w:color="000000" w:fill="FFFFFF"/>
            <w:noWrap/>
            <w:vAlign w:val="bottom"/>
            <w:hideMark/>
          </w:tcPr>
          <w:p w14:paraId="55B43B3B" w14:textId="3FB5CD8E"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253" w:type="pct"/>
            <w:tcBorders>
              <w:top w:val="nil"/>
              <w:left w:val="nil"/>
              <w:bottom w:val="nil"/>
              <w:right w:val="nil"/>
            </w:tcBorders>
            <w:shd w:val="clear" w:color="000000" w:fill="FFFFFF"/>
            <w:noWrap/>
            <w:vAlign w:val="bottom"/>
            <w:hideMark/>
          </w:tcPr>
          <w:p w14:paraId="7E512CC8" w14:textId="1196AE2E" w:rsidR="00504E59" w:rsidRPr="00CC79AD" w:rsidRDefault="007B0BA0" w:rsidP="00504E59">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w:t>
            </w:r>
          </w:p>
        </w:tc>
        <w:tc>
          <w:tcPr>
            <w:tcW w:w="93" w:type="pct"/>
            <w:tcBorders>
              <w:top w:val="nil"/>
              <w:left w:val="nil"/>
              <w:bottom w:val="nil"/>
              <w:right w:val="single" w:sz="4" w:space="0" w:color="auto"/>
            </w:tcBorders>
            <w:shd w:val="clear" w:color="000000" w:fill="FFFFFF"/>
            <w:noWrap/>
            <w:vAlign w:val="bottom"/>
            <w:hideMark/>
          </w:tcPr>
          <w:p w14:paraId="0B2FF982"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single" w:sz="4" w:space="0" w:color="auto"/>
              <w:bottom w:val="nil"/>
              <w:right w:val="nil"/>
            </w:tcBorders>
            <w:shd w:val="clear" w:color="000000" w:fill="FFFFFF"/>
            <w:noWrap/>
            <w:vAlign w:val="bottom"/>
            <w:hideMark/>
          </w:tcPr>
          <w:p w14:paraId="4A83A5A6"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3776BEB3"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617EBA5C"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55C03363"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4980403F"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189" w:type="pct"/>
            <w:tcBorders>
              <w:top w:val="nil"/>
              <w:left w:val="nil"/>
              <w:bottom w:val="nil"/>
              <w:right w:val="nil"/>
            </w:tcBorders>
            <w:shd w:val="clear" w:color="000000" w:fill="FFFFFF"/>
            <w:noWrap/>
            <w:vAlign w:val="bottom"/>
            <w:hideMark/>
          </w:tcPr>
          <w:p w14:paraId="582D7E36"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81" w:type="pct"/>
            <w:tcBorders>
              <w:top w:val="nil"/>
              <w:left w:val="nil"/>
              <w:bottom w:val="nil"/>
              <w:right w:val="nil"/>
            </w:tcBorders>
            <w:shd w:val="clear" w:color="000000" w:fill="FFFFFF"/>
          </w:tcPr>
          <w:p w14:paraId="49E6FEC0"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88" w:type="pct"/>
            <w:tcBorders>
              <w:top w:val="nil"/>
              <w:left w:val="nil"/>
              <w:bottom w:val="nil"/>
              <w:right w:val="nil"/>
            </w:tcBorders>
            <w:shd w:val="clear" w:color="000000" w:fill="FFFFFF"/>
          </w:tcPr>
          <w:p w14:paraId="7FDC02F2" w14:textId="5211CFE5" w:rsidR="00504E59" w:rsidRPr="008F778F" w:rsidRDefault="00D55941" w:rsidP="00D55941">
            <w:pPr>
              <w:spacing w:after="0" w:line="480" w:lineRule="auto"/>
              <w:jc w:val="right"/>
              <w:rPr>
                <w:rFonts w:eastAsia="Times New Roman" w:cs="Arial"/>
                <w:color w:val="000000"/>
                <w:sz w:val="18"/>
                <w:szCs w:val="18"/>
                <w:lang w:eastAsia="en-GB"/>
              </w:rPr>
            </w:pPr>
            <w:r w:rsidRPr="008F778F">
              <w:rPr>
                <w:rFonts w:eastAsia="Times New Roman" w:cs="Arial"/>
                <w:color w:val="000000"/>
                <w:sz w:val="18"/>
                <w:szCs w:val="18"/>
                <w:lang w:eastAsia="en-GB"/>
              </w:rPr>
              <w:t>-</w:t>
            </w:r>
          </w:p>
        </w:tc>
      </w:tr>
      <w:tr w:rsidR="00B339D8" w:rsidRPr="008F778F" w14:paraId="6B55EE76" w14:textId="366A0769" w:rsidTr="00936ACE">
        <w:trPr>
          <w:trHeight w:val="230"/>
        </w:trPr>
        <w:tc>
          <w:tcPr>
            <w:tcW w:w="128" w:type="pct"/>
            <w:tcBorders>
              <w:top w:val="nil"/>
              <w:left w:val="nil"/>
              <w:bottom w:val="nil"/>
              <w:right w:val="nil"/>
            </w:tcBorders>
            <w:shd w:val="clear" w:color="000000" w:fill="FFFFFF"/>
            <w:noWrap/>
            <w:vAlign w:val="bottom"/>
            <w:hideMark/>
          </w:tcPr>
          <w:p w14:paraId="63D8B72C" w14:textId="77777777" w:rsidR="00504E59" w:rsidRPr="00CC79AD" w:rsidRDefault="00504E59" w:rsidP="00504E59">
            <w:pPr>
              <w:spacing w:after="0" w:line="480" w:lineRule="auto"/>
              <w:jc w:val="right"/>
              <w:rPr>
                <w:rFonts w:eastAsia="Times New Roman" w:cs="Arial"/>
                <w:b/>
                <w:bCs/>
                <w:color w:val="00B0F0"/>
                <w:sz w:val="18"/>
                <w:szCs w:val="18"/>
                <w:lang w:eastAsia="en-GB"/>
              </w:rPr>
            </w:pPr>
            <w:r w:rsidRPr="00CC79AD">
              <w:rPr>
                <w:rFonts w:eastAsia="Times New Roman" w:cs="Arial"/>
                <w:b/>
                <w:bCs/>
                <w:color w:val="00B0F0"/>
                <w:sz w:val="18"/>
                <w:szCs w:val="18"/>
                <w:lang w:eastAsia="en-GB"/>
              </w:rPr>
              <w:t>3</w:t>
            </w:r>
          </w:p>
        </w:tc>
        <w:tc>
          <w:tcPr>
            <w:tcW w:w="931" w:type="pct"/>
            <w:tcBorders>
              <w:top w:val="nil"/>
              <w:left w:val="nil"/>
              <w:bottom w:val="nil"/>
              <w:right w:val="nil"/>
            </w:tcBorders>
            <w:shd w:val="clear" w:color="000000" w:fill="FFFFFF"/>
            <w:noWrap/>
            <w:vAlign w:val="bottom"/>
            <w:hideMark/>
          </w:tcPr>
          <w:p w14:paraId="0BF7EF60"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Size (</w:t>
            </w:r>
            <w:proofErr w:type="spellStart"/>
            <w:r w:rsidRPr="00CC79AD">
              <w:rPr>
                <w:rFonts w:eastAsia="Times New Roman" w:cs="Arial"/>
                <w:color w:val="000000"/>
                <w:sz w:val="18"/>
                <w:szCs w:val="18"/>
                <w:lang w:eastAsia="en-GB"/>
              </w:rPr>
              <w:t>Lassets</w:t>
            </w:r>
            <w:proofErr w:type="spellEnd"/>
            <w:r w:rsidRPr="00CC79AD">
              <w:rPr>
                <w:rFonts w:eastAsia="Times New Roman" w:cs="Arial"/>
                <w:color w:val="000000"/>
                <w:sz w:val="18"/>
                <w:szCs w:val="18"/>
                <w:lang w:eastAsia="en-GB"/>
              </w:rPr>
              <w:t>)</w:t>
            </w:r>
          </w:p>
        </w:tc>
        <w:tc>
          <w:tcPr>
            <w:tcW w:w="250" w:type="pct"/>
            <w:tcBorders>
              <w:top w:val="nil"/>
              <w:left w:val="nil"/>
              <w:bottom w:val="nil"/>
              <w:right w:val="nil"/>
            </w:tcBorders>
            <w:shd w:val="clear" w:color="000000" w:fill="FFFFFF"/>
            <w:noWrap/>
            <w:vAlign w:val="bottom"/>
            <w:hideMark/>
          </w:tcPr>
          <w:p w14:paraId="41A6E7ED"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4782</w:t>
            </w:r>
          </w:p>
        </w:tc>
        <w:tc>
          <w:tcPr>
            <w:tcW w:w="358" w:type="pct"/>
            <w:tcBorders>
              <w:top w:val="nil"/>
              <w:left w:val="nil"/>
              <w:bottom w:val="nil"/>
              <w:right w:val="nil"/>
            </w:tcBorders>
            <w:shd w:val="clear" w:color="000000" w:fill="FFFFFF"/>
            <w:noWrap/>
            <w:vAlign w:val="bottom"/>
            <w:hideMark/>
          </w:tcPr>
          <w:p w14:paraId="49155A9D"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98%</w:t>
            </w:r>
          </w:p>
        </w:tc>
        <w:tc>
          <w:tcPr>
            <w:tcW w:w="242" w:type="pct"/>
            <w:tcBorders>
              <w:top w:val="nil"/>
              <w:left w:val="nil"/>
              <w:bottom w:val="nil"/>
              <w:right w:val="nil"/>
            </w:tcBorders>
            <w:shd w:val="clear" w:color="000000" w:fill="FFFFFF"/>
            <w:noWrap/>
            <w:vAlign w:val="bottom"/>
            <w:hideMark/>
          </w:tcPr>
          <w:p w14:paraId="53422681"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6.49</w:t>
            </w:r>
          </w:p>
        </w:tc>
        <w:tc>
          <w:tcPr>
            <w:tcW w:w="220" w:type="pct"/>
            <w:tcBorders>
              <w:top w:val="nil"/>
              <w:left w:val="nil"/>
              <w:bottom w:val="nil"/>
              <w:right w:val="nil"/>
            </w:tcBorders>
            <w:shd w:val="clear" w:color="000000" w:fill="FFFFFF"/>
            <w:noWrap/>
            <w:vAlign w:val="bottom"/>
            <w:hideMark/>
          </w:tcPr>
          <w:p w14:paraId="2BCC0B2A"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0.99</w:t>
            </w:r>
          </w:p>
        </w:tc>
        <w:tc>
          <w:tcPr>
            <w:tcW w:w="233" w:type="pct"/>
            <w:tcBorders>
              <w:top w:val="nil"/>
              <w:left w:val="nil"/>
              <w:bottom w:val="nil"/>
              <w:right w:val="nil"/>
            </w:tcBorders>
            <w:shd w:val="clear" w:color="000000" w:fill="FFFFFF"/>
            <w:noWrap/>
            <w:vAlign w:val="bottom"/>
            <w:hideMark/>
          </w:tcPr>
          <w:p w14:paraId="4DD51E1A"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0.00</w:t>
            </w:r>
          </w:p>
        </w:tc>
        <w:tc>
          <w:tcPr>
            <w:tcW w:w="202" w:type="pct"/>
            <w:tcBorders>
              <w:top w:val="nil"/>
              <w:left w:val="nil"/>
              <w:bottom w:val="nil"/>
              <w:right w:val="nil"/>
            </w:tcBorders>
            <w:shd w:val="clear" w:color="000000" w:fill="FFFFFF"/>
            <w:noWrap/>
            <w:vAlign w:val="bottom"/>
            <w:hideMark/>
          </w:tcPr>
          <w:p w14:paraId="03F0AF1B"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5.87</w:t>
            </w:r>
          </w:p>
        </w:tc>
        <w:tc>
          <w:tcPr>
            <w:tcW w:w="299" w:type="pct"/>
            <w:tcBorders>
              <w:top w:val="nil"/>
              <w:left w:val="nil"/>
              <w:bottom w:val="nil"/>
              <w:right w:val="nil"/>
            </w:tcBorders>
            <w:shd w:val="clear" w:color="000000" w:fill="FFFFFF"/>
            <w:noWrap/>
            <w:vAlign w:val="bottom"/>
            <w:hideMark/>
          </w:tcPr>
          <w:p w14:paraId="437A4240"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6.45</w:t>
            </w:r>
          </w:p>
        </w:tc>
        <w:tc>
          <w:tcPr>
            <w:tcW w:w="220" w:type="pct"/>
            <w:tcBorders>
              <w:top w:val="nil"/>
              <w:left w:val="nil"/>
              <w:bottom w:val="nil"/>
              <w:right w:val="nil"/>
            </w:tcBorders>
            <w:shd w:val="clear" w:color="000000" w:fill="FFFFFF"/>
            <w:noWrap/>
            <w:vAlign w:val="bottom"/>
            <w:hideMark/>
          </w:tcPr>
          <w:p w14:paraId="444C67DE"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7.14</w:t>
            </w:r>
          </w:p>
        </w:tc>
        <w:tc>
          <w:tcPr>
            <w:tcW w:w="253" w:type="pct"/>
            <w:tcBorders>
              <w:top w:val="nil"/>
              <w:left w:val="nil"/>
              <w:bottom w:val="nil"/>
              <w:right w:val="nil"/>
            </w:tcBorders>
            <w:shd w:val="clear" w:color="000000" w:fill="FFFFFF"/>
            <w:noWrap/>
            <w:vAlign w:val="bottom"/>
            <w:hideMark/>
          </w:tcPr>
          <w:p w14:paraId="42398897"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9.98</w:t>
            </w:r>
          </w:p>
        </w:tc>
        <w:tc>
          <w:tcPr>
            <w:tcW w:w="93" w:type="pct"/>
            <w:tcBorders>
              <w:top w:val="nil"/>
              <w:left w:val="nil"/>
              <w:bottom w:val="nil"/>
              <w:right w:val="single" w:sz="4" w:space="0" w:color="auto"/>
            </w:tcBorders>
            <w:shd w:val="clear" w:color="000000" w:fill="FFFFFF"/>
            <w:noWrap/>
            <w:vAlign w:val="bottom"/>
            <w:hideMark/>
          </w:tcPr>
          <w:p w14:paraId="3439D3A3"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single" w:sz="4" w:space="0" w:color="auto"/>
              <w:bottom w:val="nil"/>
              <w:right w:val="nil"/>
            </w:tcBorders>
            <w:shd w:val="clear" w:color="000000" w:fill="FFFFFF"/>
            <w:noWrap/>
            <w:vAlign w:val="bottom"/>
            <w:hideMark/>
          </w:tcPr>
          <w:p w14:paraId="2978D255"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1.00</w:t>
            </w:r>
          </w:p>
        </w:tc>
        <w:tc>
          <w:tcPr>
            <w:tcW w:w="202" w:type="pct"/>
            <w:tcBorders>
              <w:top w:val="nil"/>
              <w:left w:val="nil"/>
              <w:bottom w:val="nil"/>
              <w:right w:val="nil"/>
            </w:tcBorders>
            <w:shd w:val="clear" w:color="000000" w:fill="FFFFFF"/>
            <w:noWrap/>
            <w:vAlign w:val="bottom"/>
            <w:hideMark/>
          </w:tcPr>
          <w:p w14:paraId="1B29D09C"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2E34C052"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38C2E6DA"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281F039A"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189" w:type="pct"/>
            <w:tcBorders>
              <w:top w:val="nil"/>
              <w:left w:val="nil"/>
              <w:bottom w:val="nil"/>
              <w:right w:val="nil"/>
            </w:tcBorders>
            <w:shd w:val="clear" w:color="000000" w:fill="FFFFFF"/>
            <w:noWrap/>
            <w:vAlign w:val="bottom"/>
            <w:hideMark/>
          </w:tcPr>
          <w:p w14:paraId="48D9EC95"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81" w:type="pct"/>
            <w:tcBorders>
              <w:top w:val="nil"/>
              <w:left w:val="nil"/>
              <w:bottom w:val="nil"/>
              <w:right w:val="nil"/>
            </w:tcBorders>
            <w:shd w:val="clear" w:color="000000" w:fill="FFFFFF"/>
          </w:tcPr>
          <w:p w14:paraId="39665C07"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88" w:type="pct"/>
            <w:tcBorders>
              <w:top w:val="nil"/>
              <w:left w:val="nil"/>
              <w:bottom w:val="nil"/>
              <w:right w:val="nil"/>
            </w:tcBorders>
            <w:shd w:val="clear" w:color="000000" w:fill="FFFFFF"/>
          </w:tcPr>
          <w:p w14:paraId="1CAB069C" w14:textId="5DDB7B5E" w:rsidR="00504E59" w:rsidRPr="008F778F" w:rsidRDefault="00936ACE" w:rsidP="00504E59">
            <w:pPr>
              <w:spacing w:after="0" w:line="480" w:lineRule="auto"/>
              <w:jc w:val="left"/>
              <w:rPr>
                <w:rFonts w:eastAsia="Times New Roman" w:cs="Arial"/>
                <w:color w:val="000000"/>
                <w:sz w:val="18"/>
                <w:szCs w:val="18"/>
                <w:lang w:eastAsia="en-GB"/>
              </w:rPr>
            </w:pPr>
            <w:r w:rsidRPr="008F778F">
              <w:rPr>
                <w:sz w:val="18"/>
                <w:szCs w:val="18"/>
              </w:rPr>
              <w:t>1844.833***</w:t>
            </w:r>
          </w:p>
        </w:tc>
      </w:tr>
      <w:tr w:rsidR="00B339D8" w:rsidRPr="008F778F" w14:paraId="5B11E9EF" w14:textId="682962BD" w:rsidTr="00936ACE">
        <w:trPr>
          <w:trHeight w:val="230"/>
        </w:trPr>
        <w:tc>
          <w:tcPr>
            <w:tcW w:w="128" w:type="pct"/>
            <w:tcBorders>
              <w:top w:val="nil"/>
              <w:left w:val="nil"/>
              <w:bottom w:val="nil"/>
              <w:right w:val="nil"/>
            </w:tcBorders>
            <w:shd w:val="clear" w:color="000000" w:fill="FFFFFF"/>
            <w:noWrap/>
            <w:vAlign w:val="bottom"/>
            <w:hideMark/>
          </w:tcPr>
          <w:p w14:paraId="5AAA1901" w14:textId="77777777" w:rsidR="00504E59" w:rsidRPr="00CC79AD" w:rsidRDefault="00504E59" w:rsidP="00504E59">
            <w:pPr>
              <w:spacing w:after="0" w:line="480" w:lineRule="auto"/>
              <w:jc w:val="right"/>
              <w:rPr>
                <w:rFonts w:eastAsia="Times New Roman" w:cs="Arial"/>
                <w:b/>
                <w:bCs/>
                <w:color w:val="00B0F0"/>
                <w:sz w:val="18"/>
                <w:szCs w:val="18"/>
                <w:lang w:eastAsia="en-GB"/>
              </w:rPr>
            </w:pPr>
            <w:r w:rsidRPr="00CC79AD">
              <w:rPr>
                <w:rFonts w:eastAsia="Times New Roman" w:cs="Arial"/>
                <w:b/>
                <w:bCs/>
                <w:color w:val="00B0F0"/>
                <w:sz w:val="18"/>
                <w:szCs w:val="18"/>
                <w:lang w:eastAsia="en-GB"/>
              </w:rPr>
              <w:t>4</w:t>
            </w:r>
          </w:p>
        </w:tc>
        <w:tc>
          <w:tcPr>
            <w:tcW w:w="931" w:type="pct"/>
            <w:tcBorders>
              <w:top w:val="nil"/>
              <w:left w:val="nil"/>
              <w:bottom w:val="nil"/>
              <w:right w:val="nil"/>
            </w:tcBorders>
            <w:shd w:val="clear" w:color="000000" w:fill="FFFFFF"/>
            <w:noWrap/>
            <w:vAlign w:val="bottom"/>
            <w:hideMark/>
          </w:tcPr>
          <w:p w14:paraId="4A8E2A2F"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Asset Structure</w:t>
            </w:r>
          </w:p>
        </w:tc>
        <w:tc>
          <w:tcPr>
            <w:tcW w:w="250" w:type="pct"/>
            <w:tcBorders>
              <w:top w:val="nil"/>
              <w:left w:val="nil"/>
              <w:bottom w:val="nil"/>
              <w:right w:val="nil"/>
            </w:tcBorders>
            <w:shd w:val="clear" w:color="000000" w:fill="FFFFFF"/>
            <w:noWrap/>
            <w:vAlign w:val="bottom"/>
            <w:hideMark/>
          </w:tcPr>
          <w:p w14:paraId="4AF5195A"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4782</w:t>
            </w:r>
          </w:p>
        </w:tc>
        <w:tc>
          <w:tcPr>
            <w:tcW w:w="358" w:type="pct"/>
            <w:tcBorders>
              <w:top w:val="nil"/>
              <w:left w:val="nil"/>
              <w:bottom w:val="nil"/>
              <w:right w:val="nil"/>
            </w:tcBorders>
            <w:shd w:val="clear" w:color="000000" w:fill="FFFFFF"/>
            <w:noWrap/>
            <w:vAlign w:val="bottom"/>
            <w:hideMark/>
          </w:tcPr>
          <w:p w14:paraId="50D7FE64"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87%</w:t>
            </w:r>
          </w:p>
        </w:tc>
        <w:tc>
          <w:tcPr>
            <w:tcW w:w="242" w:type="pct"/>
            <w:tcBorders>
              <w:top w:val="nil"/>
              <w:left w:val="nil"/>
              <w:bottom w:val="nil"/>
              <w:right w:val="nil"/>
            </w:tcBorders>
            <w:shd w:val="clear" w:color="000000" w:fill="FFFFFF"/>
            <w:noWrap/>
            <w:vAlign w:val="bottom"/>
            <w:hideMark/>
          </w:tcPr>
          <w:p w14:paraId="09471979"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0.08</w:t>
            </w:r>
          </w:p>
        </w:tc>
        <w:tc>
          <w:tcPr>
            <w:tcW w:w="220" w:type="pct"/>
            <w:tcBorders>
              <w:top w:val="nil"/>
              <w:left w:val="nil"/>
              <w:bottom w:val="nil"/>
              <w:right w:val="nil"/>
            </w:tcBorders>
            <w:shd w:val="clear" w:color="000000" w:fill="FFFFFF"/>
            <w:noWrap/>
            <w:vAlign w:val="bottom"/>
            <w:hideMark/>
          </w:tcPr>
          <w:p w14:paraId="07A8F3F4"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0.07</w:t>
            </w:r>
          </w:p>
        </w:tc>
        <w:tc>
          <w:tcPr>
            <w:tcW w:w="233" w:type="pct"/>
            <w:tcBorders>
              <w:top w:val="nil"/>
              <w:left w:val="nil"/>
              <w:bottom w:val="nil"/>
              <w:right w:val="nil"/>
            </w:tcBorders>
            <w:shd w:val="clear" w:color="000000" w:fill="FFFFFF"/>
            <w:noWrap/>
            <w:vAlign w:val="bottom"/>
            <w:hideMark/>
          </w:tcPr>
          <w:p w14:paraId="77A38592"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0.00</w:t>
            </w:r>
          </w:p>
        </w:tc>
        <w:tc>
          <w:tcPr>
            <w:tcW w:w="202" w:type="pct"/>
            <w:tcBorders>
              <w:top w:val="nil"/>
              <w:left w:val="nil"/>
              <w:bottom w:val="nil"/>
              <w:right w:val="nil"/>
            </w:tcBorders>
            <w:shd w:val="clear" w:color="000000" w:fill="FFFFFF"/>
            <w:noWrap/>
            <w:vAlign w:val="bottom"/>
            <w:hideMark/>
          </w:tcPr>
          <w:p w14:paraId="57481924"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0.03</w:t>
            </w:r>
          </w:p>
        </w:tc>
        <w:tc>
          <w:tcPr>
            <w:tcW w:w="299" w:type="pct"/>
            <w:tcBorders>
              <w:top w:val="nil"/>
              <w:left w:val="nil"/>
              <w:bottom w:val="nil"/>
              <w:right w:val="nil"/>
            </w:tcBorders>
            <w:shd w:val="clear" w:color="000000" w:fill="FFFFFF"/>
            <w:noWrap/>
            <w:vAlign w:val="bottom"/>
            <w:hideMark/>
          </w:tcPr>
          <w:p w14:paraId="03F95186"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0.06</w:t>
            </w:r>
          </w:p>
        </w:tc>
        <w:tc>
          <w:tcPr>
            <w:tcW w:w="220" w:type="pct"/>
            <w:tcBorders>
              <w:top w:val="nil"/>
              <w:left w:val="nil"/>
              <w:bottom w:val="nil"/>
              <w:right w:val="nil"/>
            </w:tcBorders>
            <w:shd w:val="clear" w:color="000000" w:fill="FFFFFF"/>
            <w:noWrap/>
            <w:vAlign w:val="bottom"/>
            <w:hideMark/>
          </w:tcPr>
          <w:p w14:paraId="0EB9342F"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0.10</w:t>
            </w:r>
          </w:p>
        </w:tc>
        <w:tc>
          <w:tcPr>
            <w:tcW w:w="253" w:type="pct"/>
            <w:tcBorders>
              <w:top w:val="nil"/>
              <w:left w:val="nil"/>
              <w:bottom w:val="nil"/>
              <w:right w:val="nil"/>
            </w:tcBorders>
            <w:shd w:val="clear" w:color="000000" w:fill="FFFFFF"/>
            <w:noWrap/>
            <w:vAlign w:val="bottom"/>
            <w:hideMark/>
          </w:tcPr>
          <w:p w14:paraId="7213B2E2"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0.86</w:t>
            </w:r>
          </w:p>
        </w:tc>
        <w:tc>
          <w:tcPr>
            <w:tcW w:w="93" w:type="pct"/>
            <w:tcBorders>
              <w:top w:val="nil"/>
              <w:left w:val="nil"/>
              <w:bottom w:val="nil"/>
              <w:right w:val="single" w:sz="4" w:space="0" w:color="auto"/>
            </w:tcBorders>
            <w:shd w:val="clear" w:color="000000" w:fill="FFFFFF"/>
            <w:noWrap/>
            <w:vAlign w:val="bottom"/>
            <w:hideMark/>
          </w:tcPr>
          <w:p w14:paraId="78C270B3"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single" w:sz="4" w:space="0" w:color="auto"/>
              <w:bottom w:val="nil"/>
              <w:right w:val="nil"/>
            </w:tcBorders>
            <w:shd w:val="clear" w:color="000000" w:fill="FFFFFF"/>
            <w:noWrap/>
            <w:vAlign w:val="bottom"/>
            <w:hideMark/>
          </w:tcPr>
          <w:p w14:paraId="566A72BF"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-0.22</w:t>
            </w:r>
          </w:p>
        </w:tc>
        <w:tc>
          <w:tcPr>
            <w:tcW w:w="202" w:type="pct"/>
            <w:tcBorders>
              <w:top w:val="nil"/>
              <w:left w:val="nil"/>
              <w:bottom w:val="nil"/>
              <w:right w:val="nil"/>
            </w:tcBorders>
            <w:shd w:val="clear" w:color="000000" w:fill="FFFFFF"/>
            <w:noWrap/>
            <w:vAlign w:val="bottom"/>
            <w:hideMark/>
          </w:tcPr>
          <w:p w14:paraId="4CC0DCA2"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1.00</w:t>
            </w:r>
          </w:p>
        </w:tc>
        <w:tc>
          <w:tcPr>
            <w:tcW w:w="202" w:type="pct"/>
            <w:tcBorders>
              <w:top w:val="nil"/>
              <w:left w:val="nil"/>
              <w:bottom w:val="nil"/>
              <w:right w:val="nil"/>
            </w:tcBorders>
            <w:shd w:val="clear" w:color="000000" w:fill="FFFFFF"/>
            <w:noWrap/>
            <w:vAlign w:val="bottom"/>
            <w:hideMark/>
          </w:tcPr>
          <w:p w14:paraId="1DDD0520"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431A6109"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660969E3"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189" w:type="pct"/>
            <w:tcBorders>
              <w:top w:val="nil"/>
              <w:left w:val="nil"/>
              <w:bottom w:val="nil"/>
              <w:right w:val="nil"/>
            </w:tcBorders>
            <w:shd w:val="clear" w:color="000000" w:fill="FFFFFF"/>
            <w:noWrap/>
            <w:vAlign w:val="bottom"/>
            <w:hideMark/>
          </w:tcPr>
          <w:p w14:paraId="12301E95"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81" w:type="pct"/>
            <w:tcBorders>
              <w:top w:val="nil"/>
              <w:left w:val="nil"/>
              <w:bottom w:val="nil"/>
              <w:right w:val="nil"/>
            </w:tcBorders>
            <w:shd w:val="clear" w:color="000000" w:fill="FFFFFF"/>
          </w:tcPr>
          <w:p w14:paraId="4531DB4F"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88" w:type="pct"/>
            <w:tcBorders>
              <w:top w:val="nil"/>
              <w:left w:val="nil"/>
              <w:bottom w:val="nil"/>
              <w:right w:val="nil"/>
            </w:tcBorders>
            <w:shd w:val="clear" w:color="000000" w:fill="FFFFFF"/>
          </w:tcPr>
          <w:p w14:paraId="16BDE539" w14:textId="2B094DA0" w:rsidR="00504E59" w:rsidRPr="008F778F" w:rsidRDefault="00936ACE" w:rsidP="00504E59">
            <w:pPr>
              <w:spacing w:after="0" w:line="480" w:lineRule="auto"/>
              <w:jc w:val="left"/>
              <w:rPr>
                <w:rFonts w:eastAsia="Times New Roman" w:cs="Arial"/>
                <w:color w:val="000000"/>
                <w:sz w:val="18"/>
                <w:szCs w:val="18"/>
                <w:lang w:eastAsia="en-GB"/>
              </w:rPr>
            </w:pPr>
            <w:r w:rsidRPr="008F778F">
              <w:rPr>
                <w:sz w:val="18"/>
                <w:szCs w:val="18"/>
              </w:rPr>
              <w:t>1590.121***</w:t>
            </w:r>
          </w:p>
        </w:tc>
      </w:tr>
      <w:tr w:rsidR="00B339D8" w:rsidRPr="008F778F" w14:paraId="5A427200" w14:textId="0E0F7927" w:rsidTr="00936ACE">
        <w:trPr>
          <w:trHeight w:val="230"/>
        </w:trPr>
        <w:tc>
          <w:tcPr>
            <w:tcW w:w="128" w:type="pct"/>
            <w:tcBorders>
              <w:top w:val="nil"/>
              <w:left w:val="nil"/>
              <w:bottom w:val="nil"/>
              <w:right w:val="nil"/>
            </w:tcBorders>
            <w:shd w:val="clear" w:color="000000" w:fill="FFFFFF"/>
            <w:noWrap/>
            <w:vAlign w:val="bottom"/>
            <w:hideMark/>
          </w:tcPr>
          <w:p w14:paraId="59484B51" w14:textId="77777777" w:rsidR="00504E59" w:rsidRPr="00CC79AD" w:rsidRDefault="00504E59" w:rsidP="00504E59">
            <w:pPr>
              <w:spacing w:after="0" w:line="480" w:lineRule="auto"/>
              <w:jc w:val="right"/>
              <w:rPr>
                <w:rFonts w:eastAsia="Times New Roman" w:cs="Arial"/>
                <w:b/>
                <w:bCs/>
                <w:color w:val="00B0F0"/>
                <w:sz w:val="18"/>
                <w:szCs w:val="18"/>
                <w:lang w:eastAsia="en-GB"/>
              </w:rPr>
            </w:pPr>
            <w:r w:rsidRPr="00CC79AD">
              <w:rPr>
                <w:rFonts w:eastAsia="Times New Roman" w:cs="Arial"/>
                <w:b/>
                <w:bCs/>
                <w:color w:val="00B0F0"/>
                <w:sz w:val="18"/>
                <w:szCs w:val="18"/>
                <w:lang w:eastAsia="en-GB"/>
              </w:rPr>
              <w:t>5</w:t>
            </w:r>
          </w:p>
        </w:tc>
        <w:tc>
          <w:tcPr>
            <w:tcW w:w="931" w:type="pct"/>
            <w:tcBorders>
              <w:top w:val="nil"/>
              <w:left w:val="nil"/>
              <w:bottom w:val="nil"/>
              <w:right w:val="nil"/>
            </w:tcBorders>
            <w:shd w:val="clear" w:color="000000" w:fill="FFFFFF"/>
            <w:noWrap/>
            <w:vAlign w:val="bottom"/>
            <w:hideMark/>
          </w:tcPr>
          <w:p w14:paraId="457E45EE"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Financial Development (</w:t>
            </w:r>
            <w:proofErr w:type="spellStart"/>
            <w:r w:rsidRPr="00CC79AD">
              <w:rPr>
                <w:rFonts w:eastAsia="Times New Roman" w:cs="Arial"/>
                <w:color w:val="000000"/>
                <w:sz w:val="18"/>
                <w:szCs w:val="18"/>
                <w:lang w:eastAsia="en-GB"/>
              </w:rPr>
              <w:t>fdev</w:t>
            </w:r>
            <w:proofErr w:type="spellEnd"/>
            <w:r w:rsidRPr="00CC79AD">
              <w:rPr>
                <w:rFonts w:eastAsia="Times New Roman" w:cs="Arial"/>
                <w:color w:val="000000"/>
                <w:sz w:val="18"/>
                <w:szCs w:val="18"/>
                <w:lang w:eastAsia="en-GB"/>
              </w:rPr>
              <w:t>)</w:t>
            </w:r>
          </w:p>
        </w:tc>
        <w:tc>
          <w:tcPr>
            <w:tcW w:w="250" w:type="pct"/>
            <w:tcBorders>
              <w:top w:val="nil"/>
              <w:left w:val="nil"/>
              <w:bottom w:val="nil"/>
              <w:right w:val="nil"/>
            </w:tcBorders>
            <w:shd w:val="clear" w:color="000000" w:fill="FFFFFF"/>
            <w:noWrap/>
            <w:vAlign w:val="bottom"/>
            <w:hideMark/>
          </w:tcPr>
          <w:p w14:paraId="184D9DB2"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4782</w:t>
            </w:r>
          </w:p>
        </w:tc>
        <w:tc>
          <w:tcPr>
            <w:tcW w:w="358" w:type="pct"/>
            <w:tcBorders>
              <w:top w:val="nil"/>
              <w:left w:val="nil"/>
              <w:bottom w:val="nil"/>
              <w:right w:val="nil"/>
            </w:tcBorders>
            <w:shd w:val="clear" w:color="000000" w:fill="FFFFFF"/>
            <w:noWrap/>
            <w:vAlign w:val="bottom"/>
            <w:hideMark/>
          </w:tcPr>
          <w:p w14:paraId="5639F316"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97%</w:t>
            </w:r>
          </w:p>
        </w:tc>
        <w:tc>
          <w:tcPr>
            <w:tcW w:w="242" w:type="pct"/>
            <w:tcBorders>
              <w:top w:val="nil"/>
              <w:left w:val="nil"/>
              <w:bottom w:val="nil"/>
              <w:right w:val="nil"/>
            </w:tcBorders>
            <w:shd w:val="clear" w:color="000000" w:fill="FFFFFF"/>
            <w:noWrap/>
            <w:vAlign w:val="bottom"/>
            <w:hideMark/>
          </w:tcPr>
          <w:p w14:paraId="082F64E4"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20.84</w:t>
            </w:r>
          </w:p>
        </w:tc>
        <w:tc>
          <w:tcPr>
            <w:tcW w:w="220" w:type="pct"/>
            <w:tcBorders>
              <w:top w:val="nil"/>
              <w:left w:val="nil"/>
              <w:bottom w:val="nil"/>
              <w:right w:val="nil"/>
            </w:tcBorders>
            <w:shd w:val="clear" w:color="000000" w:fill="FFFFFF"/>
            <w:noWrap/>
            <w:vAlign w:val="bottom"/>
            <w:hideMark/>
          </w:tcPr>
          <w:p w14:paraId="1D3E46C3"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54.31</w:t>
            </w:r>
          </w:p>
        </w:tc>
        <w:tc>
          <w:tcPr>
            <w:tcW w:w="233" w:type="pct"/>
            <w:tcBorders>
              <w:top w:val="nil"/>
              <w:left w:val="nil"/>
              <w:bottom w:val="nil"/>
              <w:right w:val="nil"/>
            </w:tcBorders>
            <w:shd w:val="clear" w:color="000000" w:fill="FFFFFF"/>
            <w:noWrap/>
            <w:vAlign w:val="bottom"/>
            <w:hideMark/>
          </w:tcPr>
          <w:p w14:paraId="792D68B3"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0.35</w:t>
            </w:r>
          </w:p>
        </w:tc>
        <w:tc>
          <w:tcPr>
            <w:tcW w:w="202" w:type="pct"/>
            <w:tcBorders>
              <w:top w:val="nil"/>
              <w:left w:val="nil"/>
              <w:bottom w:val="nil"/>
              <w:right w:val="nil"/>
            </w:tcBorders>
            <w:shd w:val="clear" w:color="000000" w:fill="FFFFFF"/>
            <w:noWrap/>
            <w:vAlign w:val="bottom"/>
            <w:hideMark/>
          </w:tcPr>
          <w:p w14:paraId="5E168E44"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9.94</w:t>
            </w:r>
          </w:p>
        </w:tc>
        <w:tc>
          <w:tcPr>
            <w:tcW w:w="299" w:type="pct"/>
            <w:tcBorders>
              <w:top w:val="nil"/>
              <w:left w:val="nil"/>
              <w:bottom w:val="nil"/>
              <w:right w:val="nil"/>
            </w:tcBorders>
            <w:shd w:val="clear" w:color="000000" w:fill="FFFFFF"/>
            <w:noWrap/>
            <w:vAlign w:val="bottom"/>
            <w:hideMark/>
          </w:tcPr>
          <w:p w14:paraId="225CAEA1"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14.77</w:t>
            </w:r>
          </w:p>
        </w:tc>
        <w:tc>
          <w:tcPr>
            <w:tcW w:w="220" w:type="pct"/>
            <w:tcBorders>
              <w:top w:val="nil"/>
              <w:left w:val="nil"/>
              <w:bottom w:val="nil"/>
              <w:right w:val="nil"/>
            </w:tcBorders>
            <w:shd w:val="clear" w:color="000000" w:fill="FFFFFF"/>
            <w:noWrap/>
            <w:vAlign w:val="bottom"/>
            <w:hideMark/>
          </w:tcPr>
          <w:p w14:paraId="58A42DDA"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20.76</w:t>
            </w:r>
          </w:p>
        </w:tc>
        <w:tc>
          <w:tcPr>
            <w:tcW w:w="253" w:type="pct"/>
            <w:tcBorders>
              <w:top w:val="nil"/>
              <w:left w:val="nil"/>
              <w:bottom w:val="nil"/>
              <w:right w:val="nil"/>
            </w:tcBorders>
            <w:shd w:val="clear" w:color="000000" w:fill="FFFFFF"/>
            <w:noWrap/>
            <w:vAlign w:val="bottom"/>
            <w:hideMark/>
          </w:tcPr>
          <w:p w14:paraId="2D7FFC75"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972.21</w:t>
            </w:r>
          </w:p>
        </w:tc>
        <w:tc>
          <w:tcPr>
            <w:tcW w:w="93" w:type="pct"/>
            <w:tcBorders>
              <w:top w:val="nil"/>
              <w:left w:val="nil"/>
              <w:bottom w:val="nil"/>
              <w:right w:val="single" w:sz="4" w:space="0" w:color="auto"/>
            </w:tcBorders>
            <w:shd w:val="clear" w:color="000000" w:fill="FFFFFF"/>
            <w:noWrap/>
            <w:vAlign w:val="bottom"/>
            <w:hideMark/>
          </w:tcPr>
          <w:p w14:paraId="2204DC70"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single" w:sz="4" w:space="0" w:color="auto"/>
              <w:bottom w:val="nil"/>
              <w:right w:val="nil"/>
            </w:tcBorders>
            <w:shd w:val="clear" w:color="000000" w:fill="FFFFFF"/>
            <w:noWrap/>
            <w:vAlign w:val="bottom"/>
            <w:hideMark/>
          </w:tcPr>
          <w:p w14:paraId="2F89768D"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0.05</w:t>
            </w:r>
          </w:p>
        </w:tc>
        <w:tc>
          <w:tcPr>
            <w:tcW w:w="202" w:type="pct"/>
            <w:tcBorders>
              <w:top w:val="nil"/>
              <w:left w:val="nil"/>
              <w:bottom w:val="nil"/>
              <w:right w:val="nil"/>
            </w:tcBorders>
            <w:shd w:val="clear" w:color="000000" w:fill="FFFFFF"/>
            <w:noWrap/>
            <w:vAlign w:val="bottom"/>
            <w:hideMark/>
          </w:tcPr>
          <w:p w14:paraId="4795CC19"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-0.06</w:t>
            </w:r>
          </w:p>
        </w:tc>
        <w:tc>
          <w:tcPr>
            <w:tcW w:w="202" w:type="pct"/>
            <w:tcBorders>
              <w:top w:val="nil"/>
              <w:left w:val="nil"/>
              <w:bottom w:val="nil"/>
              <w:right w:val="nil"/>
            </w:tcBorders>
            <w:shd w:val="clear" w:color="000000" w:fill="FFFFFF"/>
            <w:noWrap/>
            <w:vAlign w:val="bottom"/>
            <w:hideMark/>
          </w:tcPr>
          <w:p w14:paraId="58C3C2DB"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1.00</w:t>
            </w:r>
          </w:p>
        </w:tc>
        <w:tc>
          <w:tcPr>
            <w:tcW w:w="202" w:type="pct"/>
            <w:tcBorders>
              <w:top w:val="nil"/>
              <w:left w:val="nil"/>
              <w:bottom w:val="nil"/>
              <w:right w:val="nil"/>
            </w:tcBorders>
            <w:shd w:val="clear" w:color="000000" w:fill="FFFFFF"/>
            <w:noWrap/>
            <w:vAlign w:val="bottom"/>
            <w:hideMark/>
          </w:tcPr>
          <w:p w14:paraId="69173B59"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nil"/>
              <w:bottom w:val="nil"/>
              <w:right w:val="nil"/>
            </w:tcBorders>
            <w:shd w:val="clear" w:color="000000" w:fill="FFFFFF"/>
            <w:noWrap/>
            <w:vAlign w:val="bottom"/>
            <w:hideMark/>
          </w:tcPr>
          <w:p w14:paraId="3B4CC5D6"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189" w:type="pct"/>
            <w:tcBorders>
              <w:top w:val="nil"/>
              <w:left w:val="nil"/>
              <w:bottom w:val="nil"/>
              <w:right w:val="nil"/>
            </w:tcBorders>
            <w:shd w:val="clear" w:color="000000" w:fill="FFFFFF"/>
            <w:noWrap/>
            <w:vAlign w:val="bottom"/>
            <w:hideMark/>
          </w:tcPr>
          <w:p w14:paraId="0B4E69ED"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81" w:type="pct"/>
            <w:tcBorders>
              <w:top w:val="nil"/>
              <w:left w:val="nil"/>
              <w:bottom w:val="nil"/>
              <w:right w:val="nil"/>
            </w:tcBorders>
            <w:shd w:val="clear" w:color="000000" w:fill="FFFFFF"/>
          </w:tcPr>
          <w:p w14:paraId="26D38E5F"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88" w:type="pct"/>
            <w:tcBorders>
              <w:top w:val="nil"/>
              <w:left w:val="nil"/>
              <w:bottom w:val="nil"/>
              <w:right w:val="nil"/>
            </w:tcBorders>
            <w:shd w:val="clear" w:color="000000" w:fill="FFFFFF"/>
          </w:tcPr>
          <w:p w14:paraId="02A77E8D" w14:textId="3F6C8AF0" w:rsidR="00504E59" w:rsidRPr="008F778F" w:rsidRDefault="00936ACE" w:rsidP="00504E59">
            <w:pPr>
              <w:spacing w:after="0" w:line="480" w:lineRule="auto"/>
              <w:jc w:val="left"/>
              <w:rPr>
                <w:rFonts w:eastAsia="Times New Roman" w:cs="Arial"/>
                <w:color w:val="000000"/>
                <w:sz w:val="18"/>
                <w:szCs w:val="18"/>
                <w:lang w:eastAsia="en-GB"/>
              </w:rPr>
            </w:pPr>
            <w:r w:rsidRPr="008F778F">
              <w:rPr>
                <w:sz w:val="18"/>
                <w:szCs w:val="18"/>
              </w:rPr>
              <w:t>1801.3872***</w:t>
            </w:r>
          </w:p>
        </w:tc>
      </w:tr>
      <w:tr w:rsidR="00B339D8" w:rsidRPr="008F778F" w14:paraId="6B8AC6DD" w14:textId="6EAE8F3B" w:rsidTr="00936ACE">
        <w:trPr>
          <w:trHeight w:val="230"/>
        </w:trPr>
        <w:tc>
          <w:tcPr>
            <w:tcW w:w="128" w:type="pct"/>
            <w:tcBorders>
              <w:top w:val="nil"/>
              <w:left w:val="nil"/>
              <w:bottom w:val="nil"/>
              <w:right w:val="nil"/>
            </w:tcBorders>
            <w:shd w:val="clear" w:color="000000" w:fill="FFFFFF"/>
            <w:noWrap/>
            <w:vAlign w:val="bottom"/>
            <w:hideMark/>
          </w:tcPr>
          <w:p w14:paraId="421C6016" w14:textId="77777777" w:rsidR="00504E59" w:rsidRPr="00CC79AD" w:rsidRDefault="00504E59" w:rsidP="00504E59">
            <w:pPr>
              <w:spacing w:after="0" w:line="480" w:lineRule="auto"/>
              <w:jc w:val="right"/>
              <w:rPr>
                <w:rFonts w:eastAsia="Times New Roman" w:cs="Arial"/>
                <w:b/>
                <w:bCs/>
                <w:color w:val="00B0F0"/>
                <w:sz w:val="18"/>
                <w:szCs w:val="18"/>
                <w:lang w:eastAsia="en-GB"/>
              </w:rPr>
            </w:pPr>
            <w:r w:rsidRPr="00CC79AD">
              <w:rPr>
                <w:rFonts w:eastAsia="Times New Roman" w:cs="Arial"/>
                <w:b/>
                <w:bCs/>
                <w:color w:val="00B0F0"/>
                <w:sz w:val="18"/>
                <w:szCs w:val="18"/>
                <w:lang w:eastAsia="en-GB"/>
              </w:rPr>
              <w:t>6</w:t>
            </w:r>
          </w:p>
        </w:tc>
        <w:tc>
          <w:tcPr>
            <w:tcW w:w="931" w:type="pct"/>
            <w:tcBorders>
              <w:top w:val="nil"/>
              <w:left w:val="nil"/>
              <w:bottom w:val="nil"/>
              <w:right w:val="nil"/>
            </w:tcBorders>
            <w:shd w:val="clear" w:color="000000" w:fill="FFFFFF"/>
            <w:noWrap/>
            <w:vAlign w:val="bottom"/>
            <w:hideMark/>
          </w:tcPr>
          <w:p w14:paraId="559F1005"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Institutional Quality (KKM)</w:t>
            </w:r>
          </w:p>
        </w:tc>
        <w:tc>
          <w:tcPr>
            <w:tcW w:w="250" w:type="pct"/>
            <w:tcBorders>
              <w:top w:val="nil"/>
              <w:left w:val="nil"/>
              <w:bottom w:val="nil"/>
              <w:right w:val="nil"/>
            </w:tcBorders>
            <w:shd w:val="clear" w:color="000000" w:fill="FFFFFF"/>
            <w:noWrap/>
            <w:vAlign w:val="bottom"/>
            <w:hideMark/>
          </w:tcPr>
          <w:p w14:paraId="52367C76"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4782</w:t>
            </w:r>
          </w:p>
        </w:tc>
        <w:tc>
          <w:tcPr>
            <w:tcW w:w="358" w:type="pct"/>
            <w:tcBorders>
              <w:top w:val="nil"/>
              <w:left w:val="nil"/>
              <w:bottom w:val="nil"/>
              <w:right w:val="nil"/>
            </w:tcBorders>
            <w:shd w:val="clear" w:color="000000" w:fill="FFFFFF"/>
            <w:noWrap/>
            <w:vAlign w:val="bottom"/>
            <w:hideMark/>
          </w:tcPr>
          <w:p w14:paraId="49F05C56"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94%</w:t>
            </w:r>
          </w:p>
        </w:tc>
        <w:tc>
          <w:tcPr>
            <w:tcW w:w="242" w:type="pct"/>
            <w:tcBorders>
              <w:top w:val="nil"/>
              <w:left w:val="nil"/>
              <w:bottom w:val="nil"/>
              <w:right w:val="nil"/>
            </w:tcBorders>
            <w:shd w:val="clear" w:color="000000" w:fill="FFFFFF"/>
            <w:noWrap/>
            <w:vAlign w:val="bottom"/>
            <w:hideMark/>
          </w:tcPr>
          <w:p w14:paraId="25132EC7"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0.01</w:t>
            </w:r>
          </w:p>
        </w:tc>
        <w:tc>
          <w:tcPr>
            <w:tcW w:w="220" w:type="pct"/>
            <w:tcBorders>
              <w:top w:val="nil"/>
              <w:left w:val="nil"/>
              <w:bottom w:val="nil"/>
              <w:right w:val="nil"/>
            </w:tcBorders>
            <w:shd w:val="clear" w:color="000000" w:fill="FFFFFF"/>
            <w:noWrap/>
            <w:vAlign w:val="bottom"/>
            <w:hideMark/>
          </w:tcPr>
          <w:p w14:paraId="6BF65278"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2.06</w:t>
            </w:r>
          </w:p>
        </w:tc>
        <w:tc>
          <w:tcPr>
            <w:tcW w:w="233" w:type="pct"/>
            <w:tcBorders>
              <w:top w:val="nil"/>
              <w:left w:val="nil"/>
              <w:bottom w:val="nil"/>
              <w:right w:val="nil"/>
            </w:tcBorders>
            <w:shd w:val="clear" w:color="000000" w:fill="FFFFFF"/>
            <w:noWrap/>
            <w:vAlign w:val="bottom"/>
            <w:hideMark/>
          </w:tcPr>
          <w:p w14:paraId="63C6BF0D"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-5.23</w:t>
            </w:r>
          </w:p>
        </w:tc>
        <w:tc>
          <w:tcPr>
            <w:tcW w:w="202" w:type="pct"/>
            <w:tcBorders>
              <w:top w:val="nil"/>
              <w:left w:val="nil"/>
              <w:bottom w:val="nil"/>
              <w:right w:val="nil"/>
            </w:tcBorders>
            <w:shd w:val="clear" w:color="000000" w:fill="FFFFFF"/>
            <w:noWrap/>
            <w:vAlign w:val="bottom"/>
            <w:hideMark/>
          </w:tcPr>
          <w:p w14:paraId="5A9C407F"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-1.40</w:t>
            </w:r>
          </w:p>
        </w:tc>
        <w:tc>
          <w:tcPr>
            <w:tcW w:w="299" w:type="pct"/>
            <w:tcBorders>
              <w:top w:val="nil"/>
              <w:left w:val="nil"/>
              <w:bottom w:val="nil"/>
              <w:right w:val="nil"/>
            </w:tcBorders>
            <w:shd w:val="clear" w:color="000000" w:fill="FFFFFF"/>
            <w:noWrap/>
            <w:vAlign w:val="bottom"/>
            <w:hideMark/>
          </w:tcPr>
          <w:p w14:paraId="37631BC2"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-0.21</w:t>
            </w:r>
          </w:p>
        </w:tc>
        <w:tc>
          <w:tcPr>
            <w:tcW w:w="220" w:type="pct"/>
            <w:tcBorders>
              <w:top w:val="nil"/>
              <w:left w:val="nil"/>
              <w:bottom w:val="nil"/>
              <w:right w:val="nil"/>
            </w:tcBorders>
            <w:shd w:val="clear" w:color="000000" w:fill="FFFFFF"/>
            <w:noWrap/>
            <w:vAlign w:val="bottom"/>
            <w:hideMark/>
          </w:tcPr>
          <w:p w14:paraId="702CB039"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1.72</w:t>
            </w:r>
          </w:p>
        </w:tc>
        <w:tc>
          <w:tcPr>
            <w:tcW w:w="253" w:type="pct"/>
            <w:tcBorders>
              <w:top w:val="nil"/>
              <w:left w:val="nil"/>
              <w:bottom w:val="nil"/>
              <w:right w:val="nil"/>
            </w:tcBorders>
            <w:shd w:val="clear" w:color="000000" w:fill="FFFFFF"/>
            <w:noWrap/>
            <w:vAlign w:val="bottom"/>
            <w:hideMark/>
          </w:tcPr>
          <w:p w14:paraId="7D71773C"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7.37</w:t>
            </w:r>
          </w:p>
        </w:tc>
        <w:tc>
          <w:tcPr>
            <w:tcW w:w="93" w:type="pct"/>
            <w:tcBorders>
              <w:top w:val="nil"/>
              <w:left w:val="nil"/>
              <w:bottom w:val="nil"/>
              <w:right w:val="single" w:sz="4" w:space="0" w:color="auto"/>
            </w:tcBorders>
            <w:shd w:val="clear" w:color="000000" w:fill="FFFFFF"/>
            <w:noWrap/>
            <w:vAlign w:val="bottom"/>
            <w:hideMark/>
          </w:tcPr>
          <w:p w14:paraId="04F834CF"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single" w:sz="4" w:space="0" w:color="auto"/>
              <w:bottom w:val="nil"/>
              <w:right w:val="nil"/>
            </w:tcBorders>
            <w:shd w:val="clear" w:color="000000" w:fill="FFFFFF"/>
            <w:noWrap/>
            <w:vAlign w:val="bottom"/>
            <w:hideMark/>
          </w:tcPr>
          <w:p w14:paraId="410E8DFD"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0.00</w:t>
            </w:r>
          </w:p>
        </w:tc>
        <w:tc>
          <w:tcPr>
            <w:tcW w:w="202" w:type="pct"/>
            <w:tcBorders>
              <w:top w:val="nil"/>
              <w:left w:val="nil"/>
              <w:bottom w:val="nil"/>
              <w:right w:val="nil"/>
            </w:tcBorders>
            <w:shd w:val="clear" w:color="000000" w:fill="FFFFFF"/>
            <w:noWrap/>
            <w:vAlign w:val="bottom"/>
            <w:hideMark/>
          </w:tcPr>
          <w:p w14:paraId="666A03DE"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-0.01</w:t>
            </w:r>
          </w:p>
        </w:tc>
        <w:tc>
          <w:tcPr>
            <w:tcW w:w="202" w:type="pct"/>
            <w:tcBorders>
              <w:top w:val="nil"/>
              <w:left w:val="nil"/>
              <w:bottom w:val="nil"/>
              <w:right w:val="nil"/>
            </w:tcBorders>
            <w:shd w:val="clear" w:color="000000" w:fill="FFFFFF"/>
            <w:noWrap/>
            <w:vAlign w:val="bottom"/>
            <w:hideMark/>
          </w:tcPr>
          <w:p w14:paraId="0C233724"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0.00</w:t>
            </w:r>
          </w:p>
        </w:tc>
        <w:tc>
          <w:tcPr>
            <w:tcW w:w="202" w:type="pct"/>
            <w:tcBorders>
              <w:top w:val="nil"/>
              <w:left w:val="nil"/>
              <w:bottom w:val="nil"/>
              <w:right w:val="nil"/>
            </w:tcBorders>
            <w:shd w:val="clear" w:color="000000" w:fill="FFFFFF"/>
            <w:noWrap/>
            <w:vAlign w:val="bottom"/>
            <w:hideMark/>
          </w:tcPr>
          <w:p w14:paraId="3E070B3D"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1.00</w:t>
            </w:r>
          </w:p>
        </w:tc>
        <w:tc>
          <w:tcPr>
            <w:tcW w:w="202" w:type="pct"/>
            <w:tcBorders>
              <w:top w:val="nil"/>
              <w:left w:val="nil"/>
              <w:bottom w:val="nil"/>
              <w:right w:val="nil"/>
            </w:tcBorders>
            <w:shd w:val="clear" w:color="000000" w:fill="FFFFFF"/>
            <w:noWrap/>
            <w:vAlign w:val="bottom"/>
            <w:hideMark/>
          </w:tcPr>
          <w:p w14:paraId="2F46EE9D"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189" w:type="pct"/>
            <w:tcBorders>
              <w:top w:val="nil"/>
              <w:left w:val="nil"/>
              <w:bottom w:val="nil"/>
              <w:right w:val="nil"/>
            </w:tcBorders>
            <w:shd w:val="clear" w:color="000000" w:fill="FFFFFF"/>
            <w:noWrap/>
            <w:vAlign w:val="bottom"/>
            <w:hideMark/>
          </w:tcPr>
          <w:p w14:paraId="4F3CD380"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81" w:type="pct"/>
            <w:tcBorders>
              <w:top w:val="nil"/>
              <w:left w:val="nil"/>
              <w:bottom w:val="nil"/>
              <w:right w:val="nil"/>
            </w:tcBorders>
            <w:shd w:val="clear" w:color="000000" w:fill="FFFFFF"/>
          </w:tcPr>
          <w:p w14:paraId="173CC956"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88" w:type="pct"/>
            <w:tcBorders>
              <w:top w:val="nil"/>
              <w:left w:val="nil"/>
              <w:bottom w:val="nil"/>
              <w:right w:val="nil"/>
            </w:tcBorders>
            <w:shd w:val="clear" w:color="000000" w:fill="FFFFFF"/>
          </w:tcPr>
          <w:p w14:paraId="39B9CA7D" w14:textId="623C2AB6" w:rsidR="00504E59" w:rsidRPr="008F778F" w:rsidRDefault="00936ACE" w:rsidP="00504E59">
            <w:pPr>
              <w:spacing w:after="0" w:line="480" w:lineRule="auto"/>
              <w:jc w:val="left"/>
              <w:rPr>
                <w:rFonts w:eastAsia="Times New Roman" w:cs="Arial"/>
                <w:color w:val="000000"/>
                <w:sz w:val="18"/>
                <w:szCs w:val="18"/>
                <w:lang w:eastAsia="en-GB"/>
              </w:rPr>
            </w:pPr>
            <w:r w:rsidRPr="008F778F">
              <w:rPr>
                <w:sz w:val="18"/>
                <w:szCs w:val="18"/>
              </w:rPr>
              <w:t>1330.653***</w:t>
            </w:r>
          </w:p>
        </w:tc>
      </w:tr>
      <w:tr w:rsidR="00B339D8" w:rsidRPr="008F778F" w14:paraId="5010D705" w14:textId="2799F826" w:rsidTr="00936ACE">
        <w:trPr>
          <w:trHeight w:val="230"/>
        </w:trPr>
        <w:tc>
          <w:tcPr>
            <w:tcW w:w="128" w:type="pct"/>
            <w:tcBorders>
              <w:top w:val="nil"/>
              <w:left w:val="nil"/>
              <w:bottom w:val="nil"/>
              <w:right w:val="nil"/>
            </w:tcBorders>
            <w:shd w:val="clear" w:color="000000" w:fill="FFFFFF"/>
            <w:noWrap/>
            <w:vAlign w:val="bottom"/>
            <w:hideMark/>
          </w:tcPr>
          <w:p w14:paraId="45FC05AB" w14:textId="77777777" w:rsidR="00504E59" w:rsidRPr="00CC79AD" w:rsidRDefault="00504E59" w:rsidP="00504E59">
            <w:pPr>
              <w:spacing w:after="0" w:line="480" w:lineRule="auto"/>
              <w:jc w:val="right"/>
              <w:rPr>
                <w:rFonts w:eastAsia="Times New Roman" w:cs="Arial"/>
                <w:b/>
                <w:bCs/>
                <w:color w:val="00B0F0"/>
                <w:sz w:val="18"/>
                <w:szCs w:val="18"/>
                <w:lang w:eastAsia="en-GB"/>
              </w:rPr>
            </w:pPr>
            <w:r w:rsidRPr="00CC79AD">
              <w:rPr>
                <w:rFonts w:eastAsia="Times New Roman" w:cs="Arial"/>
                <w:b/>
                <w:bCs/>
                <w:color w:val="00B0F0"/>
                <w:sz w:val="18"/>
                <w:szCs w:val="18"/>
                <w:lang w:eastAsia="en-GB"/>
              </w:rPr>
              <w:t>7</w:t>
            </w:r>
          </w:p>
        </w:tc>
        <w:tc>
          <w:tcPr>
            <w:tcW w:w="931" w:type="pct"/>
            <w:tcBorders>
              <w:top w:val="nil"/>
              <w:left w:val="nil"/>
              <w:bottom w:val="nil"/>
              <w:right w:val="nil"/>
            </w:tcBorders>
            <w:shd w:val="clear" w:color="000000" w:fill="FFFFFF"/>
            <w:noWrap/>
            <w:vAlign w:val="bottom"/>
            <w:hideMark/>
          </w:tcPr>
          <w:p w14:paraId="707254D9"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Education</w:t>
            </w:r>
          </w:p>
        </w:tc>
        <w:tc>
          <w:tcPr>
            <w:tcW w:w="250" w:type="pct"/>
            <w:tcBorders>
              <w:top w:val="nil"/>
              <w:left w:val="nil"/>
              <w:bottom w:val="nil"/>
              <w:right w:val="nil"/>
            </w:tcBorders>
            <w:shd w:val="clear" w:color="000000" w:fill="FFFFFF"/>
            <w:noWrap/>
            <w:vAlign w:val="bottom"/>
            <w:hideMark/>
          </w:tcPr>
          <w:p w14:paraId="6D2DFFF7"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4782</w:t>
            </w:r>
          </w:p>
        </w:tc>
        <w:tc>
          <w:tcPr>
            <w:tcW w:w="358" w:type="pct"/>
            <w:tcBorders>
              <w:top w:val="nil"/>
              <w:left w:val="nil"/>
              <w:bottom w:val="nil"/>
              <w:right w:val="nil"/>
            </w:tcBorders>
            <w:shd w:val="clear" w:color="000000" w:fill="FFFFFF"/>
            <w:noWrap/>
            <w:vAlign w:val="bottom"/>
            <w:hideMark/>
          </w:tcPr>
          <w:p w14:paraId="5719FCFC"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90%</w:t>
            </w:r>
          </w:p>
        </w:tc>
        <w:tc>
          <w:tcPr>
            <w:tcW w:w="242" w:type="pct"/>
            <w:tcBorders>
              <w:top w:val="nil"/>
              <w:left w:val="nil"/>
              <w:bottom w:val="nil"/>
              <w:right w:val="nil"/>
            </w:tcBorders>
            <w:shd w:val="clear" w:color="000000" w:fill="FFFFFF"/>
            <w:noWrap/>
            <w:vAlign w:val="bottom"/>
            <w:hideMark/>
          </w:tcPr>
          <w:p w14:paraId="1B0B3BE5"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0.39</w:t>
            </w:r>
          </w:p>
        </w:tc>
        <w:tc>
          <w:tcPr>
            <w:tcW w:w="220" w:type="pct"/>
            <w:tcBorders>
              <w:top w:val="nil"/>
              <w:left w:val="nil"/>
              <w:bottom w:val="nil"/>
              <w:right w:val="nil"/>
            </w:tcBorders>
            <w:shd w:val="clear" w:color="000000" w:fill="FFFFFF"/>
            <w:noWrap/>
            <w:vAlign w:val="bottom"/>
            <w:hideMark/>
          </w:tcPr>
          <w:p w14:paraId="19058CB2"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0.15</w:t>
            </w:r>
          </w:p>
        </w:tc>
        <w:tc>
          <w:tcPr>
            <w:tcW w:w="233" w:type="pct"/>
            <w:tcBorders>
              <w:top w:val="nil"/>
              <w:left w:val="nil"/>
              <w:bottom w:val="nil"/>
              <w:right w:val="nil"/>
            </w:tcBorders>
            <w:shd w:val="clear" w:color="000000" w:fill="FFFFFF"/>
            <w:noWrap/>
            <w:vAlign w:val="bottom"/>
            <w:hideMark/>
          </w:tcPr>
          <w:p w14:paraId="04F34D9A"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0.07</w:t>
            </w:r>
          </w:p>
        </w:tc>
        <w:tc>
          <w:tcPr>
            <w:tcW w:w="202" w:type="pct"/>
            <w:tcBorders>
              <w:top w:val="nil"/>
              <w:left w:val="nil"/>
              <w:bottom w:val="nil"/>
              <w:right w:val="nil"/>
            </w:tcBorders>
            <w:shd w:val="clear" w:color="000000" w:fill="FFFFFF"/>
            <w:noWrap/>
            <w:vAlign w:val="bottom"/>
            <w:hideMark/>
          </w:tcPr>
          <w:p w14:paraId="04F4C49F"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0.27</w:t>
            </w:r>
          </w:p>
        </w:tc>
        <w:tc>
          <w:tcPr>
            <w:tcW w:w="299" w:type="pct"/>
            <w:tcBorders>
              <w:top w:val="nil"/>
              <w:left w:val="nil"/>
              <w:bottom w:val="nil"/>
              <w:right w:val="nil"/>
            </w:tcBorders>
            <w:shd w:val="clear" w:color="000000" w:fill="FFFFFF"/>
            <w:noWrap/>
            <w:vAlign w:val="bottom"/>
            <w:hideMark/>
          </w:tcPr>
          <w:p w14:paraId="3D27B9AA"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0.38</w:t>
            </w:r>
          </w:p>
        </w:tc>
        <w:tc>
          <w:tcPr>
            <w:tcW w:w="220" w:type="pct"/>
            <w:tcBorders>
              <w:top w:val="nil"/>
              <w:left w:val="nil"/>
              <w:bottom w:val="nil"/>
              <w:right w:val="nil"/>
            </w:tcBorders>
            <w:shd w:val="clear" w:color="000000" w:fill="FFFFFF"/>
            <w:noWrap/>
            <w:vAlign w:val="bottom"/>
            <w:hideMark/>
          </w:tcPr>
          <w:p w14:paraId="380A878C"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0.49</w:t>
            </w:r>
          </w:p>
        </w:tc>
        <w:tc>
          <w:tcPr>
            <w:tcW w:w="253" w:type="pct"/>
            <w:tcBorders>
              <w:top w:val="nil"/>
              <w:left w:val="nil"/>
              <w:bottom w:val="nil"/>
              <w:right w:val="nil"/>
            </w:tcBorders>
            <w:shd w:val="clear" w:color="000000" w:fill="FFFFFF"/>
            <w:noWrap/>
            <w:vAlign w:val="bottom"/>
            <w:hideMark/>
          </w:tcPr>
          <w:p w14:paraId="06FEE911"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1.05</w:t>
            </w:r>
          </w:p>
        </w:tc>
        <w:tc>
          <w:tcPr>
            <w:tcW w:w="93" w:type="pct"/>
            <w:tcBorders>
              <w:top w:val="nil"/>
              <w:left w:val="nil"/>
              <w:bottom w:val="nil"/>
              <w:right w:val="single" w:sz="4" w:space="0" w:color="auto"/>
            </w:tcBorders>
            <w:shd w:val="clear" w:color="000000" w:fill="FFFFFF"/>
            <w:noWrap/>
            <w:vAlign w:val="bottom"/>
            <w:hideMark/>
          </w:tcPr>
          <w:p w14:paraId="7C3FF788"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single" w:sz="4" w:space="0" w:color="auto"/>
              <w:bottom w:val="nil"/>
              <w:right w:val="nil"/>
            </w:tcBorders>
            <w:shd w:val="clear" w:color="000000" w:fill="FFFFFF"/>
            <w:noWrap/>
            <w:vAlign w:val="bottom"/>
            <w:hideMark/>
          </w:tcPr>
          <w:p w14:paraId="3D080BC0"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0.14</w:t>
            </w:r>
          </w:p>
        </w:tc>
        <w:tc>
          <w:tcPr>
            <w:tcW w:w="202" w:type="pct"/>
            <w:tcBorders>
              <w:top w:val="nil"/>
              <w:left w:val="nil"/>
              <w:bottom w:val="nil"/>
              <w:right w:val="nil"/>
            </w:tcBorders>
            <w:shd w:val="clear" w:color="000000" w:fill="FFFFFF"/>
            <w:noWrap/>
            <w:vAlign w:val="bottom"/>
            <w:hideMark/>
          </w:tcPr>
          <w:p w14:paraId="78B79B97"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-0.07</w:t>
            </w:r>
          </w:p>
        </w:tc>
        <w:tc>
          <w:tcPr>
            <w:tcW w:w="202" w:type="pct"/>
            <w:tcBorders>
              <w:top w:val="nil"/>
              <w:left w:val="nil"/>
              <w:bottom w:val="nil"/>
              <w:right w:val="nil"/>
            </w:tcBorders>
            <w:shd w:val="clear" w:color="000000" w:fill="FFFFFF"/>
            <w:noWrap/>
            <w:vAlign w:val="bottom"/>
            <w:hideMark/>
          </w:tcPr>
          <w:p w14:paraId="36D8DDB4"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0.14</w:t>
            </w:r>
          </w:p>
        </w:tc>
        <w:tc>
          <w:tcPr>
            <w:tcW w:w="202" w:type="pct"/>
            <w:tcBorders>
              <w:top w:val="nil"/>
              <w:left w:val="nil"/>
              <w:bottom w:val="nil"/>
              <w:right w:val="nil"/>
            </w:tcBorders>
            <w:shd w:val="clear" w:color="000000" w:fill="FFFFFF"/>
            <w:noWrap/>
            <w:vAlign w:val="bottom"/>
            <w:hideMark/>
          </w:tcPr>
          <w:p w14:paraId="38BE00F5"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-0.23</w:t>
            </w:r>
          </w:p>
        </w:tc>
        <w:tc>
          <w:tcPr>
            <w:tcW w:w="202" w:type="pct"/>
            <w:tcBorders>
              <w:top w:val="nil"/>
              <w:left w:val="nil"/>
              <w:bottom w:val="nil"/>
              <w:right w:val="nil"/>
            </w:tcBorders>
            <w:shd w:val="clear" w:color="000000" w:fill="FFFFFF"/>
            <w:noWrap/>
            <w:vAlign w:val="bottom"/>
            <w:hideMark/>
          </w:tcPr>
          <w:p w14:paraId="6C37842D"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1.00</w:t>
            </w:r>
          </w:p>
        </w:tc>
        <w:tc>
          <w:tcPr>
            <w:tcW w:w="189" w:type="pct"/>
            <w:tcBorders>
              <w:top w:val="nil"/>
              <w:left w:val="nil"/>
              <w:bottom w:val="nil"/>
              <w:right w:val="nil"/>
            </w:tcBorders>
            <w:shd w:val="clear" w:color="000000" w:fill="FFFFFF"/>
            <w:noWrap/>
            <w:vAlign w:val="bottom"/>
            <w:hideMark/>
          </w:tcPr>
          <w:p w14:paraId="28D6B600"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81" w:type="pct"/>
            <w:tcBorders>
              <w:top w:val="nil"/>
              <w:left w:val="nil"/>
              <w:bottom w:val="nil"/>
              <w:right w:val="nil"/>
            </w:tcBorders>
            <w:shd w:val="clear" w:color="000000" w:fill="FFFFFF"/>
          </w:tcPr>
          <w:p w14:paraId="56946AFB"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88" w:type="pct"/>
            <w:tcBorders>
              <w:top w:val="nil"/>
              <w:left w:val="nil"/>
              <w:bottom w:val="nil"/>
              <w:right w:val="nil"/>
            </w:tcBorders>
            <w:shd w:val="clear" w:color="000000" w:fill="FFFFFF"/>
          </w:tcPr>
          <w:p w14:paraId="58D1A25E" w14:textId="33944129" w:rsidR="00504E59" w:rsidRPr="008F778F" w:rsidRDefault="00936ACE" w:rsidP="00504E59">
            <w:pPr>
              <w:spacing w:after="0" w:line="480" w:lineRule="auto"/>
              <w:jc w:val="left"/>
              <w:rPr>
                <w:rFonts w:eastAsia="Times New Roman" w:cs="Arial"/>
                <w:color w:val="000000"/>
                <w:sz w:val="18"/>
                <w:szCs w:val="18"/>
                <w:lang w:eastAsia="en-GB"/>
              </w:rPr>
            </w:pPr>
            <w:r w:rsidRPr="008F778F">
              <w:rPr>
                <w:sz w:val="18"/>
                <w:szCs w:val="18"/>
              </w:rPr>
              <w:t>2033.682***</w:t>
            </w:r>
          </w:p>
        </w:tc>
      </w:tr>
      <w:tr w:rsidR="00B339D8" w:rsidRPr="008F778F" w14:paraId="0280D458" w14:textId="7D4EE4CF" w:rsidTr="00936ACE">
        <w:trPr>
          <w:trHeight w:val="240"/>
        </w:trPr>
        <w:tc>
          <w:tcPr>
            <w:tcW w:w="128" w:type="pct"/>
            <w:tcBorders>
              <w:top w:val="nil"/>
              <w:left w:val="nil"/>
              <w:bottom w:val="single" w:sz="12" w:space="0" w:color="auto"/>
              <w:right w:val="nil"/>
            </w:tcBorders>
            <w:shd w:val="clear" w:color="000000" w:fill="FFFFFF"/>
            <w:noWrap/>
            <w:vAlign w:val="bottom"/>
            <w:hideMark/>
          </w:tcPr>
          <w:p w14:paraId="3115BD6C" w14:textId="77777777" w:rsidR="00504E59" w:rsidRPr="00CC79AD" w:rsidRDefault="00504E59" w:rsidP="00504E59">
            <w:pPr>
              <w:spacing w:after="0" w:line="480" w:lineRule="auto"/>
              <w:jc w:val="right"/>
              <w:rPr>
                <w:rFonts w:eastAsia="Times New Roman" w:cs="Arial"/>
                <w:b/>
                <w:bCs/>
                <w:color w:val="00B0F0"/>
                <w:sz w:val="18"/>
                <w:szCs w:val="18"/>
                <w:lang w:eastAsia="en-GB"/>
              </w:rPr>
            </w:pPr>
            <w:r w:rsidRPr="00CC79AD">
              <w:rPr>
                <w:rFonts w:eastAsia="Times New Roman" w:cs="Arial"/>
                <w:b/>
                <w:bCs/>
                <w:color w:val="00B0F0"/>
                <w:sz w:val="18"/>
                <w:szCs w:val="18"/>
                <w:lang w:eastAsia="en-GB"/>
              </w:rPr>
              <w:t>8</w:t>
            </w:r>
          </w:p>
        </w:tc>
        <w:tc>
          <w:tcPr>
            <w:tcW w:w="931" w:type="pct"/>
            <w:tcBorders>
              <w:top w:val="nil"/>
              <w:left w:val="nil"/>
              <w:bottom w:val="single" w:sz="12" w:space="0" w:color="auto"/>
              <w:right w:val="nil"/>
            </w:tcBorders>
            <w:shd w:val="clear" w:color="000000" w:fill="FFFFFF"/>
            <w:noWrap/>
            <w:vAlign w:val="bottom"/>
            <w:hideMark/>
          </w:tcPr>
          <w:p w14:paraId="2A10B393"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GDP Growth Annual</w:t>
            </w:r>
          </w:p>
        </w:tc>
        <w:tc>
          <w:tcPr>
            <w:tcW w:w="250" w:type="pct"/>
            <w:tcBorders>
              <w:top w:val="nil"/>
              <w:left w:val="nil"/>
              <w:bottom w:val="single" w:sz="12" w:space="0" w:color="auto"/>
              <w:right w:val="nil"/>
            </w:tcBorders>
            <w:shd w:val="clear" w:color="000000" w:fill="FFFFFF"/>
            <w:noWrap/>
            <w:vAlign w:val="bottom"/>
            <w:hideMark/>
          </w:tcPr>
          <w:p w14:paraId="5DC5D1FC"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4782</w:t>
            </w:r>
          </w:p>
        </w:tc>
        <w:tc>
          <w:tcPr>
            <w:tcW w:w="358" w:type="pct"/>
            <w:tcBorders>
              <w:top w:val="nil"/>
              <w:left w:val="nil"/>
              <w:bottom w:val="single" w:sz="12" w:space="0" w:color="auto"/>
              <w:right w:val="nil"/>
            </w:tcBorders>
            <w:shd w:val="clear" w:color="000000" w:fill="FFFFFF"/>
            <w:noWrap/>
            <w:vAlign w:val="bottom"/>
            <w:hideMark/>
          </w:tcPr>
          <w:p w14:paraId="1F3ED207"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94%</w:t>
            </w:r>
          </w:p>
        </w:tc>
        <w:tc>
          <w:tcPr>
            <w:tcW w:w="242" w:type="pct"/>
            <w:tcBorders>
              <w:top w:val="nil"/>
              <w:left w:val="nil"/>
              <w:bottom w:val="single" w:sz="12" w:space="0" w:color="auto"/>
              <w:right w:val="nil"/>
            </w:tcBorders>
            <w:shd w:val="clear" w:color="000000" w:fill="FFFFFF"/>
            <w:noWrap/>
            <w:vAlign w:val="bottom"/>
            <w:hideMark/>
          </w:tcPr>
          <w:p w14:paraId="480C2897"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5.30</w:t>
            </w:r>
          </w:p>
        </w:tc>
        <w:tc>
          <w:tcPr>
            <w:tcW w:w="220" w:type="pct"/>
            <w:tcBorders>
              <w:top w:val="nil"/>
              <w:left w:val="nil"/>
              <w:bottom w:val="single" w:sz="12" w:space="0" w:color="auto"/>
              <w:right w:val="nil"/>
            </w:tcBorders>
            <w:shd w:val="clear" w:color="000000" w:fill="FFFFFF"/>
            <w:noWrap/>
            <w:vAlign w:val="bottom"/>
            <w:hideMark/>
          </w:tcPr>
          <w:p w14:paraId="157DFEBA"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3.70</w:t>
            </w:r>
          </w:p>
        </w:tc>
        <w:tc>
          <w:tcPr>
            <w:tcW w:w="233" w:type="pct"/>
            <w:tcBorders>
              <w:top w:val="nil"/>
              <w:left w:val="nil"/>
              <w:bottom w:val="single" w:sz="12" w:space="0" w:color="auto"/>
              <w:right w:val="nil"/>
            </w:tcBorders>
            <w:shd w:val="clear" w:color="000000" w:fill="FFFFFF"/>
            <w:noWrap/>
            <w:vAlign w:val="bottom"/>
            <w:hideMark/>
          </w:tcPr>
          <w:p w14:paraId="1DA1DF31"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-46.08</w:t>
            </w:r>
          </w:p>
        </w:tc>
        <w:tc>
          <w:tcPr>
            <w:tcW w:w="202" w:type="pct"/>
            <w:tcBorders>
              <w:top w:val="nil"/>
              <w:left w:val="nil"/>
              <w:bottom w:val="single" w:sz="12" w:space="0" w:color="auto"/>
              <w:right w:val="nil"/>
            </w:tcBorders>
            <w:shd w:val="clear" w:color="000000" w:fill="FFFFFF"/>
            <w:noWrap/>
            <w:vAlign w:val="bottom"/>
            <w:hideMark/>
          </w:tcPr>
          <w:p w14:paraId="65FC286D"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3.82</w:t>
            </w:r>
          </w:p>
        </w:tc>
        <w:tc>
          <w:tcPr>
            <w:tcW w:w="299" w:type="pct"/>
            <w:tcBorders>
              <w:top w:val="nil"/>
              <w:left w:val="nil"/>
              <w:bottom w:val="single" w:sz="12" w:space="0" w:color="auto"/>
              <w:right w:val="nil"/>
            </w:tcBorders>
            <w:shd w:val="clear" w:color="000000" w:fill="FFFFFF"/>
            <w:noWrap/>
            <w:vAlign w:val="bottom"/>
            <w:hideMark/>
          </w:tcPr>
          <w:p w14:paraId="15A7BE55"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5.37</w:t>
            </w:r>
          </w:p>
        </w:tc>
        <w:tc>
          <w:tcPr>
            <w:tcW w:w="220" w:type="pct"/>
            <w:tcBorders>
              <w:top w:val="nil"/>
              <w:left w:val="nil"/>
              <w:bottom w:val="single" w:sz="12" w:space="0" w:color="auto"/>
              <w:right w:val="nil"/>
            </w:tcBorders>
            <w:shd w:val="clear" w:color="000000" w:fill="FFFFFF"/>
            <w:noWrap/>
            <w:vAlign w:val="bottom"/>
            <w:hideMark/>
          </w:tcPr>
          <w:p w14:paraId="5F3D8976"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6.78</w:t>
            </w:r>
          </w:p>
        </w:tc>
        <w:tc>
          <w:tcPr>
            <w:tcW w:w="253" w:type="pct"/>
            <w:tcBorders>
              <w:top w:val="nil"/>
              <w:left w:val="nil"/>
              <w:bottom w:val="single" w:sz="12" w:space="0" w:color="auto"/>
              <w:right w:val="nil"/>
            </w:tcBorders>
            <w:shd w:val="clear" w:color="000000" w:fill="FFFFFF"/>
            <w:noWrap/>
            <w:vAlign w:val="bottom"/>
            <w:hideMark/>
          </w:tcPr>
          <w:p w14:paraId="56CF51C0"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33.63</w:t>
            </w:r>
          </w:p>
        </w:tc>
        <w:tc>
          <w:tcPr>
            <w:tcW w:w="93" w:type="pct"/>
            <w:tcBorders>
              <w:top w:val="nil"/>
              <w:left w:val="nil"/>
              <w:bottom w:val="single" w:sz="12" w:space="0" w:color="auto"/>
              <w:right w:val="single" w:sz="4" w:space="0" w:color="auto"/>
            </w:tcBorders>
            <w:shd w:val="clear" w:color="000000" w:fill="FFFFFF"/>
            <w:noWrap/>
            <w:vAlign w:val="bottom"/>
            <w:hideMark/>
          </w:tcPr>
          <w:p w14:paraId="6A802371" w14:textId="77777777" w:rsidR="00504E59" w:rsidRPr="00CC79AD" w:rsidRDefault="00504E59" w:rsidP="00504E59">
            <w:pPr>
              <w:spacing w:after="0" w:line="480" w:lineRule="auto"/>
              <w:jc w:val="left"/>
              <w:rPr>
                <w:rFonts w:eastAsia="Times New Roman" w:cs="Arial"/>
                <w:color w:val="000000"/>
                <w:sz w:val="18"/>
                <w:szCs w:val="18"/>
                <w:lang w:eastAsia="en-GB"/>
              </w:rPr>
            </w:pPr>
            <w:r w:rsidRPr="00CC79AD">
              <w:rPr>
                <w:rFonts w:eastAsia="Times New Roman" w:cs="Arial"/>
                <w:color w:val="000000"/>
                <w:sz w:val="18"/>
                <w:szCs w:val="18"/>
                <w:lang w:eastAsia="en-GB"/>
              </w:rPr>
              <w:t> </w:t>
            </w:r>
          </w:p>
        </w:tc>
        <w:tc>
          <w:tcPr>
            <w:tcW w:w="202" w:type="pct"/>
            <w:tcBorders>
              <w:top w:val="nil"/>
              <w:left w:val="single" w:sz="4" w:space="0" w:color="auto"/>
              <w:bottom w:val="single" w:sz="12" w:space="0" w:color="auto"/>
              <w:right w:val="nil"/>
            </w:tcBorders>
            <w:shd w:val="clear" w:color="000000" w:fill="FFFFFF"/>
            <w:noWrap/>
            <w:vAlign w:val="bottom"/>
            <w:hideMark/>
          </w:tcPr>
          <w:p w14:paraId="50DC8715"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-0.04</w:t>
            </w:r>
          </w:p>
        </w:tc>
        <w:tc>
          <w:tcPr>
            <w:tcW w:w="202" w:type="pct"/>
            <w:tcBorders>
              <w:top w:val="nil"/>
              <w:left w:val="nil"/>
              <w:bottom w:val="single" w:sz="12" w:space="0" w:color="auto"/>
              <w:right w:val="nil"/>
            </w:tcBorders>
            <w:shd w:val="clear" w:color="000000" w:fill="FFFFFF"/>
            <w:noWrap/>
            <w:vAlign w:val="bottom"/>
            <w:hideMark/>
          </w:tcPr>
          <w:p w14:paraId="37371316"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-0.04</w:t>
            </w:r>
          </w:p>
        </w:tc>
        <w:tc>
          <w:tcPr>
            <w:tcW w:w="202" w:type="pct"/>
            <w:tcBorders>
              <w:top w:val="nil"/>
              <w:left w:val="nil"/>
              <w:bottom w:val="single" w:sz="12" w:space="0" w:color="auto"/>
              <w:right w:val="nil"/>
            </w:tcBorders>
            <w:shd w:val="clear" w:color="000000" w:fill="FFFFFF"/>
            <w:noWrap/>
            <w:vAlign w:val="bottom"/>
            <w:hideMark/>
          </w:tcPr>
          <w:p w14:paraId="56E40064"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-0.08</w:t>
            </w:r>
          </w:p>
        </w:tc>
        <w:tc>
          <w:tcPr>
            <w:tcW w:w="202" w:type="pct"/>
            <w:tcBorders>
              <w:top w:val="nil"/>
              <w:left w:val="nil"/>
              <w:bottom w:val="single" w:sz="12" w:space="0" w:color="auto"/>
              <w:right w:val="nil"/>
            </w:tcBorders>
            <w:shd w:val="clear" w:color="000000" w:fill="FFFFFF"/>
            <w:noWrap/>
            <w:vAlign w:val="bottom"/>
            <w:hideMark/>
          </w:tcPr>
          <w:p w14:paraId="03EFEE86"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-0.07</w:t>
            </w:r>
          </w:p>
        </w:tc>
        <w:tc>
          <w:tcPr>
            <w:tcW w:w="202" w:type="pct"/>
            <w:tcBorders>
              <w:top w:val="nil"/>
              <w:left w:val="nil"/>
              <w:bottom w:val="single" w:sz="12" w:space="0" w:color="auto"/>
              <w:right w:val="nil"/>
            </w:tcBorders>
            <w:shd w:val="clear" w:color="000000" w:fill="FFFFFF"/>
            <w:noWrap/>
            <w:vAlign w:val="bottom"/>
            <w:hideMark/>
          </w:tcPr>
          <w:p w14:paraId="269E3744"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-0.12</w:t>
            </w:r>
          </w:p>
        </w:tc>
        <w:tc>
          <w:tcPr>
            <w:tcW w:w="189" w:type="pct"/>
            <w:tcBorders>
              <w:top w:val="nil"/>
              <w:left w:val="nil"/>
              <w:bottom w:val="single" w:sz="12" w:space="0" w:color="auto"/>
              <w:right w:val="nil"/>
            </w:tcBorders>
            <w:shd w:val="clear" w:color="000000" w:fill="FFFFFF"/>
            <w:noWrap/>
            <w:vAlign w:val="bottom"/>
            <w:hideMark/>
          </w:tcPr>
          <w:p w14:paraId="1EBAE21A" w14:textId="77777777" w:rsidR="00504E59" w:rsidRPr="00CC79AD" w:rsidRDefault="00504E59" w:rsidP="00504E59">
            <w:pPr>
              <w:spacing w:after="0" w:line="480" w:lineRule="auto"/>
              <w:jc w:val="right"/>
              <w:rPr>
                <w:rFonts w:eastAsia="Times New Roman" w:cs="Arial"/>
                <w:color w:val="000000"/>
                <w:sz w:val="18"/>
                <w:szCs w:val="18"/>
                <w:lang w:eastAsia="en-GB"/>
              </w:rPr>
            </w:pPr>
            <w:r w:rsidRPr="00CC79AD">
              <w:rPr>
                <w:rFonts w:eastAsia="Times New Roman" w:cs="Arial"/>
                <w:color w:val="000000"/>
                <w:sz w:val="18"/>
                <w:szCs w:val="18"/>
                <w:lang w:eastAsia="en-GB"/>
              </w:rPr>
              <w:t>1.00</w:t>
            </w:r>
          </w:p>
        </w:tc>
        <w:tc>
          <w:tcPr>
            <w:tcW w:w="81" w:type="pct"/>
            <w:tcBorders>
              <w:top w:val="nil"/>
              <w:left w:val="nil"/>
              <w:bottom w:val="single" w:sz="12" w:space="0" w:color="auto"/>
              <w:right w:val="nil"/>
            </w:tcBorders>
            <w:shd w:val="clear" w:color="000000" w:fill="FFFFFF"/>
          </w:tcPr>
          <w:p w14:paraId="1C40B394" w14:textId="77777777" w:rsidR="00504E59" w:rsidRPr="008F778F" w:rsidRDefault="00504E59" w:rsidP="00504E59">
            <w:pPr>
              <w:spacing w:after="0" w:line="480" w:lineRule="auto"/>
              <w:jc w:val="right"/>
              <w:rPr>
                <w:rFonts w:eastAsia="Times New Roman" w:cs="Arial"/>
                <w:color w:val="000000"/>
                <w:sz w:val="18"/>
                <w:szCs w:val="18"/>
                <w:lang w:eastAsia="en-GB"/>
              </w:rPr>
            </w:pPr>
          </w:p>
        </w:tc>
        <w:tc>
          <w:tcPr>
            <w:tcW w:w="288" w:type="pct"/>
            <w:tcBorders>
              <w:top w:val="nil"/>
              <w:left w:val="nil"/>
              <w:bottom w:val="single" w:sz="12" w:space="0" w:color="auto"/>
              <w:right w:val="nil"/>
            </w:tcBorders>
            <w:shd w:val="clear" w:color="000000" w:fill="FFFFFF"/>
          </w:tcPr>
          <w:p w14:paraId="56ACD248" w14:textId="3802592E" w:rsidR="00504E59" w:rsidRPr="008F778F" w:rsidRDefault="00AC78A6" w:rsidP="00504E59">
            <w:pPr>
              <w:spacing w:after="0" w:line="480" w:lineRule="auto"/>
              <w:jc w:val="right"/>
              <w:rPr>
                <w:rFonts w:eastAsia="Times New Roman" w:cs="Arial"/>
                <w:color w:val="000000"/>
                <w:sz w:val="18"/>
                <w:szCs w:val="18"/>
                <w:lang w:eastAsia="en-GB"/>
              </w:rPr>
            </w:pPr>
            <w:r w:rsidRPr="008F778F">
              <w:rPr>
                <w:rFonts w:eastAsia="Times New Roman" w:cs="Arial"/>
                <w:color w:val="000000"/>
                <w:sz w:val="18"/>
                <w:szCs w:val="18"/>
                <w:lang w:eastAsia="en-GB"/>
              </w:rPr>
              <w:t>1802.4959***</w:t>
            </w:r>
          </w:p>
        </w:tc>
      </w:tr>
      <w:tr w:rsidR="00B339D8" w:rsidRPr="008F778F" w14:paraId="2AA8A1C5" w14:textId="77777777" w:rsidTr="00B339D8">
        <w:trPr>
          <w:trHeight w:val="240"/>
        </w:trPr>
        <w:tc>
          <w:tcPr>
            <w:tcW w:w="5000" w:type="pct"/>
            <w:gridSpan w:val="20"/>
            <w:tcBorders>
              <w:top w:val="nil"/>
              <w:left w:val="nil"/>
              <w:bottom w:val="single" w:sz="12" w:space="0" w:color="auto"/>
              <w:right w:val="nil"/>
            </w:tcBorders>
            <w:shd w:val="clear" w:color="000000" w:fill="FFFFFF"/>
            <w:noWrap/>
            <w:vAlign w:val="bottom"/>
          </w:tcPr>
          <w:p w14:paraId="1431494E" w14:textId="40F4C351" w:rsidR="00B339D8" w:rsidRPr="008F778F" w:rsidRDefault="00B339D8" w:rsidP="00B339D8">
            <w:pPr>
              <w:spacing w:after="0" w:line="480" w:lineRule="auto"/>
              <w:jc w:val="left"/>
              <w:rPr>
                <w:rFonts w:eastAsia="Times New Roman" w:cs="Arial"/>
                <w:color w:val="000000"/>
                <w:sz w:val="18"/>
                <w:szCs w:val="18"/>
                <w:lang w:eastAsia="en-GB"/>
              </w:rPr>
            </w:pPr>
            <w:r w:rsidRPr="008F778F">
              <w:rPr>
                <w:rFonts w:eastAsia="Times New Roman" w:cs="Arial"/>
                <w:color w:val="000000"/>
                <w:sz w:val="18"/>
                <w:szCs w:val="18"/>
                <w:lang w:eastAsia="en-GB"/>
              </w:rPr>
              <w:t>Notes</w:t>
            </w:r>
            <w:r w:rsidR="008D1E70" w:rsidRPr="008F778F">
              <w:rPr>
                <w:rFonts w:eastAsia="Times New Roman" w:cs="Arial"/>
                <w:color w:val="000000"/>
                <w:sz w:val="18"/>
                <w:szCs w:val="18"/>
                <w:lang w:eastAsia="en-GB"/>
              </w:rPr>
              <w:t>:</w:t>
            </w:r>
          </w:p>
          <w:p w14:paraId="0BC89FD7" w14:textId="7C599836" w:rsidR="00B339D8" w:rsidRPr="005E6EAD" w:rsidRDefault="00B339D8" w:rsidP="00B339D8">
            <w:pPr>
              <w:pStyle w:val="ListParagraph"/>
              <w:numPr>
                <w:ilvl w:val="0"/>
                <w:numId w:val="19"/>
              </w:numPr>
              <w:spacing w:after="0" w:line="480" w:lineRule="auto"/>
              <w:jc w:val="left"/>
              <w:rPr>
                <w:rFonts w:eastAsia="Times New Roman" w:cs="Arial"/>
                <w:color w:val="000000"/>
                <w:sz w:val="18"/>
                <w:szCs w:val="18"/>
                <w:lang w:eastAsia="en-GB"/>
              </w:rPr>
            </w:pPr>
          </w:p>
        </w:tc>
      </w:tr>
      <w:tr w:rsidR="00B339D8" w:rsidRPr="008F778F" w14:paraId="225DF4A3" w14:textId="77777777" w:rsidTr="00B339D8">
        <w:trPr>
          <w:trHeight w:val="250"/>
        </w:trPr>
        <w:tc>
          <w:tcPr>
            <w:tcW w:w="128" w:type="pct"/>
            <w:tcBorders>
              <w:top w:val="nil"/>
              <w:left w:val="nil"/>
              <w:bottom w:val="nil"/>
              <w:right w:val="nil"/>
            </w:tcBorders>
            <w:shd w:val="clear" w:color="000000" w:fill="FFFFFF"/>
            <w:noWrap/>
            <w:vAlign w:val="bottom"/>
          </w:tcPr>
          <w:p w14:paraId="7398FCA2"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931" w:type="pct"/>
            <w:tcBorders>
              <w:top w:val="nil"/>
              <w:left w:val="nil"/>
              <w:bottom w:val="nil"/>
              <w:right w:val="nil"/>
            </w:tcBorders>
            <w:shd w:val="clear" w:color="000000" w:fill="FFFFFF"/>
            <w:noWrap/>
            <w:vAlign w:val="bottom"/>
          </w:tcPr>
          <w:p w14:paraId="4F20CF9B"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50" w:type="pct"/>
            <w:tcBorders>
              <w:top w:val="nil"/>
              <w:left w:val="nil"/>
              <w:bottom w:val="nil"/>
              <w:right w:val="nil"/>
            </w:tcBorders>
            <w:shd w:val="clear" w:color="000000" w:fill="FFFFFF"/>
            <w:noWrap/>
            <w:vAlign w:val="bottom"/>
          </w:tcPr>
          <w:p w14:paraId="38C957C8"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358" w:type="pct"/>
            <w:tcBorders>
              <w:top w:val="nil"/>
              <w:left w:val="nil"/>
              <w:bottom w:val="nil"/>
              <w:right w:val="nil"/>
            </w:tcBorders>
            <w:shd w:val="clear" w:color="000000" w:fill="FFFFFF"/>
            <w:noWrap/>
            <w:vAlign w:val="bottom"/>
          </w:tcPr>
          <w:p w14:paraId="79CE4B6F"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42" w:type="pct"/>
            <w:tcBorders>
              <w:top w:val="nil"/>
              <w:left w:val="nil"/>
              <w:bottom w:val="nil"/>
              <w:right w:val="nil"/>
            </w:tcBorders>
            <w:shd w:val="clear" w:color="000000" w:fill="FFFFFF"/>
            <w:noWrap/>
            <w:vAlign w:val="bottom"/>
          </w:tcPr>
          <w:p w14:paraId="7A30DC5A"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20" w:type="pct"/>
            <w:tcBorders>
              <w:top w:val="nil"/>
              <w:left w:val="nil"/>
              <w:bottom w:val="nil"/>
              <w:right w:val="nil"/>
            </w:tcBorders>
            <w:shd w:val="clear" w:color="000000" w:fill="FFFFFF"/>
            <w:noWrap/>
            <w:vAlign w:val="bottom"/>
          </w:tcPr>
          <w:p w14:paraId="3F8272CA"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33" w:type="pct"/>
            <w:tcBorders>
              <w:top w:val="nil"/>
              <w:left w:val="nil"/>
              <w:bottom w:val="nil"/>
              <w:right w:val="nil"/>
            </w:tcBorders>
            <w:shd w:val="clear" w:color="000000" w:fill="FFFFFF"/>
            <w:noWrap/>
            <w:vAlign w:val="bottom"/>
          </w:tcPr>
          <w:p w14:paraId="0A7A803C"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02" w:type="pct"/>
            <w:tcBorders>
              <w:top w:val="nil"/>
              <w:left w:val="nil"/>
              <w:bottom w:val="nil"/>
              <w:right w:val="nil"/>
            </w:tcBorders>
            <w:shd w:val="clear" w:color="000000" w:fill="FFFFFF"/>
            <w:noWrap/>
            <w:vAlign w:val="bottom"/>
          </w:tcPr>
          <w:p w14:paraId="189630E7"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99" w:type="pct"/>
            <w:tcBorders>
              <w:top w:val="nil"/>
              <w:left w:val="nil"/>
              <w:bottom w:val="nil"/>
              <w:right w:val="nil"/>
            </w:tcBorders>
            <w:shd w:val="clear" w:color="000000" w:fill="FFFFFF"/>
            <w:noWrap/>
            <w:vAlign w:val="bottom"/>
          </w:tcPr>
          <w:p w14:paraId="54DEBCBF"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20" w:type="pct"/>
            <w:tcBorders>
              <w:top w:val="nil"/>
              <w:left w:val="nil"/>
              <w:bottom w:val="nil"/>
              <w:right w:val="nil"/>
            </w:tcBorders>
            <w:shd w:val="clear" w:color="000000" w:fill="FFFFFF"/>
            <w:noWrap/>
            <w:vAlign w:val="bottom"/>
          </w:tcPr>
          <w:p w14:paraId="7FFBD961"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53" w:type="pct"/>
            <w:tcBorders>
              <w:top w:val="nil"/>
              <w:left w:val="nil"/>
              <w:bottom w:val="nil"/>
              <w:right w:val="nil"/>
            </w:tcBorders>
            <w:shd w:val="clear" w:color="000000" w:fill="FFFFFF"/>
            <w:noWrap/>
            <w:vAlign w:val="bottom"/>
          </w:tcPr>
          <w:p w14:paraId="7BCF50F3"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93" w:type="pct"/>
            <w:tcBorders>
              <w:top w:val="nil"/>
              <w:left w:val="nil"/>
              <w:bottom w:val="nil"/>
              <w:right w:val="nil"/>
            </w:tcBorders>
            <w:shd w:val="clear" w:color="000000" w:fill="FFFFFF"/>
            <w:noWrap/>
            <w:vAlign w:val="bottom"/>
          </w:tcPr>
          <w:p w14:paraId="5B617E13"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02" w:type="pct"/>
            <w:tcBorders>
              <w:top w:val="nil"/>
              <w:left w:val="nil"/>
              <w:bottom w:val="nil"/>
              <w:right w:val="nil"/>
            </w:tcBorders>
            <w:shd w:val="clear" w:color="000000" w:fill="FFFFFF"/>
            <w:noWrap/>
            <w:vAlign w:val="bottom"/>
          </w:tcPr>
          <w:p w14:paraId="462E8C39"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02" w:type="pct"/>
            <w:tcBorders>
              <w:top w:val="nil"/>
              <w:left w:val="nil"/>
              <w:bottom w:val="nil"/>
              <w:right w:val="nil"/>
            </w:tcBorders>
            <w:shd w:val="clear" w:color="000000" w:fill="FFFFFF"/>
            <w:noWrap/>
            <w:vAlign w:val="bottom"/>
          </w:tcPr>
          <w:p w14:paraId="02C64113"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02" w:type="pct"/>
            <w:tcBorders>
              <w:top w:val="nil"/>
              <w:left w:val="nil"/>
              <w:bottom w:val="nil"/>
              <w:right w:val="nil"/>
            </w:tcBorders>
            <w:shd w:val="clear" w:color="000000" w:fill="FFFFFF"/>
            <w:noWrap/>
            <w:vAlign w:val="bottom"/>
          </w:tcPr>
          <w:p w14:paraId="0ABB2BA1"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02" w:type="pct"/>
            <w:tcBorders>
              <w:top w:val="nil"/>
              <w:left w:val="nil"/>
              <w:bottom w:val="nil"/>
              <w:right w:val="nil"/>
            </w:tcBorders>
            <w:shd w:val="clear" w:color="000000" w:fill="FFFFFF"/>
            <w:noWrap/>
            <w:vAlign w:val="bottom"/>
          </w:tcPr>
          <w:p w14:paraId="49857C08"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02" w:type="pct"/>
            <w:tcBorders>
              <w:top w:val="nil"/>
              <w:left w:val="nil"/>
              <w:bottom w:val="nil"/>
              <w:right w:val="nil"/>
            </w:tcBorders>
            <w:shd w:val="clear" w:color="000000" w:fill="FFFFFF"/>
            <w:noWrap/>
            <w:vAlign w:val="bottom"/>
          </w:tcPr>
          <w:p w14:paraId="20F426C0"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189" w:type="pct"/>
            <w:tcBorders>
              <w:top w:val="nil"/>
              <w:left w:val="nil"/>
              <w:bottom w:val="nil"/>
              <w:right w:val="nil"/>
            </w:tcBorders>
            <w:shd w:val="clear" w:color="000000" w:fill="FFFFFF"/>
            <w:noWrap/>
            <w:vAlign w:val="bottom"/>
          </w:tcPr>
          <w:p w14:paraId="517F54DD"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81" w:type="pct"/>
            <w:tcBorders>
              <w:top w:val="nil"/>
              <w:left w:val="nil"/>
              <w:bottom w:val="nil"/>
              <w:right w:val="nil"/>
            </w:tcBorders>
            <w:shd w:val="clear" w:color="000000" w:fill="FFFFFF"/>
          </w:tcPr>
          <w:p w14:paraId="1CE77635" w14:textId="77777777" w:rsidR="00504E59" w:rsidRPr="008F778F" w:rsidRDefault="00504E59" w:rsidP="00504E59">
            <w:pPr>
              <w:spacing w:after="0" w:line="480" w:lineRule="auto"/>
              <w:jc w:val="left"/>
              <w:rPr>
                <w:rFonts w:eastAsia="Times New Roman" w:cs="Arial"/>
                <w:color w:val="000000"/>
                <w:sz w:val="18"/>
                <w:szCs w:val="18"/>
                <w:lang w:eastAsia="en-GB"/>
              </w:rPr>
            </w:pPr>
          </w:p>
        </w:tc>
        <w:tc>
          <w:tcPr>
            <w:tcW w:w="288" w:type="pct"/>
            <w:tcBorders>
              <w:top w:val="nil"/>
              <w:left w:val="nil"/>
              <w:bottom w:val="nil"/>
              <w:right w:val="nil"/>
            </w:tcBorders>
            <w:shd w:val="clear" w:color="000000" w:fill="FFFFFF"/>
          </w:tcPr>
          <w:p w14:paraId="76AE9383" w14:textId="77777777" w:rsidR="00504E59" w:rsidRPr="008F778F" w:rsidRDefault="00504E59" w:rsidP="00504E59">
            <w:pPr>
              <w:spacing w:after="0" w:line="480" w:lineRule="auto"/>
              <w:jc w:val="left"/>
              <w:rPr>
                <w:rFonts w:eastAsia="Times New Roman" w:cs="Arial"/>
                <w:color w:val="000000"/>
                <w:sz w:val="18"/>
                <w:szCs w:val="18"/>
                <w:lang w:eastAsia="en-GB"/>
              </w:rPr>
            </w:pPr>
          </w:p>
        </w:tc>
      </w:tr>
    </w:tbl>
    <w:p w14:paraId="7886EA5E" w14:textId="6ADA1BCC" w:rsidR="004D328E" w:rsidRDefault="004D328E" w:rsidP="00CC79AD"/>
    <w:tbl>
      <w:tblPr>
        <w:tblW w:w="0" w:type="auto"/>
        <w:jc w:val="center"/>
        <w:tblLook w:val="04A0" w:firstRow="1" w:lastRow="0" w:firstColumn="1" w:lastColumn="0" w:noHBand="0" w:noVBand="1"/>
      </w:tblPr>
      <w:tblGrid>
        <w:gridCol w:w="642"/>
        <w:gridCol w:w="672"/>
        <w:gridCol w:w="620"/>
        <w:gridCol w:w="697"/>
        <w:gridCol w:w="636"/>
        <w:gridCol w:w="222"/>
        <w:gridCol w:w="222"/>
        <w:gridCol w:w="222"/>
        <w:gridCol w:w="770"/>
        <w:gridCol w:w="580"/>
        <w:gridCol w:w="725"/>
      </w:tblGrid>
      <w:tr w:rsidR="003B1467" w:rsidRPr="004D328E" w14:paraId="6F5CDAE7" w14:textId="77777777" w:rsidTr="00E325D9">
        <w:trPr>
          <w:trHeight w:val="480"/>
          <w:jc w:val="center"/>
        </w:trPr>
        <w:tc>
          <w:tcPr>
            <w:tcW w:w="3267" w:type="dxa"/>
            <w:gridSpan w:val="5"/>
            <w:tcBorders>
              <w:top w:val="single" w:sz="4" w:space="0" w:color="auto"/>
              <w:left w:val="nil"/>
              <w:bottom w:val="single" w:sz="4" w:space="0" w:color="auto"/>
              <w:right w:val="nil"/>
            </w:tcBorders>
            <w:shd w:val="clear" w:color="000000" w:fill="FFFFFF"/>
          </w:tcPr>
          <w:p w14:paraId="67895F3F" w14:textId="69B0F5C3" w:rsidR="003B1467" w:rsidRPr="004D328E" w:rsidRDefault="003B1467" w:rsidP="003B1467">
            <w:pPr>
              <w:spacing w:after="0" w:line="360" w:lineRule="auto"/>
              <w:jc w:val="left"/>
              <w:rPr>
                <w:rFonts w:eastAsia="Times New Roman" w:cs="Arial"/>
                <w:b/>
                <w:bCs/>
                <w:color w:val="002060"/>
                <w:sz w:val="18"/>
                <w:szCs w:val="18"/>
                <w:lang w:eastAsia="en-GB"/>
              </w:rPr>
            </w:pPr>
            <w:r>
              <w:rPr>
                <w:rFonts w:eastAsia="Times New Roman" w:cs="Arial"/>
                <w:b/>
                <w:bCs/>
                <w:color w:val="002060"/>
                <w:sz w:val="18"/>
                <w:szCs w:val="18"/>
                <w:lang w:eastAsia="en-GB"/>
              </w:rPr>
              <w:t>MFI</w:t>
            </w:r>
            <w:r w:rsidR="00AE7478">
              <w:rPr>
                <w:rFonts w:eastAsia="Times New Roman" w:cs="Arial"/>
                <w:b/>
                <w:bCs/>
                <w:color w:val="002060"/>
                <w:sz w:val="18"/>
                <w:szCs w:val="18"/>
                <w:lang w:eastAsia="en-GB"/>
              </w:rPr>
              <w:t xml:space="preserve"> Breakdown by</w:t>
            </w:r>
            <w:r>
              <w:rPr>
                <w:rFonts w:eastAsia="Times New Roman" w:cs="Arial"/>
                <w:b/>
                <w:bCs/>
                <w:color w:val="002060"/>
                <w:sz w:val="18"/>
                <w:szCs w:val="18"/>
                <w:lang w:eastAsia="en-GB"/>
              </w:rPr>
              <w:t xml:space="preserve"> Legal Status</w:t>
            </w:r>
          </w:p>
        </w:tc>
        <w:tc>
          <w:tcPr>
            <w:tcW w:w="0" w:type="auto"/>
            <w:tcBorders>
              <w:top w:val="single" w:sz="4" w:space="0" w:color="auto"/>
              <w:left w:val="nil"/>
              <w:bottom w:val="single" w:sz="4" w:space="0" w:color="auto"/>
              <w:right w:val="nil"/>
            </w:tcBorders>
            <w:shd w:val="clear" w:color="000000" w:fill="FFFFFF"/>
          </w:tcPr>
          <w:p w14:paraId="1C17DB11" w14:textId="77777777" w:rsidR="003B1467" w:rsidRPr="004D328E" w:rsidRDefault="003B1467" w:rsidP="003B1467">
            <w:pPr>
              <w:spacing w:after="0" w:line="360" w:lineRule="auto"/>
              <w:jc w:val="left"/>
              <w:rPr>
                <w:rFonts w:eastAsia="Times New Roman" w:cs="Arial"/>
                <w:b/>
                <w:bCs/>
                <w:color w:val="002060"/>
                <w:sz w:val="18"/>
                <w:szCs w:val="18"/>
                <w:lang w:eastAsia="en-GB"/>
              </w:rPr>
            </w:pPr>
          </w:p>
        </w:tc>
        <w:tc>
          <w:tcPr>
            <w:tcW w:w="0" w:type="auto"/>
            <w:tcBorders>
              <w:top w:val="single" w:sz="4" w:space="0" w:color="auto"/>
              <w:left w:val="nil"/>
              <w:bottom w:val="single" w:sz="4" w:space="0" w:color="auto"/>
              <w:right w:val="nil"/>
            </w:tcBorders>
            <w:shd w:val="clear" w:color="000000" w:fill="FFFFFF"/>
          </w:tcPr>
          <w:p w14:paraId="5A3BD339" w14:textId="77777777" w:rsidR="003B1467" w:rsidRPr="004D328E" w:rsidRDefault="003B1467" w:rsidP="003B1467">
            <w:pPr>
              <w:spacing w:after="0" w:line="360" w:lineRule="auto"/>
              <w:jc w:val="left"/>
              <w:rPr>
                <w:rFonts w:eastAsia="Times New Roman" w:cs="Arial"/>
                <w:b/>
                <w:bCs/>
                <w:color w:val="002060"/>
                <w:sz w:val="18"/>
                <w:szCs w:val="18"/>
                <w:lang w:eastAsia="en-GB"/>
              </w:rPr>
            </w:pPr>
          </w:p>
        </w:tc>
        <w:tc>
          <w:tcPr>
            <w:tcW w:w="0" w:type="auto"/>
            <w:tcBorders>
              <w:top w:val="single" w:sz="4" w:space="0" w:color="auto"/>
              <w:left w:val="nil"/>
              <w:bottom w:val="single" w:sz="4" w:space="0" w:color="auto"/>
              <w:right w:val="nil"/>
            </w:tcBorders>
            <w:shd w:val="clear" w:color="000000" w:fill="FFFFFF"/>
          </w:tcPr>
          <w:p w14:paraId="44230673" w14:textId="77777777" w:rsidR="003B1467" w:rsidRPr="004D328E" w:rsidRDefault="003B1467" w:rsidP="003B1467">
            <w:pPr>
              <w:spacing w:after="0" w:line="360" w:lineRule="auto"/>
              <w:jc w:val="left"/>
              <w:rPr>
                <w:rFonts w:eastAsia="Times New Roman" w:cs="Arial"/>
                <w:b/>
                <w:bCs/>
                <w:color w:val="002060"/>
                <w:sz w:val="18"/>
                <w:szCs w:val="18"/>
                <w:lang w:eastAsia="en-GB"/>
              </w:rPr>
            </w:pPr>
          </w:p>
        </w:tc>
        <w:tc>
          <w:tcPr>
            <w:tcW w:w="0" w:type="auto"/>
            <w:gridSpan w:val="3"/>
            <w:tcBorders>
              <w:top w:val="single" w:sz="4" w:space="0" w:color="auto"/>
              <w:left w:val="nil"/>
              <w:bottom w:val="single" w:sz="4" w:space="0" w:color="auto"/>
            </w:tcBorders>
            <w:shd w:val="clear" w:color="000000" w:fill="FFFFFF"/>
          </w:tcPr>
          <w:p w14:paraId="4000878C" w14:textId="3BF473B2" w:rsidR="003B1467" w:rsidRPr="004D328E" w:rsidRDefault="003B1467" w:rsidP="003B1467">
            <w:pPr>
              <w:jc w:val="left"/>
              <w:rPr>
                <w:rFonts w:eastAsia="Times New Roman" w:cs="Arial"/>
                <w:b/>
                <w:bCs/>
                <w:color w:val="002060"/>
                <w:sz w:val="18"/>
                <w:szCs w:val="18"/>
                <w:lang w:eastAsia="en-GB"/>
              </w:rPr>
            </w:pPr>
            <w:r>
              <w:rPr>
                <w:rFonts w:eastAsia="Times New Roman" w:cs="Arial"/>
                <w:b/>
                <w:bCs/>
                <w:color w:val="002060"/>
                <w:sz w:val="18"/>
                <w:szCs w:val="18"/>
                <w:lang w:eastAsia="en-GB"/>
              </w:rPr>
              <w:t xml:space="preserve">MFI </w:t>
            </w:r>
            <w:r w:rsidR="00AE7478">
              <w:rPr>
                <w:rFonts w:eastAsia="Times New Roman" w:cs="Arial"/>
                <w:b/>
                <w:bCs/>
                <w:color w:val="002060"/>
                <w:sz w:val="18"/>
                <w:szCs w:val="18"/>
                <w:lang w:eastAsia="en-GB"/>
              </w:rPr>
              <w:t xml:space="preserve">Breakdown by </w:t>
            </w:r>
            <w:r>
              <w:rPr>
                <w:rFonts w:eastAsia="Times New Roman" w:cs="Arial"/>
                <w:b/>
                <w:bCs/>
                <w:color w:val="002060"/>
                <w:sz w:val="18"/>
                <w:szCs w:val="18"/>
                <w:lang w:eastAsia="en-GB"/>
              </w:rPr>
              <w:t>Age</w:t>
            </w:r>
          </w:p>
        </w:tc>
      </w:tr>
      <w:tr w:rsidR="003B1467" w:rsidRPr="004D328E" w14:paraId="3CCCA202" w14:textId="46307BC5" w:rsidTr="00E325D9">
        <w:trPr>
          <w:trHeight w:val="480"/>
          <w:jc w:val="center"/>
        </w:trPr>
        <w:tc>
          <w:tcPr>
            <w:tcW w:w="0" w:type="auto"/>
            <w:tcBorders>
              <w:top w:val="single" w:sz="4" w:space="0" w:color="auto"/>
              <w:left w:val="nil"/>
              <w:bottom w:val="single" w:sz="4" w:space="0" w:color="auto"/>
              <w:right w:val="nil"/>
            </w:tcBorders>
            <w:shd w:val="clear" w:color="000000" w:fill="FFFFFF"/>
            <w:hideMark/>
          </w:tcPr>
          <w:p w14:paraId="5E0BD06F" w14:textId="77777777" w:rsidR="003B1467" w:rsidRPr="004D328E" w:rsidRDefault="003B1467" w:rsidP="003B1467">
            <w:pPr>
              <w:spacing w:after="0" w:line="360" w:lineRule="auto"/>
              <w:jc w:val="left"/>
              <w:rPr>
                <w:rFonts w:eastAsia="Times New Roman" w:cs="Arial"/>
                <w:b/>
                <w:bCs/>
                <w:color w:val="002060"/>
                <w:sz w:val="18"/>
                <w:szCs w:val="18"/>
                <w:lang w:eastAsia="en-GB"/>
              </w:rPr>
            </w:pPr>
            <w:r w:rsidRPr="004D328E">
              <w:rPr>
                <w:rFonts w:eastAsia="Times New Roman" w:cs="Arial"/>
                <w:b/>
                <w:bCs/>
                <w:color w:val="002060"/>
                <w:sz w:val="18"/>
                <w:szCs w:val="18"/>
                <w:lang w:eastAsia="en-GB"/>
              </w:rPr>
              <w:t>NGO</w:t>
            </w:r>
          </w:p>
        </w:tc>
        <w:tc>
          <w:tcPr>
            <w:tcW w:w="0" w:type="auto"/>
            <w:tcBorders>
              <w:top w:val="single" w:sz="4" w:space="0" w:color="auto"/>
              <w:left w:val="nil"/>
              <w:bottom w:val="single" w:sz="4" w:space="0" w:color="auto"/>
              <w:right w:val="nil"/>
            </w:tcBorders>
            <w:shd w:val="clear" w:color="000000" w:fill="FFFFFF"/>
            <w:hideMark/>
          </w:tcPr>
          <w:p w14:paraId="06481D67" w14:textId="77777777" w:rsidR="003B1467" w:rsidRPr="004D328E" w:rsidRDefault="003B1467" w:rsidP="003B1467">
            <w:pPr>
              <w:spacing w:after="0" w:line="360" w:lineRule="auto"/>
              <w:jc w:val="left"/>
              <w:rPr>
                <w:rFonts w:eastAsia="Times New Roman" w:cs="Arial"/>
                <w:b/>
                <w:bCs/>
                <w:color w:val="002060"/>
                <w:sz w:val="18"/>
                <w:szCs w:val="18"/>
                <w:lang w:eastAsia="en-GB"/>
              </w:rPr>
            </w:pPr>
            <w:r w:rsidRPr="004D328E">
              <w:rPr>
                <w:rFonts w:eastAsia="Times New Roman" w:cs="Arial"/>
                <w:b/>
                <w:bCs/>
                <w:color w:val="002060"/>
                <w:sz w:val="18"/>
                <w:szCs w:val="18"/>
                <w:lang w:eastAsia="en-GB"/>
              </w:rPr>
              <w:t>NBFI</w:t>
            </w:r>
          </w:p>
        </w:tc>
        <w:tc>
          <w:tcPr>
            <w:tcW w:w="620" w:type="dxa"/>
            <w:tcBorders>
              <w:top w:val="single" w:sz="4" w:space="0" w:color="auto"/>
              <w:left w:val="nil"/>
              <w:bottom w:val="single" w:sz="4" w:space="0" w:color="auto"/>
              <w:right w:val="nil"/>
            </w:tcBorders>
            <w:shd w:val="clear" w:color="000000" w:fill="FFFFFF"/>
            <w:hideMark/>
          </w:tcPr>
          <w:p w14:paraId="179C9B30" w14:textId="77777777" w:rsidR="003B1467" w:rsidRPr="004D328E" w:rsidRDefault="003B1467" w:rsidP="003B1467">
            <w:pPr>
              <w:spacing w:after="0" w:line="360" w:lineRule="auto"/>
              <w:jc w:val="left"/>
              <w:rPr>
                <w:rFonts w:eastAsia="Times New Roman" w:cs="Arial"/>
                <w:b/>
                <w:bCs/>
                <w:color w:val="002060"/>
                <w:sz w:val="18"/>
                <w:szCs w:val="18"/>
                <w:lang w:eastAsia="en-GB"/>
              </w:rPr>
            </w:pPr>
            <w:r w:rsidRPr="004D328E">
              <w:rPr>
                <w:rFonts w:eastAsia="Times New Roman" w:cs="Arial"/>
                <w:b/>
                <w:bCs/>
                <w:color w:val="002060"/>
                <w:sz w:val="18"/>
                <w:szCs w:val="18"/>
                <w:lang w:eastAsia="en-GB"/>
              </w:rPr>
              <w:t>Bank</w:t>
            </w:r>
          </w:p>
        </w:tc>
        <w:tc>
          <w:tcPr>
            <w:tcW w:w="697" w:type="dxa"/>
            <w:tcBorders>
              <w:top w:val="single" w:sz="4" w:space="0" w:color="auto"/>
              <w:left w:val="nil"/>
              <w:bottom w:val="single" w:sz="4" w:space="0" w:color="auto"/>
              <w:right w:val="nil"/>
            </w:tcBorders>
            <w:shd w:val="clear" w:color="000000" w:fill="FFFFFF"/>
            <w:hideMark/>
          </w:tcPr>
          <w:p w14:paraId="6DFA3EB3" w14:textId="77777777" w:rsidR="003B1467" w:rsidRPr="004D328E" w:rsidRDefault="003B1467" w:rsidP="003B1467">
            <w:pPr>
              <w:spacing w:after="0" w:line="360" w:lineRule="auto"/>
              <w:jc w:val="left"/>
              <w:rPr>
                <w:rFonts w:eastAsia="Times New Roman" w:cs="Arial"/>
                <w:b/>
                <w:bCs/>
                <w:color w:val="002060"/>
                <w:sz w:val="18"/>
                <w:szCs w:val="18"/>
                <w:lang w:eastAsia="en-GB"/>
              </w:rPr>
            </w:pPr>
            <w:r w:rsidRPr="004D328E">
              <w:rPr>
                <w:rFonts w:eastAsia="Times New Roman" w:cs="Arial"/>
                <w:b/>
                <w:bCs/>
                <w:color w:val="002060"/>
                <w:sz w:val="18"/>
                <w:szCs w:val="18"/>
                <w:lang w:eastAsia="en-GB"/>
              </w:rPr>
              <w:t xml:space="preserve">Credit </w:t>
            </w:r>
            <w:r w:rsidRPr="004D328E">
              <w:rPr>
                <w:rFonts w:eastAsia="Times New Roman" w:cs="Arial"/>
                <w:b/>
                <w:bCs/>
                <w:color w:val="002060"/>
                <w:sz w:val="18"/>
                <w:szCs w:val="18"/>
                <w:lang w:eastAsia="en-GB"/>
              </w:rPr>
              <w:br/>
              <w:t>Union</w:t>
            </w:r>
          </w:p>
        </w:tc>
        <w:tc>
          <w:tcPr>
            <w:tcW w:w="0" w:type="auto"/>
            <w:tcBorders>
              <w:top w:val="single" w:sz="4" w:space="0" w:color="auto"/>
              <w:left w:val="nil"/>
              <w:bottom w:val="single" w:sz="4" w:space="0" w:color="auto"/>
              <w:right w:val="nil"/>
            </w:tcBorders>
            <w:shd w:val="clear" w:color="000000" w:fill="FFFFFF"/>
            <w:hideMark/>
          </w:tcPr>
          <w:p w14:paraId="3444570F" w14:textId="77777777" w:rsidR="003B1467" w:rsidRPr="004D328E" w:rsidRDefault="003B1467" w:rsidP="003B1467">
            <w:pPr>
              <w:spacing w:after="0" w:line="360" w:lineRule="auto"/>
              <w:jc w:val="left"/>
              <w:rPr>
                <w:rFonts w:eastAsia="Times New Roman" w:cs="Arial"/>
                <w:b/>
                <w:bCs/>
                <w:color w:val="002060"/>
                <w:sz w:val="18"/>
                <w:szCs w:val="18"/>
                <w:lang w:eastAsia="en-GB"/>
              </w:rPr>
            </w:pPr>
            <w:r w:rsidRPr="004D328E">
              <w:rPr>
                <w:rFonts w:eastAsia="Times New Roman" w:cs="Arial"/>
                <w:b/>
                <w:bCs/>
                <w:color w:val="002060"/>
                <w:sz w:val="18"/>
                <w:szCs w:val="18"/>
                <w:lang w:eastAsia="en-GB"/>
              </w:rPr>
              <w:t xml:space="preserve">Rural </w:t>
            </w:r>
            <w:r w:rsidRPr="004D328E">
              <w:rPr>
                <w:rFonts w:eastAsia="Times New Roman" w:cs="Arial"/>
                <w:b/>
                <w:bCs/>
                <w:color w:val="002060"/>
                <w:sz w:val="18"/>
                <w:szCs w:val="18"/>
                <w:lang w:eastAsia="en-GB"/>
              </w:rPr>
              <w:br/>
              <w:t>Bank</w:t>
            </w:r>
          </w:p>
        </w:tc>
        <w:tc>
          <w:tcPr>
            <w:tcW w:w="0" w:type="auto"/>
            <w:tcBorders>
              <w:top w:val="single" w:sz="4" w:space="0" w:color="auto"/>
              <w:left w:val="nil"/>
              <w:bottom w:val="single" w:sz="4" w:space="0" w:color="auto"/>
              <w:right w:val="nil"/>
            </w:tcBorders>
            <w:shd w:val="clear" w:color="000000" w:fill="FFFFFF"/>
          </w:tcPr>
          <w:p w14:paraId="68B3699C" w14:textId="1716DAA8" w:rsidR="003B1467" w:rsidRPr="004D328E" w:rsidRDefault="003B1467" w:rsidP="003B1467">
            <w:pPr>
              <w:spacing w:after="0" w:line="360" w:lineRule="auto"/>
              <w:jc w:val="left"/>
              <w:rPr>
                <w:rFonts w:eastAsia="Times New Roman" w:cs="Arial"/>
                <w:b/>
                <w:bCs/>
                <w:color w:val="002060"/>
                <w:sz w:val="18"/>
                <w:szCs w:val="18"/>
                <w:lang w:eastAsia="en-GB"/>
              </w:rPr>
            </w:pPr>
          </w:p>
        </w:tc>
        <w:tc>
          <w:tcPr>
            <w:tcW w:w="0" w:type="auto"/>
            <w:tcBorders>
              <w:top w:val="single" w:sz="4" w:space="0" w:color="auto"/>
              <w:left w:val="nil"/>
              <w:bottom w:val="single" w:sz="4" w:space="0" w:color="auto"/>
              <w:right w:val="nil"/>
            </w:tcBorders>
            <w:shd w:val="clear" w:color="000000" w:fill="FFFFFF"/>
          </w:tcPr>
          <w:p w14:paraId="45E786B3" w14:textId="169617AC" w:rsidR="003B1467" w:rsidRPr="004D328E" w:rsidRDefault="003B1467" w:rsidP="003B1467">
            <w:pPr>
              <w:spacing w:after="0" w:line="360" w:lineRule="auto"/>
              <w:jc w:val="left"/>
              <w:rPr>
                <w:rFonts w:eastAsia="Times New Roman" w:cs="Arial"/>
                <w:b/>
                <w:bCs/>
                <w:color w:val="002060"/>
                <w:sz w:val="18"/>
                <w:szCs w:val="18"/>
                <w:lang w:eastAsia="en-GB"/>
              </w:rPr>
            </w:pPr>
          </w:p>
        </w:tc>
        <w:tc>
          <w:tcPr>
            <w:tcW w:w="0" w:type="auto"/>
            <w:tcBorders>
              <w:top w:val="single" w:sz="4" w:space="0" w:color="auto"/>
              <w:left w:val="nil"/>
              <w:bottom w:val="single" w:sz="4" w:space="0" w:color="auto"/>
              <w:right w:val="nil"/>
            </w:tcBorders>
            <w:shd w:val="clear" w:color="000000" w:fill="FFFFFF"/>
          </w:tcPr>
          <w:p w14:paraId="5E27529F" w14:textId="6B076AB8" w:rsidR="003B1467" w:rsidRPr="004D328E" w:rsidRDefault="003B1467" w:rsidP="003B1467">
            <w:pPr>
              <w:spacing w:after="0" w:line="360" w:lineRule="auto"/>
              <w:jc w:val="left"/>
              <w:rPr>
                <w:rFonts w:eastAsia="Times New Roman" w:cs="Arial"/>
                <w:b/>
                <w:bCs/>
                <w:color w:val="002060"/>
                <w:sz w:val="18"/>
                <w:szCs w:val="18"/>
                <w:lang w:eastAsia="en-GB"/>
              </w:rPr>
            </w:pPr>
          </w:p>
        </w:tc>
        <w:tc>
          <w:tcPr>
            <w:tcW w:w="0" w:type="auto"/>
            <w:tcBorders>
              <w:top w:val="single" w:sz="4" w:space="0" w:color="auto"/>
              <w:left w:val="nil"/>
              <w:bottom w:val="single" w:sz="4" w:space="0" w:color="auto"/>
              <w:right w:val="nil"/>
            </w:tcBorders>
            <w:shd w:val="clear" w:color="000000" w:fill="FFFFFF"/>
          </w:tcPr>
          <w:p w14:paraId="2599968C" w14:textId="31600AE9" w:rsidR="003B1467" w:rsidRPr="004D328E" w:rsidRDefault="003B1467" w:rsidP="003B1467">
            <w:pPr>
              <w:spacing w:after="0" w:line="360" w:lineRule="auto"/>
              <w:jc w:val="left"/>
              <w:rPr>
                <w:rFonts w:eastAsia="Times New Roman" w:cs="Arial"/>
                <w:b/>
                <w:bCs/>
                <w:color w:val="002060"/>
                <w:sz w:val="18"/>
                <w:szCs w:val="18"/>
                <w:lang w:eastAsia="en-GB"/>
              </w:rPr>
            </w:pPr>
            <w:r w:rsidRPr="004D328E">
              <w:rPr>
                <w:rFonts w:eastAsia="Times New Roman" w:cs="Arial"/>
                <w:b/>
                <w:bCs/>
                <w:color w:val="002060"/>
                <w:sz w:val="18"/>
                <w:szCs w:val="18"/>
                <w:lang w:eastAsia="en-GB"/>
              </w:rPr>
              <w:t>Mature</w:t>
            </w:r>
          </w:p>
        </w:tc>
        <w:tc>
          <w:tcPr>
            <w:tcW w:w="0" w:type="auto"/>
            <w:tcBorders>
              <w:top w:val="single" w:sz="4" w:space="0" w:color="auto"/>
              <w:bottom w:val="single" w:sz="4" w:space="0" w:color="auto"/>
            </w:tcBorders>
          </w:tcPr>
          <w:p w14:paraId="4D091500" w14:textId="4C8F558D" w:rsidR="003B1467" w:rsidRPr="004D328E" w:rsidRDefault="003B1467" w:rsidP="003B1467">
            <w:pPr>
              <w:jc w:val="left"/>
              <w:rPr>
                <w:rFonts w:eastAsia="Times New Roman" w:cs="Arial"/>
                <w:b/>
                <w:bCs/>
                <w:color w:val="002060"/>
                <w:sz w:val="18"/>
                <w:szCs w:val="18"/>
                <w:lang w:eastAsia="en-GB"/>
              </w:rPr>
            </w:pPr>
            <w:r w:rsidRPr="004D328E">
              <w:rPr>
                <w:rFonts w:eastAsia="Times New Roman" w:cs="Arial"/>
                <w:b/>
                <w:bCs/>
                <w:color w:val="002060"/>
                <w:sz w:val="18"/>
                <w:szCs w:val="18"/>
                <w:lang w:eastAsia="en-GB"/>
              </w:rPr>
              <w:t>New</w:t>
            </w:r>
          </w:p>
        </w:tc>
        <w:tc>
          <w:tcPr>
            <w:tcW w:w="0" w:type="auto"/>
            <w:tcBorders>
              <w:top w:val="single" w:sz="4" w:space="0" w:color="auto"/>
              <w:bottom w:val="single" w:sz="4" w:space="0" w:color="auto"/>
            </w:tcBorders>
          </w:tcPr>
          <w:p w14:paraId="70777212" w14:textId="31D1D1F3" w:rsidR="003B1467" w:rsidRPr="004D328E" w:rsidRDefault="003B1467" w:rsidP="003B1467">
            <w:pPr>
              <w:jc w:val="left"/>
              <w:rPr>
                <w:rFonts w:eastAsia="Times New Roman" w:cs="Arial"/>
                <w:b/>
                <w:bCs/>
                <w:color w:val="002060"/>
                <w:sz w:val="18"/>
                <w:szCs w:val="18"/>
                <w:lang w:eastAsia="en-GB"/>
              </w:rPr>
            </w:pPr>
            <w:r w:rsidRPr="004D328E">
              <w:rPr>
                <w:rFonts w:eastAsia="Times New Roman" w:cs="Arial"/>
                <w:b/>
                <w:bCs/>
                <w:color w:val="002060"/>
                <w:sz w:val="18"/>
                <w:szCs w:val="18"/>
                <w:lang w:eastAsia="en-GB"/>
              </w:rPr>
              <w:t>Young</w:t>
            </w:r>
          </w:p>
        </w:tc>
      </w:tr>
      <w:tr w:rsidR="003B1467" w:rsidRPr="004D328E" w14:paraId="40F79DEF" w14:textId="597014F1" w:rsidTr="00E325D9">
        <w:trPr>
          <w:trHeight w:val="240"/>
          <w:jc w:val="center"/>
        </w:trPr>
        <w:tc>
          <w:tcPr>
            <w:tcW w:w="0" w:type="auto"/>
            <w:tcBorders>
              <w:top w:val="single" w:sz="4" w:space="0" w:color="auto"/>
              <w:left w:val="nil"/>
              <w:bottom w:val="single" w:sz="4" w:space="0" w:color="auto"/>
              <w:right w:val="nil"/>
            </w:tcBorders>
            <w:shd w:val="clear" w:color="000000" w:fill="FFFFFF"/>
            <w:noWrap/>
            <w:vAlign w:val="bottom"/>
            <w:hideMark/>
          </w:tcPr>
          <w:p w14:paraId="116FEC1D" w14:textId="77777777" w:rsidR="003B1467" w:rsidRPr="004D328E" w:rsidRDefault="003B1467" w:rsidP="003B1467">
            <w:pPr>
              <w:spacing w:after="0" w:line="360" w:lineRule="auto"/>
              <w:jc w:val="left"/>
              <w:rPr>
                <w:rFonts w:eastAsia="Times New Roman" w:cs="Arial"/>
                <w:color w:val="000000"/>
                <w:sz w:val="18"/>
                <w:szCs w:val="18"/>
                <w:lang w:eastAsia="en-GB"/>
              </w:rPr>
            </w:pPr>
            <w:r w:rsidRPr="004D328E">
              <w:rPr>
                <w:rFonts w:eastAsia="Times New Roman" w:cs="Arial"/>
                <w:color w:val="000000"/>
                <w:sz w:val="18"/>
                <w:szCs w:val="18"/>
                <w:lang w:eastAsia="en-GB"/>
              </w:rPr>
              <w:t>619</w:t>
            </w:r>
          </w:p>
        </w:tc>
        <w:tc>
          <w:tcPr>
            <w:tcW w:w="0" w:type="auto"/>
            <w:tcBorders>
              <w:top w:val="single" w:sz="4" w:space="0" w:color="auto"/>
              <w:left w:val="nil"/>
              <w:bottom w:val="single" w:sz="4" w:space="0" w:color="auto"/>
              <w:right w:val="nil"/>
            </w:tcBorders>
            <w:shd w:val="clear" w:color="000000" w:fill="FFFFFF"/>
            <w:noWrap/>
            <w:vAlign w:val="bottom"/>
            <w:hideMark/>
          </w:tcPr>
          <w:p w14:paraId="0DC1CFA8" w14:textId="77777777" w:rsidR="003B1467" w:rsidRPr="004D328E" w:rsidRDefault="003B1467" w:rsidP="003B1467">
            <w:pPr>
              <w:spacing w:after="0" w:line="360" w:lineRule="auto"/>
              <w:jc w:val="left"/>
              <w:rPr>
                <w:rFonts w:eastAsia="Times New Roman" w:cs="Arial"/>
                <w:color w:val="000000"/>
                <w:sz w:val="18"/>
                <w:szCs w:val="18"/>
                <w:lang w:eastAsia="en-GB"/>
              </w:rPr>
            </w:pPr>
            <w:r w:rsidRPr="004D328E">
              <w:rPr>
                <w:rFonts w:eastAsia="Times New Roman" w:cs="Arial"/>
                <w:color w:val="000000"/>
                <w:sz w:val="18"/>
                <w:szCs w:val="18"/>
                <w:lang w:eastAsia="en-GB"/>
              </w:rPr>
              <w:t>1318</w:t>
            </w:r>
          </w:p>
        </w:tc>
        <w:tc>
          <w:tcPr>
            <w:tcW w:w="620" w:type="dxa"/>
            <w:tcBorders>
              <w:top w:val="single" w:sz="4" w:space="0" w:color="auto"/>
              <w:left w:val="nil"/>
              <w:bottom w:val="single" w:sz="4" w:space="0" w:color="auto"/>
              <w:right w:val="nil"/>
            </w:tcBorders>
            <w:shd w:val="clear" w:color="000000" w:fill="FFFFFF"/>
            <w:noWrap/>
            <w:vAlign w:val="bottom"/>
            <w:hideMark/>
          </w:tcPr>
          <w:p w14:paraId="5F481F92" w14:textId="77777777" w:rsidR="003B1467" w:rsidRPr="004D328E" w:rsidRDefault="003B1467" w:rsidP="003B1467">
            <w:pPr>
              <w:spacing w:after="0" w:line="360" w:lineRule="auto"/>
              <w:jc w:val="left"/>
              <w:rPr>
                <w:rFonts w:eastAsia="Times New Roman" w:cs="Arial"/>
                <w:color w:val="000000"/>
                <w:sz w:val="18"/>
                <w:szCs w:val="18"/>
                <w:lang w:eastAsia="en-GB"/>
              </w:rPr>
            </w:pPr>
            <w:r w:rsidRPr="004D328E">
              <w:rPr>
                <w:rFonts w:eastAsia="Times New Roman" w:cs="Arial"/>
                <w:color w:val="000000"/>
                <w:sz w:val="18"/>
                <w:szCs w:val="18"/>
                <w:lang w:eastAsia="en-GB"/>
              </w:rPr>
              <w:t>1280</w:t>
            </w:r>
          </w:p>
        </w:tc>
        <w:tc>
          <w:tcPr>
            <w:tcW w:w="697" w:type="dxa"/>
            <w:tcBorders>
              <w:top w:val="single" w:sz="4" w:space="0" w:color="auto"/>
              <w:left w:val="nil"/>
              <w:bottom w:val="single" w:sz="4" w:space="0" w:color="auto"/>
              <w:right w:val="nil"/>
            </w:tcBorders>
            <w:shd w:val="clear" w:color="000000" w:fill="FFFFFF"/>
            <w:noWrap/>
            <w:vAlign w:val="bottom"/>
            <w:hideMark/>
          </w:tcPr>
          <w:p w14:paraId="6CEFFF13" w14:textId="77777777" w:rsidR="003B1467" w:rsidRPr="004D328E" w:rsidRDefault="003B1467" w:rsidP="003B1467">
            <w:pPr>
              <w:spacing w:after="0" w:line="360" w:lineRule="auto"/>
              <w:jc w:val="left"/>
              <w:rPr>
                <w:rFonts w:eastAsia="Times New Roman" w:cs="Arial"/>
                <w:color w:val="000000"/>
                <w:sz w:val="18"/>
                <w:szCs w:val="18"/>
                <w:lang w:eastAsia="en-GB"/>
              </w:rPr>
            </w:pPr>
            <w:r w:rsidRPr="004D328E">
              <w:rPr>
                <w:rFonts w:eastAsia="Times New Roman" w:cs="Arial"/>
                <w:color w:val="000000"/>
                <w:sz w:val="18"/>
                <w:szCs w:val="18"/>
                <w:lang w:eastAsia="en-GB"/>
              </w:rPr>
              <w:t>1427</w:t>
            </w:r>
          </w:p>
        </w:tc>
        <w:tc>
          <w:tcPr>
            <w:tcW w:w="0" w:type="auto"/>
            <w:tcBorders>
              <w:top w:val="single" w:sz="4" w:space="0" w:color="auto"/>
              <w:left w:val="nil"/>
              <w:bottom w:val="single" w:sz="4" w:space="0" w:color="auto"/>
              <w:right w:val="nil"/>
            </w:tcBorders>
            <w:shd w:val="clear" w:color="000000" w:fill="FFFFFF"/>
            <w:noWrap/>
            <w:vAlign w:val="bottom"/>
            <w:hideMark/>
          </w:tcPr>
          <w:p w14:paraId="4E197057" w14:textId="77777777" w:rsidR="003B1467" w:rsidRPr="004D328E" w:rsidRDefault="003B1467" w:rsidP="003B1467">
            <w:pPr>
              <w:spacing w:after="0" w:line="360" w:lineRule="auto"/>
              <w:jc w:val="left"/>
              <w:rPr>
                <w:rFonts w:eastAsia="Times New Roman" w:cs="Arial"/>
                <w:color w:val="000000"/>
                <w:sz w:val="18"/>
                <w:szCs w:val="18"/>
                <w:lang w:eastAsia="en-GB"/>
              </w:rPr>
            </w:pPr>
            <w:r w:rsidRPr="004D328E">
              <w:rPr>
                <w:rFonts w:eastAsia="Times New Roman" w:cs="Arial"/>
                <w:color w:val="000000"/>
                <w:sz w:val="18"/>
                <w:szCs w:val="18"/>
                <w:lang w:eastAsia="en-GB"/>
              </w:rPr>
              <w:t>138</w:t>
            </w:r>
          </w:p>
        </w:tc>
        <w:tc>
          <w:tcPr>
            <w:tcW w:w="0" w:type="auto"/>
            <w:tcBorders>
              <w:top w:val="single" w:sz="4" w:space="0" w:color="auto"/>
              <w:left w:val="nil"/>
              <w:bottom w:val="single" w:sz="4" w:space="0" w:color="auto"/>
              <w:right w:val="nil"/>
            </w:tcBorders>
            <w:shd w:val="clear" w:color="000000" w:fill="FFFFFF"/>
            <w:vAlign w:val="bottom"/>
          </w:tcPr>
          <w:p w14:paraId="4E1EFBA2" w14:textId="296963D1" w:rsidR="003B1467" w:rsidRPr="004D328E" w:rsidRDefault="003B1467" w:rsidP="003B1467">
            <w:pPr>
              <w:spacing w:after="0" w:line="360" w:lineRule="auto"/>
              <w:jc w:val="left"/>
              <w:rPr>
                <w:rFonts w:eastAsia="Times New Roman" w:cs="Arial"/>
                <w:color w:val="000000"/>
                <w:sz w:val="18"/>
                <w:szCs w:val="18"/>
                <w:lang w:eastAsia="en-GB"/>
              </w:rPr>
            </w:pPr>
          </w:p>
        </w:tc>
        <w:tc>
          <w:tcPr>
            <w:tcW w:w="0" w:type="auto"/>
            <w:tcBorders>
              <w:top w:val="single" w:sz="4" w:space="0" w:color="auto"/>
              <w:left w:val="nil"/>
              <w:bottom w:val="single" w:sz="4" w:space="0" w:color="auto"/>
              <w:right w:val="nil"/>
            </w:tcBorders>
            <w:shd w:val="clear" w:color="000000" w:fill="FFFFFF"/>
            <w:vAlign w:val="bottom"/>
          </w:tcPr>
          <w:p w14:paraId="15A8455A" w14:textId="406CCFB7" w:rsidR="003B1467" w:rsidRPr="004D328E" w:rsidRDefault="003B1467" w:rsidP="003B1467">
            <w:pPr>
              <w:spacing w:after="0" w:line="360" w:lineRule="auto"/>
              <w:jc w:val="left"/>
              <w:rPr>
                <w:rFonts w:eastAsia="Times New Roman" w:cs="Arial"/>
                <w:color w:val="000000"/>
                <w:sz w:val="18"/>
                <w:szCs w:val="18"/>
                <w:lang w:eastAsia="en-GB"/>
              </w:rPr>
            </w:pPr>
          </w:p>
        </w:tc>
        <w:tc>
          <w:tcPr>
            <w:tcW w:w="0" w:type="auto"/>
            <w:tcBorders>
              <w:top w:val="single" w:sz="4" w:space="0" w:color="auto"/>
              <w:left w:val="nil"/>
              <w:bottom w:val="single" w:sz="4" w:space="0" w:color="auto"/>
              <w:right w:val="nil"/>
            </w:tcBorders>
            <w:shd w:val="clear" w:color="000000" w:fill="FFFFFF"/>
            <w:vAlign w:val="bottom"/>
          </w:tcPr>
          <w:p w14:paraId="73795CD1" w14:textId="62CF2935" w:rsidR="003B1467" w:rsidRPr="004D328E" w:rsidRDefault="003B1467" w:rsidP="003B1467">
            <w:pPr>
              <w:spacing w:after="0" w:line="360" w:lineRule="auto"/>
              <w:jc w:val="left"/>
              <w:rPr>
                <w:rFonts w:eastAsia="Times New Roman" w:cs="Arial"/>
                <w:color w:val="000000"/>
                <w:sz w:val="18"/>
                <w:szCs w:val="18"/>
                <w:lang w:eastAsia="en-GB"/>
              </w:rPr>
            </w:pPr>
          </w:p>
        </w:tc>
        <w:tc>
          <w:tcPr>
            <w:tcW w:w="0" w:type="auto"/>
            <w:tcBorders>
              <w:top w:val="single" w:sz="4" w:space="0" w:color="auto"/>
              <w:left w:val="nil"/>
              <w:bottom w:val="single" w:sz="4" w:space="0" w:color="auto"/>
              <w:right w:val="nil"/>
            </w:tcBorders>
            <w:shd w:val="clear" w:color="000000" w:fill="FFFFFF"/>
            <w:vAlign w:val="bottom"/>
          </w:tcPr>
          <w:p w14:paraId="11EAB6F0" w14:textId="4761D4F2" w:rsidR="003B1467" w:rsidRPr="004D328E" w:rsidRDefault="003B1467" w:rsidP="003B1467">
            <w:pPr>
              <w:spacing w:after="0" w:line="360" w:lineRule="auto"/>
              <w:jc w:val="left"/>
              <w:rPr>
                <w:rFonts w:eastAsia="Times New Roman" w:cs="Arial"/>
                <w:color w:val="000000"/>
                <w:sz w:val="18"/>
                <w:szCs w:val="18"/>
                <w:lang w:eastAsia="en-GB"/>
              </w:rPr>
            </w:pPr>
            <w:r w:rsidRPr="004D328E">
              <w:rPr>
                <w:rFonts w:eastAsia="Times New Roman" w:cs="Arial"/>
                <w:color w:val="000000"/>
                <w:sz w:val="18"/>
                <w:szCs w:val="18"/>
                <w:lang w:eastAsia="en-GB"/>
              </w:rPr>
              <w:t>2558</w:t>
            </w:r>
          </w:p>
        </w:tc>
        <w:tc>
          <w:tcPr>
            <w:tcW w:w="0" w:type="auto"/>
            <w:tcBorders>
              <w:top w:val="single" w:sz="4" w:space="0" w:color="auto"/>
              <w:bottom w:val="single" w:sz="4" w:space="0" w:color="auto"/>
            </w:tcBorders>
            <w:vAlign w:val="bottom"/>
          </w:tcPr>
          <w:p w14:paraId="3BE04E33" w14:textId="0F332773" w:rsidR="003B1467" w:rsidRPr="004D328E" w:rsidRDefault="003B1467" w:rsidP="003B1467">
            <w:pPr>
              <w:jc w:val="left"/>
              <w:rPr>
                <w:rFonts w:eastAsia="Times New Roman" w:cs="Times New Roman"/>
                <w:sz w:val="20"/>
                <w:szCs w:val="20"/>
                <w:lang w:eastAsia="en-GB"/>
              </w:rPr>
            </w:pPr>
            <w:r w:rsidRPr="004D328E">
              <w:rPr>
                <w:rFonts w:eastAsia="Times New Roman" w:cs="Arial"/>
                <w:color w:val="000000"/>
                <w:sz w:val="18"/>
                <w:szCs w:val="18"/>
                <w:lang w:eastAsia="en-GB"/>
              </w:rPr>
              <w:t>1200</w:t>
            </w:r>
          </w:p>
        </w:tc>
        <w:tc>
          <w:tcPr>
            <w:tcW w:w="0" w:type="auto"/>
            <w:tcBorders>
              <w:top w:val="single" w:sz="4" w:space="0" w:color="auto"/>
              <w:bottom w:val="single" w:sz="4" w:space="0" w:color="auto"/>
            </w:tcBorders>
            <w:vAlign w:val="bottom"/>
          </w:tcPr>
          <w:p w14:paraId="2724BC8A" w14:textId="387D30F5" w:rsidR="003B1467" w:rsidRPr="004D328E" w:rsidRDefault="003B1467" w:rsidP="003B1467">
            <w:pPr>
              <w:jc w:val="left"/>
              <w:rPr>
                <w:rFonts w:eastAsia="Times New Roman" w:cs="Times New Roman"/>
                <w:sz w:val="20"/>
                <w:szCs w:val="20"/>
                <w:lang w:eastAsia="en-GB"/>
              </w:rPr>
            </w:pPr>
            <w:r w:rsidRPr="004D328E">
              <w:rPr>
                <w:rFonts w:eastAsia="Times New Roman" w:cs="Arial"/>
                <w:color w:val="000000"/>
                <w:sz w:val="18"/>
                <w:szCs w:val="18"/>
                <w:lang w:eastAsia="en-GB"/>
              </w:rPr>
              <w:t>1025</w:t>
            </w:r>
          </w:p>
        </w:tc>
      </w:tr>
    </w:tbl>
    <w:p w14:paraId="4C69407E" w14:textId="77777777" w:rsidR="004D328E" w:rsidRPr="00CC79AD" w:rsidRDefault="004D328E" w:rsidP="00CC79AD"/>
    <w:p w14:paraId="050E49B2" w14:textId="2176EBBB" w:rsidR="001F0626" w:rsidRDefault="00A11860" w:rsidP="00F35C59">
      <w:pPr>
        <w:spacing w:line="360" w:lineRule="auto"/>
        <w:rPr>
          <w:rFonts w:ascii="Maiandra GD" w:hAnsi="Maiandra GD"/>
          <w:b/>
        </w:rPr>
        <w:sectPr w:rsidR="001F0626" w:rsidSect="008C5385">
          <w:headerReference w:type="even" r:id="rId19"/>
          <w:headerReference w:type="default" r:id="rId20"/>
          <w:footerReference w:type="even" r:id="rId21"/>
          <w:footerReference w:type="default" r:id="rId22"/>
          <w:headerReference w:type="first" r:id="rId23"/>
          <w:footerReference w:type="first" r:id="rId24"/>
          <w:pgSz w:w="16838" w:h="11906" w:orient="landscape" w:code="9"/>
          <w:pgMar w:top="1440" w:right="1440" w:bottom="1440" w:left="1440" w:header="720" w:footer="720" w:gutter="0"/>
          <w:cols w:space="720"/>
          <w:docGrid w:linePitch="360"/>
        </w:sectPr>
      </w:pPr>
      <w:r>
        <w:rPr>
          <w:rFonts w:ascii="Maiandra GD" w:hAnsi="Maiandra GD"/>
          <w:b/>
        </w:rPr>
        <w:t>Source: Authors</w:t>
      </w:r>
      <w:r w:rsidR="00920F60">
        <w:rPr>
          <w:rFonts w:ascii="Maiandra GD" w:hAnsi="Maiandra GD"/>
          <w:b/>
        </w:rPr>
        <w:t>'</w:t>
      </w:r>
      <w:r>
        <w:rPr>
          <w:rFonts w:ascii="Maiandra GD" w:hAnsi="Maiandra GD"/>
          <w:b/>
        </w:rPr>
        <w:t xml:space="preserve"> Construction</w:t>
      </w:r>
    </w:p>
    <w:p w14:paraId="4D1B2761" w14:textId="77777777" w:rsidR="001F2ACA" w:rsidRPr="00E515F4" w:rsidRDefault="001F2ACA" w:rsidP="001F2ACA">
      <w:pPr>
        <w:widowControl w:val="0"/>
        <w:autoSpaceDE w:val="0"/>
        <w:autoSpaceDN w:val="0"/>
        <w:adjustRightInd w:val="0"/>
        <w:spacing w:after="0" w:line="276" w:lineRule="auto"/>
        <w:rPr>
          <w:rFonts w:cs="Times New Roman"/>
          <w:b/>
          <w:szCs w:val="24"/>
          <w:lang w:val="en-US"/>
        </w:rPr>
      </w:pPr>
      <w:r w:rsidRPr="00E515F4">
        <w:rPr>
          <w:rFonts w:cs="Times New Roman"/>
          <w:b/>
          <w:szCs w:val="24"/>
          <w:lang w:val="en-US"/>
        </w:rPr>
        <w:lastRenderedPageBreak/>
        <w:t>Notes:</w:t>
      </w:r>
    </w:p>
    <w:p w14:paraId="25C29413" w14:textId="24D551DE" w:rsidR="001F2ACA" w:rsidRDefault="001F2ACA" w:rsidP="001F2ACA">
      <w:pPr>
        <w:pStyle w:val="ListParagraph"/>
        <w:widowControl w:val="0"/>
        <w:numPr>
          <w:ilvl w:val="0"/>
          <w:numId w:val="8"/>
        </w:numPr>
        <w:autoSpaceDE w:val="0"/>
        <w:autoSpaceDN w:val="0"/>
        <w:adjustRightInd w:val="0"/>
        <w:spacing w:after="0" w:line="276" w:lineRule="auto"/>
        <w:rPr>
          <w:rFonts w:cs="Times New Roman"/>
          <w:szCs w:val="24"/>
          <w:lang w:val="en-US"/>
        </w:rPr>
      </w:pPr>
      <w:r w:rsidRPr="001F649C">
        <w:rPr>
          <w:rFonts w:cs="Times New Roman"/>
          <w:szCs w:val="24"/>
          <w:lang w:val="en-US"/>
        </w:rPr>
        <w:t xml:space="preserve">There is </w:t>
      </w:r>
      <w:r>
        <w:rPr>
          <w:rFonts w:cs="Times New Roman"/>
          <w:szCs w:val="24"/>
          <w:lang w:val="en-US"/>
        </w:rPr>
        <w:t xml:space="preserve">a </w:t>
      </w:r>
      <w:r w:rsidRPr="001F649C">
        <w:rPr>
          <w:rFonts w:cs="Times New Roman"/>
          <w:szCs w:val="24"/>
          <w:lang w:val="en-US"/>
        </w:rPr>
        <w:t xml:space="preserve">high correlation </w:t>
      </w:r>
      <w:r w:rsidR="000C1A85" w:rsidRPr="001F649C">
        <w:rPr>
          <w:rFonts w:cs="Times New Roman"/>
          <w:szCs w:val="24"/>
          <w:lang w:val="en-US"/>
        </w:rPr>
        <w:t>between</w:t>
      </w:r>
      <w:r w:rsidR="000C1A85">
        <w:rPr>
          <w:rFonts w:cs="Times New Roman"/>
          <w:szCs w:val="24"/>
          <w:lang w:val="en-US"/>
        </w:rPr>
        <w:t>.</w:t>
      </w:r>
    </w:p>
    <w:p w14:paraId="34B75C98" w14:textId="77777777" w:rsidR="001F2ACA" w:rsidRDefault="001F2ACA" w:rsidP="001F2ACA">
      <w:pPr>
        <w:pStyle w:val="ListParagraph"/>
        <w:widowControl w:val="0"/>
        <w:numPr>
          <w:ilvl w:val="0"/>
          <w:numId w:val="9"/>
        </w:numPr>
        <w:autoSpaceDE w:val="0"/>
        <w:autoSpaceDN w:val="0"/>
        <w:adjustRightInd w:val="0"/>
        <w:spacing w:after="0" w:line="276" w:lineRule="auto"/>
        <w:rPr>
          <w:rFonts w:cs="Times New Roman"/>
          <w:szCs w:val="24"/>
          <w:lang w:val="en-US"/>
        </w:rPr>
      </w:pPr>
      <w:r>
        <w:rPr>
          <w:rFonts w:cs="Times New Roman"/>
          <w:szCs w:val="24"/>
          <w:lang w:val="en-US"/>
        </w:rPr>
        <w:t>Size of MFI and age- with the older MFIs having more assets than the relatively young ones.</w:t>
      </w:r>
    </w:p>
    <w:p w14:paraId="7967F5D4" w14:textId="77777777" w:rsidR="001F2ACA" w:rsidRDefault="001F2ACA" w:rsidP="001F2ACA">
      <w:pPr>
        <w:pStyle w:val="ListParagraph"/>
        <w:widowControl w:val="0"/>
        <w:numPr>
          <w:ilvl w:val="0"/>
          <w:numId w:val="9"/>
        </w:numPr>
        <w:autoSpaceDE w:val="0"/>
        <w:autoSpaceDN w:val="0"/>
        <w:adjustRightInd w:val="0"/>
        <w:spacing w:after="0" w:line="276" w:lineRule="auto"/>
        <w:rPr>
          <w:rFonts w:cs="Times New Roman"/>
          <w:szCs w:val="24"/>
          <w:lang w:val="en-US"/>
        </w:rPr>
      </w:pPr>
      <w:r>
        <w:rPr>
          <w:rFonts w:cs="Times New Roman"/>
          <w:szCs w:val="24"/>
          <w:lang w:val="en-US"/>
        </w:rPr>
        <w:t>Legal tradition and region are correlated, with legal traditions clustered in regions. For instance, most of Eastern and Southern Africa follows common law with some exceptions of, among others, Madagascar, Mozambique, Ethiopia, and Rwanda. Likewise, West Africa is predominantly of civil law tradition- with notable exceptions like Nigeria, and Ghana.</w:t>
      </w:r>
    </w:p>
    <w:p w14:paraId="244EB237" w14:textId="77777777" w:rsidR="001F2ACA" w:rsidRDefault="001F2ACA" w:rsidP="001F2ACA">
      <w:pPr>
        <w:pStyle w:val="ListParagraph"/>
        <w:widowControl w:val="0"/>
        <w:numPr>
          <w:ilvl w:val="0"/>
          <w:numId w:val="8"/>
        </w:numPr>
        <w:autoSpaceDE w:val="0"/>
        <w:autoSpaceDN w:val="0"/>
        <w:adjustRightInd w:val="0"/>
        <w:spacing w:after="0" w:line="276" w:lineRule="auto"/>
        <w:rPr>
          <w:rFonts w:cs="Times New Roman"/>
          <w:szCs w:val="24"/>
          <w:lang w:val="en-US"/>
        </w:rPr>
      </w:pPr>
      <w:r>
        <w:rPr>
          <w:rFonts w:cs="Times New Roman"/>
          <w:szCs w:val="24"/>
          <w:lang w:val="en-US"/>
        </w:rPr>
        <w:t xml:space="preserve">We run a pooled logit/probit. The resultant variance inflation factors mean that multi-collinearity is not a significant problem. </w:t>
      </w:r>
    </w:p>
    <w:p w14:paraId="7A17A68B" w14:textId="77777777" w:rsidR="001F2ACA" w:rsidRDefault="001F2ACA" w:rsidP="001F2ACA">
      <w:pPr>
        <w:pStyle w:val="ListParagraph"/>
        <w:widowControl w:val="0"/>
        <w:numPr>
          <w:ilvl w:val="0"/>
          <w:numId w:val="8"/>
        </w:numPr>
        <w:autoSpaceDE w:val="0"/>
        <w:autoSpaceDN w:val="0"/>
        <w:adjustRightInd w:val="0"/>
        <w:spacing w:after="0" w:line="276" w:lineRule="auto"/>
        <w:rPr>
          <w:rFonts w:cs="Times New Roman"/>
          <w:szCs w:val="24"/>
          <w:lang w:val="en-US"/>
        </w:rPr>
      </w:pPr>
      <w:r>
        <w:rPr>
          <w:rFonts w:cs="Times New Roman"/>
          <w:szCs w:val="24"/>
          <w:lang w:val="en-US"/>
        </w:rPr>
        <w:t>We also run regressions that exclude size and legal tradition where both age and region are still significant.</w:t>
      </w:r>
    </w:p>
    <w:p w14:paraId="785D1608" w14:textId="47B01A74" w:rsidR="001F2ACA" w:rsidRDefault="001F2ACA" w:rsidP="001F2ACA">
      <w:pPr>
        <w:pStyle w:val="ListParagraph"/>
        <w:widowControl w:val="0"/>
        <w:numPr>
          <w:ilvl w:val="0"/>
          <w:numId w:val="8"/>
        </w:numPr>
        <w:autoSpaceDE w:val="0"/>
        <w:autoSpaceDN w:val="0"/>
        <w:adjustRightInd w:val="0"/>
        <w:spacing w:after="0" w:line="276" w:lineRule="auto"/>
        <w:rPr>
          <w:rFonts w:cs="Times New Roman"/>
          <w:szCs w:val="24"/>
          <w:lang w:val="en-US"/>
        </w:rPr>
      </w:pPr>
      <w:r>
        <w:rPr>
          <w:rFonts w:cs="Times New Roman"/>
          <w:szCs w:val="24"/>
          <w:lang w:val="en-US"/>
        </w:rPr>
        <w:t xml:space="preserve">Another solution to multi-collinearity is to have a large sample size. Some researchers suggest a ratio of 50 to 100 observations per independent variable. In this case, we have a maximum of 3400 observations that exceed the threshold. </w:t>
      </w:r>
    </w:p>
    <w:p w14:paraId="49F3ACEE" w14:textId="77777777" w:rsidR="00276490" w:rsidRPr="00276490" w:rsidRDefault="00276490" w:rsidP="00276490">
      <w:pPr>
        <w:widowControl w:val="0"/>
        <w:autoSpaceDE w:val="0"/>
        <w:autoSpaceDN w:val="0"/>
        <w:adjustRightInd w:val="0"/>
        <w:spacing w:after="0" w:line="276" w:lineRule="auto"/>
        <w:rPr>
          <w:rFonts w:cs="Times New Roman"/>
          <w:szCs w:val="24"/>
          <w:lang w:val="en-US"/>
        </w:rPr>
      </w:pPr>
    </w:p>
    <w:p w14:paraId="39E0D338" w14:textId="0106601E" w:rsidR="00276490" w:rsidRPr="006F4E17" w:rsidRDefault="001F2ACA" w:rsidP="006F4E17">
      <w:pPr>
        <w:pStyle w:val="Caption"/>
        <w:rPr>
          <w:rFonts w:cs="Times New Roman"/>
          <w:szCs w:val="24"/>
          <w:lang w:val="en-US"/>
        </w:rPr>
      </w:pPr>
      <w:r>
        <w:rPr>
          <w:rFonts w:cs="Times New Roman"/>
          <w:szCs w:val="24"/>
          <w:lang w:val="en-US"/>
        </w:rPr>
        <w:t>An extended table of descriptive statistics for the panel dataset is in the appendix ().</w:t>
      </w:r>
    </w:p>
    <w:p w14:paraId="3E4CF832" w14:textId="5DBEA966" w:rsidR="00634EC3" w:rsidRPr="00F35C59" w:rsidRDefault="002F1DF7" w:rsidP="00634EC3">
      <w:pPr>
        <w:spacing w:line="360" w:lineRule="auto"/>
        <w:rPr>
          <w:rFonts w:ascii="Maiandra GD" w:hAnsi="Maiandra GD"/>
          <w:b/>
        </w:rPr>
      </w:pPr>
      <w:r>
        <w:rPr>
          <w:rFonts w:ascii="Maiandra GD" w:hAnsi="Maiandra GD"/>
          <w:b/>
        </w:rPr>
        <w:t>6.2</w:t>
      </w:r>
      <w:r>
        <w:rPr>
          <w:rFonts w:ascii="Maiandra GD" w:hAnsi="Maiandra GD"/>
          <w:b/>
        </w:rPr>
        <w:tab/>
      </w:r>
      <w:r w:rsidR="00634EC3" w:rsidRPr="00F35C59">
        <w:rPr>
          <w:rFonts w:ascii="Maiandra GD" w:hAnsi="Maiandra GD"/>
          <w:b/>
        </w:rPr>
        <w:t>Results of the Regression Model</w:t>
      </w:r>
    </w:p>
    <w:p w14:paraId="7C5FC101" w14:textId="02EF4EF9" w:rsidR="00F92F2D" w:rsidRPr="000B226D" w:rsidRDefault="00634EC3" w:rsidP="00634EC3">
      <w:pPr>
        <w:spacing w:line="360" w:lineRule="auto"/>
      </w:pPr>
      <w:r>
        <w:t>Given that the study utilises unbalanced panel data, we analyse the entire dataset</w:t>
      </w:r>
      <w:r w:rsidR="002F2D77">
        <w:t xml:space="preserve"> (the full model)</w:t>
      </w:r>
      <w:r>
        <w:t xml:space="preserve">, then </w:t>
      </w:r>
      <w:r w:rsidR="00794901">
        <w:t>analyse</w:t>
      </w:r>
      <w:r>
        <w:t xml:space="preserve"> subsets of the data. </w:t>
      </w:r>
      <w:r w:rsidR="00741B16">
        <w:t>Table () shows the results of the regression. Next, w</w:t>
      </w:r>
      <w:r>
        <w:t>e present schedule</w:t>
      </w:r>
      <w:r w:rsidR="00741B16">
        <w:t>s</w:t>
      </w:r>
      <w:r>
        <w:t xml:space="preserve"> of average marginal effects at representative values (MER) for</w:t>
      </w:r>
      <w:r w:rsidR="003B02D9">
        <w:t xml:space="preserve"> the significant variables</w:t>
      </w:r>
      <w:r>
        <w:t xml:space="preserve">.  A discussion of the output and its implications from a theoretical and </w:t>
      </w:r>
      <w:r w:rsidR="005D218A">
        <w:t>practical perspective follows. We first look at the model as a whole and then examine the effects of each variable on the probability of transformation of MFIs from NGOs to commercial entities.</w:t>
      </w:r>
    </w:p>
    <w:p w14:paraId="04B862F9" w14:textId="273FF447" w:rsidR="00544DA4" w:rsidRDefault="0066458E" w:rsidP="00CA7BD9">
      <w:pPr>
        <w:spacing w:line="360" w:lineRule="auto"/>
      </w:pPr>
      <w:r>
        <w:t xml:space="preserve">The results from the logit and probit regressions show that the model significantly explains the transformation of MFIs. </w:t>
      </w:r>
      <w:r w:rsidR="00F6729E">
        <w:t>In each model, with cooperatives included and without cooperatives</w:t>
      </w:r>
      <w:r w:rsidR="00E1743E">
        <w:t xml:space="preserve">, </w:t>
      </w:r>
      <w:r w:rsidR="00D76522">
        <w:t>the Wald Chi-Squared is significant</w:t>
      </w:r>
      <w:r w:rsidR="002F2D77">
        <w:t xml:space="preserve"> at 1% level of significance</w:t>
      </w:r>
      <w:r w:rsidR="00EB4AEF">
        <w:t>.</w:t>
      </w:r>
      <w:r w:rsidR="000F569A">
        <w:t xml:space="preserve"> </w:t>
      </w:r>
      <w:r w:rsidR="00781BDA">
        <w:t>The model further suggests that holding all the independent variables at their means,</w:t>
      </w:r>
      <w:r w:rsidR="00441E11">
        <w:t xml:space="preserve"> the following variables are the significant factors that </w:t>
      </w:r>
      <w:r w:rsidR="0031751E">
        <w:t xml:space="preserve">affect the transformation of MFIs in </w:t>
      </w:r>
      <w:r w:rsidR="005E7E50">
        <w:t xml:space="preserve">Africa: </w:t>
      </w:r>
      <w:r w:rsidR="0031751E">
        <w:t xml:space="preserve">age, </w:t>
      </w:r>
      <w:r w:rsidR="00544DA4">
        <w:t xml:space="preserve">legal tradition, size, financial development, institutions and education. </w:t>
      </w:r>
      <w:r w:rsidR="00DB0E02">
        <w:t xml:space="preserve">However, asset structure is not a significant driver of transformation. </w:t>
      </w:r>
      <w:r w:rsidR="00224E99">
        <w:t>GDP growth rate shows has is also insignificant to a very high degree</w:t>
      </w:r>
      <w:r w:rsidR="00A54B1F">
        <w:t xml:space="preserve"> and we drop it from the model.</w:t>
      </w:r>
    </w:p>
    <w:p w14:paraId="0513CFB3" w14:textId="5B8B0EAC" w:rsidR="001A639A" w:rsidRDefault="00441E93" w:rsidP="00CA7BD9">
      <w:pPr>
        <w:spacing w:line="360" w:lineRule="auto"/>
      </w:pPr>
      <w:r>
        <w:t xml:space="preserve">We also generate a schedule of marginal effects at representative </w:t>
      </w:r>
      <w:r w:rsidR="00E82BF0">
        <w:t>values (</w:t>
      </w:r>
      <w:r>
        <w:t>MER)</w:t>
      </w:r>
      <w:r w:rsidR="00E82BF0">
        <w:t xml:space="preserve"> that are part of the appendices</w:t>
      </w:r>
      <w:r>
        <w:t xml:space="preserve">. However, as MER tables are hard to interpret, we present </w:t>
      </w:r>
      <w:r w:rsidR="00E82BF0">
        <w:t>margins plots</w:t>
      </w:r>
      <w:r>
        <w:t xml:space="preserve"> instead </w:t>
      </w:r>
      <w:r>
        <w:fldChar w:fldCharType="begin"/>
      </w:r>
      <w:r w:rsidR="00920F60">
        <w:instrText xml:space="preserve"> ADDIN EN.CITE &lt;EndNote&gt;&lt;Cite&gt;&lt;Author&gt;Williams&lt;/Author&gt;&lt;Year&gt;2012&lt;/Year&gt;&lt;RecNum&gt;502&lt;/RecNum&gt;&lt;DisplayText&gt;(Williams, 2012)&lt;/DisplayText&gt;&lt;record&gt;&lt;rec-number&gt;502&lt;/rec-number&gt;&lt;foreign-keys&gt;&lt;key app="EN" db-id="wds9909saar09se5x9txwfw7ax9wfe2ftrt2" timestamp="1570833990" guid="b081c9f6-c62e-4b06-b6e9-f020df60f516"&gt;502&lt;/key&gt;&lt;/foreign-keys&gt;&lt;ref-type name="Journal Article"&gt;17&lt;/ref-type&gt;&lt;contributors&gt;&lt;authors&gt;&lt;author&gt;Williams, Richard&lt;/author&gt;&lt;/authors&gt;&lt;/contributors&gt;&lt;titles&gt;&lt;title&gt;Using the margins command to estimate and interpret adjusted predictions and marginal effects&lt;/title&gt;&lt;secondary-title&gt;The Stata Journal&lt;/secondary-title&gt;&lt;/titles&gt;&lt;periodical&gt;&lt;full-title&gt;The Stata Journal&lt;/full-title&gt;&lt;/periodical&gt;&lt;pages&gt;308-331&lt;/pages&gt;&lt;volume&gt;12&lt;/volume&gt;&lt;number&gt;2&lt;/number&gt;&lt;dates&gt;&lt;year&gt;2012&lt;/year&gt;&lt;/dates&gt;&lt;isbn&gt;1536-867X&lt;/isbn&gt;&lt;urls&gt;&lt;/urls&gt;&lt;/record&gt;&lt;/Cite&gt;&lt;/EndNote&gt;</w:instrText>
      </w:r>
      <w:r>
        <w:fldChar w:fldCharType="separate"/>
      </w:r>
      <w:r>
        <w:rPr>
          <w:noProof/>
        </w:rPr>
        <w:t>(Williams, 2012)</w:t>
      </w:r>
      <w:r>
        <w:fldChar w:fldCharType="end"/>
      </w:r>
      <w:r>
        <w:t xml:space="preserve">. </w:t>
      </w:r>
      <w:r w:rsidR="00B46993" w:rsidRPr="00512843">
        <w:t xml:space="preserve">Overall, the results show that the </w:t>
      </w:r>
      <w:r w:rsidR="005F4019">
        <w:t>age,</w:t>
      </w:r>
      <w:r w:rsidR="00FD13B2">
        <w:t xml:space="preserve"> </w:t>
      </w:r>
      <w:r w:rsidR="005F4019">
        <w:t xml:space="preserve">size, </w:t>
      </w:r>
      <w:r w:rsidR="00FD13B2">
        <w:t xml:space="preserve">region, </w:t>
      </w:r>
      <w:r w:rsidR="005F4019">
        <w:t xml:space="preserve">financial development, and legal tradition </w:t>
      </w:r>
      <w:r w:rsidR="00B46993" w:rsidRPr="00512843">
        <w:t>are significant drivers of the transformation of MFIs with substantial</w:t>
      </w:r>
      <w:r w:rsidR="00B46993">
        <w:t xml:space="preserve"> regional </w:t>
      </w:r>
      <w:r w:rsidR="00B46993">
        <w:lastRenderedPageBreak/>
        <w:t xml:space="preserve">variations. </w:t>
      </w:r>
      <w:r w:rsidR="003F55AC">
        <w:t xml:space="preserve">Education and GDP growth are not. </w:t>
      </w:r>
      <w:r w:rsidR="00FD13B2">
        <w:t>We next highlight the effects of each variable on the probability of transformation.</w:t>
      </w:r>
    </w:p>
    <w:p w14:paraId="253A3572" w14:textId="5DCA3525" w:rsidR="00FD13B2" w:rsidRDefault="00FD13B2" w:rsidP="00FD13B2">
      <w:pPr>
        <w:pStyle w:val="Heading3"/>
      </w:pPr>
      <w:r>
        <w:t>Age</w:t>
      </w:r>
    </w:p>
    <w:p w14:paraId="7F2E89FD" w14:textId="77777777" w:rsidR="00B86D2C" w:rsidRDefault="00F8595C" w:rsidP="00CA7BD9">
      <w:pPr>
        <w:spacing w:line="360" w:lineRule="auto"/>
      </w:pPr>
      <w:r>
        <w:t>The age of an MFI is inversely related to the probability of transformation</w:t>
      </w:r>
      <w:r w:rsidR="00CA1234">
        <w:t>,</w:t>
      </w:r>
      <w:r w:rsidR="00A8471A">
        <w:t xml:space="preserve"> given the negative sign of the regression coefficients</w:t>
      </w:r>
      <w:r w:rsidR="00533A77">
        <w:t xml:space="preserve"> in Appendix 1 and Appendix 2</w:t>
      </w:r>
      <w:r w:rsidR="00A8471A">
        <w:t>. It is newly formed MFIs that are likely to convert to the commercial model</w:t>
      </w:r>
      <w:r w:rsidR="00541CE4">
        <w:t xml:space="preserve"> than the young ones</w:t>
      </w:r>
      <w:r w:rsidR="00F6729E">
        <w:t>,</w:t>
      </w:r>
      <w:r w:rsidR="00541CE4">
        <w:t xml:space="preserve"> and young MFIs are more likely to convert than the mature MFIs</w:t>
      </w:r>
      <w:r w:rsidR="000D25F4">
        <w:t xml:space="preserve"> from the size of the coefficients</w:t>
      </w:r>
      <w:r w:rsidR="00A8471A">
        <w:t>.</w:t>
      </w:r>
      <w:r w:rsidR="00B86D2C">
        <w:t xml:space="preserve"> </w:t>
      </w:r>
      <w:r w:rsidR="002F2D77">
        <w:t>We postulate that o</w:t>
      </w:r>
      <w:r w:rsidR="00EB4AEF">
        <w:t xml:space="preserve">lder MFIs, being the pioneers, and hence already </w:t>
      </w:r>
      <w:r w:rsidR="00E11A55">
        <w:t xml:space="preserve">are </w:t>
      </w:r>
      <w:r w:rsidR="00EB4AEF">
        <w:t xml:space="preserve">well-acquainted with donors making it easier for them to raise funds through donations. </w:t>
      </w:r>
    </w:p>
    <w:p w14:paraId="4F7E459B" w14:textId="5F23E5AA" w:rsidR="00472F3A" w:rsidRDefault="00472F3A" w:rsidP="00CA7BD9">
      <w:pPr>
        <w:spacing w:line="360" w:lineRule="auto"/>
      </w:pPr>
      <w:r>
        <w:t xml:space="preserve">Having started their operations before the neo-liberal tradition took hold, they have created goodwill </w:t>
      </w:r>
      <w:r w:rsidR="00B46554">
        <w:t xml:space="preserve">with donors </w:t>
      </w:r>
      <w:r>
        <w:t xml:space="preserve">that enable them to raise funds sustainably. </w:t>
      </w:r>
      <w:r w:rsidR="00B46554">
        <w:t>These mature MFIs could also have evolved business models that allow them to be financially sustainable without the need to convert to the commercial model by</w:t>
      </w:r>
      <w:r w:rsidR="00743F80">
        <w:t>,</w:t>
      </w:r>
      <w:r w:rsidR="00B46554">
        <w:t xml:space="preserve"> for example</w:t>
      </w:r>
      <w:r w:rsidR="00E66746">
        <w:t>,</w:t>
      </w:r>
      <w:r w:rsidR="00B46554">
        <w:t xml:space="preserve"> building a broad customer base in niche markets. </w:t>
      </w:r>
      <w:r>
        <w:t xml:space="preserve">Besides, they may have embedded the emphasis on the social mission </w:t>
      </w:r>
      <w:r w:rsidR="00DD7086">
        <w:t>in their vision, mission</w:t>
      </w:r>
      <w:r w:rsidR="00CA1234">
        <w:t>,</w:t>
      </w:r>
      <w:r w:rsidR="00DD7086">
        <w:t xml:space="preserve"> and organi</w:t>
      </w:r>
      <w:r w:rsidR="00B46554">
        <w:t>s</w:t>
      </w:r>
      <w:r w:rsidR="00DD7086">
        <w:t xml:space="preserve">ational cultures </w:t>
      </w:r>
      <w:r>
        <w:t xml:space="preserve">to such an extent that both the MFI and the donor community find it hard to </w:t>
      </w:r>
      <w:r w:rsidR="00DD7086">
        <w:t>pull back</w:t>
      </w:r>
      <w:r w:rsidR="002D21F3">
        <w:t xml:space="preserve"> </w:t>
      </w:r>
      <w:r w:rsidR="002D21F3">
        <w:fldChar w:fldCharType="begin"/>
      </w:r>
      <w:r w:rsidR="00920F60">
        <w:instrText xml:space="preserve"> ADDIN EN.CITE &lt;EndNote&gt;&lt;Cite&gt;&lt;Author&gt;Berbegal-Mirabent&lt;/Author&gt;&lt;Year&gt;2019&lt;/Year&gt;&lt;RecNum&gt;487&lt;/RecNum&gt;&lt;DisplayText&gt;(Berbegal-Mirabent, Mas-Machuca, &amp;amp; Guix, 2019)&lt;/DisplayText&gt;&lt;record&gt;&lt;rec-number&gt;487&lt;/rec-number&gt;&lt;foreign-keys&gt;&lt;key app="EN" db-id="wds9909saar09se5x9txwfw7ax9wfe2ftrt2" timestamp="1570566864" guid="a39cf9c6-d1c2-4322-a294-dba0b410ac5c"&gt;487&lt;/key&gt;&lt;/foreign-keys&gt;&lt;ref-type name="Journal Article"&gt;17&lt;/ref-type&gt;&lt;contributors&gt;&lt;authors&gt;&lt;author&gt;Berbegal-Mirabent, Jasmina&lt;/author&gt;&lt;author&gt;Mas-Machuca, Marta&lt;/author&gt;&lt;author&gt;Guix, Patricia&lt;/author&gt;&lt;/authors&gt;&lt;/contributors&gt;&lt;titles&gt;&lt;title&gt;Impact of mission statement components on social enterprises’ performance&lt;/title&gt;&lt;secondary-title&gt;Review of Managerial Science&lt;/secondary-title&gt;&lt;/titles&gt;&lt;periodical&gt;&lt;full-title&gt;Review of Managerial Science&lt;/full-title&gt;&lt;/periodical&gt;&lt;pages&gt;1-20&lt;/pages&gt;&lt;dates&gt;&lt;year&gt;2019&lt;/year&gt;&lt;/dates&gt;&lt;isbn&gt;1863-6683&lt;/isbn&gt;&lt;urls&gt;&lt;/urls&gt;&lt;/record&gt;&lt;/Cite&gt;&lt;/EndNote&gt;</w:instrText>
      </w:r>
      <w:r w:rsidR="002D21F3">
        <w:fldChar w:fldCharType="separate"/>
      </w:r>
      <w:r w:rsidR="002D21F3">
        <w:rPr>
          <w:noProof/>
        </w:rPr>
        <w:t>(Berbegal-Mirabent, Mas-Machuca, &amp; Guix, 2019)</w:t>
      </w:r>
      <w:r w:rsidR="002D21F3">
        <w:fldChar w:fldCharType="end"/>
      </w:r>
      <w:r>
        <w:t xml:space="preserve">. </w:t>
      </w:r>
      <w:r w:rsidR="001C400E">
        <w:t xml:space="preserve">It would appear then that MFIs established when the welfare approach was prevalent </w:t>
      </w:r>
      <w:r w:rsidR="00A83DE2">
        <w:t>continue</w:t>
      </w:r>
      <w:r w:rsidR="001C400E">
        <w:t xml:space="preserve"> that line.</w:t>
      </w:r>
    </w:p>
    <w:p w14:paraId="4EDFB224" w14:textId="77777777" w:rsidR="00EE2974" w:rsidRDefault="00472F3A" w:rsidP="00CA7BD9">
      <w:pPr>
        <w:spacing w:line="360" w:lineRule="auto"/>
      </w:pPr>
      <w:r>
        <w:t>Younger MFIs, on the other hand</w:t>
      </w:r>
      <w:r w:rsidR="00CA1234">
        <w:t>,</w:t>
      </w:r>
      <w:r>
        <w:t xml:space="preserve"> cropped up</w:t>
      </w:r>
      <w:r w:rsidR="000516BA">
        <w:t xml:space="preserve"> when the paradigm shift to the institutional</w:t>
      </w:r>
      <w:r w:rsidR="00CA1234">
        <w:t xml:space="preserve"> </w:t>
      </w:r>
      <w:r w:rsidR="000516BA">
        <w:t xml:space="preserve">approach was taking shape. </w:t>
      </w:r>
      <w:r w:rsidR="001F1CA5">
        <w:t>It means</w:t>
      </w:r>
      <w:r w:rsidR="00B46554">
        <w:t>,</w:t>
      </w:r>
      <w:r w:rsidR="001F1CA5">
        <w:t xml:space="preserve"> therefore</w:t>
      </w:r>
      <w:r w:rsidR="00743F80">
        <w:t>,</w:t>
      </w:r>
      <w:r w:rsidR="001F1CA5">
        <w:t xml:space="preserve"> that donors were reluctant to exten</w:t>
      </w:r>
      <w:r w:rsidR="00E11A55">
        <w:t>d</w:t>
      </w:r>
      <w:r w:rsidR="001F1CA5">
        <w:t xml:space="preserve"> funds to such organi</w:t>
      </w:r>
      <w:r w:rsidR="00B46554">
        <w:t>s</w:t>
      </w:r>
      <w:r w:rsidR="001F1CA5">
        <w:t>ations. Hence, the MFIs had to supplement the little donor funding and government subsidies by raising funds from t</w:t>
      </w:r>
      <w:r w:rsidR="00E61D91">
        <w:t>h</w:t>
      </w:r>
      <w:r w:rsidR="001F1CA5">
        <w:t xml:space="preserve">e capital markets. </w:t>
      </w:r>
      <w:r w:rsidR="00E61D91">
        <w:t xml:space="preserve">The thinking is consistent with the literature that shows the extent to which donor funding is volatile, and especially sensitive to </w:t>
      </w:r>
      <w:r w:rsidR="00E66746">
        <w:t>geo</w:t>
      </w:r>
      <w:r w:rsidR="00E61D91">
        <w:t xml:space="preserve">political </w:t>
      </w:r>
      <w:r w:rsidR="002F2D77">
        <w:t>re</w:t>
      </w:r>
      <w:r w:rsidR="00E61D91">
        <w:t xml:space="preserve">alignments </w:t>
      </w:r>
      <w:r w:rsidR="00E61D91">
        <w:fldChar w:fldCharType="begin"/>
      </w:r>
      <w:r w:rsidR="00920F60">
        <w:instrText xml:space="preserve"> ADDIN EN.CITE &lt;EndNote&gt;&lt;Cite&gt;&lt;Author&gt;Garmaise&lt;/Author&gt;&lt;Year&gt;2013&lt;/Year&gt;&lt;RecNum&gt;18&lt;/RecNum&gt;&lt;DisplayText&gt;(Garmaise &amp;amp; Natividad, 2013; D’Espallier, Hudon, et al., 2017)&lt;/DisplayText&gt;&lt;record&gt;&lt;rec-number&gt;18&lt;/rec-number&gt;&lt;foreign-keys&gt;&lt;key app="EN" db-id="wds9909saar09se5x9txwfw7ax9wfe2ftrt2" timestamp="1501162236" guid="3ac97285-4671-4f00-af67-eff31a480647"&gt;18&lt;/key&gt;&lt;/foreign-keys&gt;&lt;ref-type name="Journal Article"&gt;17&lt;/ref-type&gt;&lt;contributors&gt;&lt;authors&gt;&lt;author&gt;Garmaise, Mark J&lt;/author&gt;&lt;author&gt;Natividad, Gabriel&lt;/author&gt;&lt;/authors&gt;&lt;/contributors&gt;&lt;titles&gt;&lt;title&gt;Cheap credit, lending operations, and international politics: The case of global microfinance&lt;/title&gt;&lt;secondary-title&gt;The Journal of Finance&lt;/secondary-title&gt;&lt;/titles&gt;&lt;periodical&gt;&lt;full-title&gt;The Journal of finance&lt;/full-title&gt;&lt;/periodical&gt;&lt;pages&gt;1551-1576&lt;/pages&gt;&lt;volume&gt;68&lt;/volume&gt;&lt;number&gt;4&lt;/number&gt;&lt;dates&gt;&lt;year&gt;2013&lt;/year&gt;&lt;/dates&gt;&lt;isbn&gt;1540-6261&lt;/isbn&gt;&lt;urls&gt;&lt;/urls&gt;&lt;/record&gt;&lt;/Cite&gt;&lt;Cite&gt;&lt;Author&gt;D’Espallier&lt;/Author&gt;&lt;Year&gt;2017&lt;/Year&gt;&lt;RecNum&gt;309&lt;/RecNum&gt;&lt;record&gt;&lt;rec-number&gt;309&lt;/rec-number&gt;&lt;foreign-keys&gt;&lt;key app="EN" db-id="wds9909saar09se5x9txwfw7ax9wfe2ftrt2" timestamp="1515556288" guid="71ab1896-f9a7-45f1-b48c-cc5a5ecc0fda"&gt;309&lt;/key&gt;&lt;/foreign-keys&gt;&lt;ref-type name="Journal Article"&gt;17&lt;/ref-type&gt;&lt;contributors&gt;&lt;authors&gt;&lt;author&gt;D’Espallier, Bert&lt;/author&gt;&lt;author&gt;Hudon, Marek&lt;/author&gt;&lt;author&gt;Szafarz, Ariane&lt;/author&gt;&lt;/authors&gt;&lt;/contributors&gt;&lt;titles&gt;&lt;title&gt;Aid volatility and social performance in microfinance&lt;/title&gt;&lt;secondary-title&gt;Nonprofit and Voluntary Sector Quarterly&lt;/secondary-title&gt;&lt;/titles&gt;&lt;pages&gt;116-140&lt;/pages&gt;&lt;volume&gt;46&lt;/volume&gt;&lt;number&gt;1&lt;/number&gt;&lt;dates&gt;&lt;year&gt;2017&lt;/year&gt;&lt;/dates&gt;&lt;isbn&gt;0899-7640&lt;/isbn&gt;&lt;urls&gt;&lt;/urls&gt;&lt;/record&gt;&lt;/Cite&gt;&lt;/EndNote&gt;</w:instrText>
      </w:r>
      <w:r w:rsidR="00E61D91">
        <w:fldChar w:fldCharType="separate"/>
      </w:r>
      <w:r w:rsidR="00920F60">
        <w:rPr>
          <w:noProof/>
        </w:rPr>
        <w:t>(Garmaise &amp; Natividad, 2013; D’Espallier, Hudon, et al., 2017)</w:t>
      </w:r>
      <w:r w:rsidR="00E61D91">
        <w:fldChar w:fldCharType="end"/>
      </w:r>
      <w:r w:rsidR="00B46554">
        <w:t xml:space="preserve"> and business cycles </w:t>
      </w:r>
      <w:r w:rsidR="00B46554">
        <w:fldChar w:fldCharType="begin"/>
      </w:r>
      <w:r w:rsidR="00920F60">
        <w:instrText xml:space="preserve"> ADDIN EN.CITE &lt;EndNote&gt;&lt;Cite&gt;&lt;Author&gt;Wagner&lt;/Author&gt;&lt;Year&gt;2013&lt;/Year&gt;&lt;RecNum&gt;497&lt;/RecNum&gt;&lt;DisplayText&gt;(Wagner &amp;amp; Winkler, 2013)&lt;/DisplayText&gt;&lt;record&gt;&lt;rec-number&gt;497&lt;/rec-number&gt;&lt;foreign-keys&gt;&lt;key app="EN" db-id="wds9909saar09se5x9txwfw7ax9wfe2ftrt2" timestamp="1570637230" guid="7f906851-7d39-432a-9c89-cd6bf8b95c46"&gt;497&lt;/key&gt;&lt;/foreign-keys&gt;&lt;ref-type name="Journal Article"&gt;17&lt;/ref-type&gt;&lt;contributors&gt;&lt;authors&gt;&lt;author&gt;Wagner, Charlotte&lt;/author&gt;&lt;author&gt;Winkler, Adalbert&lt;/author&gt;&lt;/authors&gt;&lt;/contributors&gt;&lt;titles&gt;&lt;title&gt;The vulnerability of microfinance to financial turmoil–evidence from the global financial crisis&lt;/title&gt;&lt;secondary-title&gt;World Development&lt;/secondary-title&gt;&lt;/titles&gt;&lt;periodical&gt;&lt;full-title&gt;World Development&lt;/full-title&gt;&lt;abbr-1&gt;World Devel.&lt;/abbr-1&gt;&lt;abbr-2&gt;World Devel&lt;/abbr-2&gt;&lt;/periodical&gt;&lt;pages&gt;71-90&lt;/pages&gt;&lt;volume&gt;51&lt;/volume&gt;&lt;dates&gt;&lt;year&gt;2013&lt;/year&gt;&lt;/dates&gt;&lt;isbn&gt;0305-750X&lt;/isbn&gt;&lt;urls&gt;&lt;/urls&gt;&lt;/record&gt;&lt;/Cite&gt;&lt;/EndNote&gt;</w:instrText>
      </w:r>
      <w:r w:rsidR="00B46554">
        <w:fldChar w:fldCharType="separate"/>
      </w:r>
      <w:r w:rsidR="00B46554">
        <w:rPr>
          <w:noProof/>
        </w:rPr>
        <w:t>(Wagner &amp; Winkler, 2013)</w:t>
      </w:r>
      <w:r w:rsidR="00B46554">
        <w:fldChar w:fldCharType="end"/>
      </w:r>
      <w:r w:rsidR="00E61D91">
        <w:t>.</w:t>
      </w:r>
      <w:r w:rsidR="000A1FBF">
        <w:t xml:space="preserve"> </w:t>
      </w:r>
      <w:r w:rsidR="00EE2974">
        <w:t>The marginal effects figure shows that</w:t>
      </w:r>
      <w:r w:rsidR="00252BD1">
        <w:t xml:space="preserve"> </w:t>
      </w:r>
      <w:r w:rsidR="00EE2974">
        <w:t>education raise the probability of adopting the commercial</w:t>
      </w:r>
      <w:r w:rsidR="00E109A9">
        <w:t xml:space="preserve"> more </w:t>
      </w:r>
      <w:r w:rsidR="00EE2974">
        <w:t xml:space="preserve">for new </w:t>
      </w:r>
      <w:r w:rsidR="000D31BD">
        <w:t xml:space="preserve">and young </w:t>
      </w:r>
      <w:r w:rsidR="00EE2974">
        <w:t>MFIs</w:t>
      </w:r>
      <w:r w:rsidR="00E109A9">
        <w:t xml:space="preserve"> tha</w:t>
      </w:r>
      <w:r w:rsidR="000D31BD">
        <w:t>n</w:t>
      </w:r>
      <w:r w:rsidR="00E109A9">
        <w:t xml:space="preserve"> older</w:t>
      </w:r>
      <w:r w:rsidR="000D31BD">
        <w:t xml:space="preserve">, mature MFIs. </w:t>
      </w:r>
      <w:r w:rsidR="00252BD1">
        <w:t xml:space="preserve"> </w:t>
      </w:r>
      <w:r w:rsidR="00F12038">
        <w:t>Likewise,</w:t>
      </w:r>
      <w:r w:rsidR="00252BD1">
        <w:t xml:space="preserve"> the effect </w:t>
      </w:r>
      <w:r w:rsidR="00F12038">
        <w:t>of size is</w:t>
      </w:r>
      <w:r w:rsidR="000A1FBF">
        <w:t xml:space="preserve"> more pronounced </w:t>
      </w:r>
      <w:r w:rsidR="00F12038">
        <w:t>for younger</w:t>
      </w:r>
      <w:r w:rsidR="000A1FBF">
        <w:t xml:space="preserve"> firms. </w:t>
      </w:r>
      <w:r w:rsidR="00BF4ED0">
        <w:t xml:space="preserve"> Thus, </w:t>
      </w:r>
      <w:r w:rsidR="00F12038">
        <w:t>although size</w:t>
      </w:r>
      <w:r w:rsidR="00313721">
        <w:t xml:space="preserve"> is positively related the probability of an </w:t>
      </w:r>
      <w:r w:rsidR="00F12038">
        <w:t>MFI adopting</w:t>
      </w:r>
      <w:r w:rsidR="004B6E96">
        <w:t xml:space="preserve"> a commercial </w:t>
      </w:r>
      <w:r w:rsidR="00F12038">
        <w:t>model, the</w:t>
      </w:r>
      <w:r w:rsidR="002430B5">
        <w:t xml:space="preserve"> effect is more pronounced on older firms than new firms. </w:t>
      </w:r>
    </w:p>
    <w:p w14:paraId="7AD2D7F8" w14:textId="51D0B5EA" w:rsidR="005B7F9B" w:rsidRDefault="005B7F9B" w:rsidP="00CA7BD9">
      <w:pPr>
        <w:spacing w:line="360" w:lineRule="auto"/>
        <w:sectPr w:rsidR="005B7F9B" w:rsidSect="00600370">
          <w:pgSz w:w="11907" w:h="16839" w:code="9"/>
          <w:pgMar w:top="1440" w:right="1440" w:bottom="1440" w:left="1440" w:header="720" w:footer="720" w:gutter="0"/>
          <w:cols w:space="720"/>
          <w:docGrid w:linePitch="360"/>
        </w:sectPr>
      </w:pPr>
    </w:p>
    <w:p w14:paraId="4BC97F84" w14:textId="644742CE" w:rsidR="00136748" w:rsidRDefault="00D27DB9" w:rsidP="00D27DB9">
      <w:pPr>
        <w:spacing w:line="360" w:lineRule="auto"/>
        <w:ind w:firstLine="720"/>
      </w:pPr>
      <w:r>
        <w:lastRenderedPageBreak/>
        <w:t>Table (): Output of the Mixed Effects Model</w:t>
      </w:r>
    </w:p>
    <w:tbl>
      <w:tblPr>
        <w:tblW w:w="5077" w:type="pct"/>
        <w:tblLook w:val="0000" w:firstRow="0" w:lastRow="0" w:firstColumn="0" w:lastColumn="0" w:noHBand="0" w:noVBand="0"/>
      </w:tblPr>
      <w:tblGrid>
        <w:gridCol w:w="2366"/>
        <w:gridCol w:w="1686"/>
        <w:gridCol w:w="1687"/>
        <w:gridCol w:w="1687"/>
        <w:gridCol w:w="1687"/>
        <w:gridCol w:w="1687"/>
        <w:gridCol w:w="1687"/>
        <w:gridCol w:w="1687"/>
      </w:tblGrid>
      <w:tr w:rsidR="00D27DB9" w:rsidRPr="00E01DC0" w14:paraId="49912964" w14:textId="77777777" w:rsidTr="00D60FEF">
        <w:tc>
          <w:tcPr>
            <w:tcW w:w="835" w:type="pct"/>
            <w:tcBorders>
              <w:top w:val="single" w:sz="4" w:space="0" w:color="auto"/>
              <w:left w:val="nil"/>
              <w:bottom w:val="nil"/>
              <w:right w:val="nil"/>
            </w:tcBorders>
          </w:tcPr>
          <w:p w14:paraId="119FF380" w14:textId="77777777" w:rsidR="00D27DB9" w:rsidRPr="006A79E6" w:rsidRDefault="00D27DB9" w:rsidP="00D60FEF">
            <w:pPr>
              <w:widowControl w:val="0"/>
              <w:autoSpaceDE w:val="0"/>
              <w:autoSpaceDN w:val="0"/>
              <w:adjustRightInd w:val="0"/>
              <w:spacing w:after="0" w:line="240" w:lineRule="auto"/>
              <w:rPr>
                <w:b/>
                <w:bCs/>
                <w:sz w:val="16"/>
                <w:szCs w:val="16"/>
                <w:lang w:val="en-US"/>
              </w:rPr>
            </w:pPr>
            <w:r w:rsidRPr="006A79E6">
              <w:rPr>
                <w:b/>
                <w:bCs/>
                <w:sz w:val="16"/>
                <w:szCs w:val="16"/>
                <w:lang w:val="en-US"/>
              </w:rPr>
              <w:t>Dependent Var: Legal Status</w:t>
            </w:r>
          </w:p>
        </w:tc>
        <w:tc>
          <w:tcPr>
            <w:tcW w:w="595" w:type="pct"/>
            <w:tcBorders>
              <w:top w:val="single" w:sz="4" w:space="0" w:color="auto"/>
              <w:left w:val="nil"/>
              <w:bottom w:val="nil"/>
              <w:right w:val="nil"/>
            </w:tcBorders>
          </w:tcPr>
          <w:p w14:paraId="404D26E1"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w:t>
            </w:r>
          </w:p>
        </w:tc>
        <w:tc>
          <w:tcPr>
            <w:tcW w:w="595" w:type="pct"/>
            <w:tcBorders>
              <w:top w:val="single" w:sz="4" w:space="0" w:color="auto"/>
              <w:left w:val="nil"/>
              <w:bottom w:val="nil"/>
              <w:right w:val="nil"/>
            </w:tcBorders>
          </w:tcPr>
          <w:p w14:paraId="6AD9541C"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(2)</w:t>
            </w:r>
          </w:p>
        </w:tc>
        <w:tc>
          <w:tcPr>
            <w:tcW w:w="595" w:type="pct"/>
            <w:tcBorders>
              <w:top w:val="single" w:sz="4" w:space="0" w:color="auto"/>
              <w:left w:val="nil"/>
              <w:bottom w:val="nil"/>
              <w:right w:val="nil"/>
            </w:tcBorders>
          </w:tcPr>
          <w:p w14:paraId="2E7CB63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(3)</w:t>
            </w:r>
          </w:p>
        </w:tc>
        <w:tc>
          <w:tcPr>
            <w:tcW w:w="595" w:type="pct"/>
            <w:tcBorders>
              <w:top w:val="single" w:sz="4" w:space="0" w:color="auto"/>
              <w:left w:val="nil"/>
              <w:bottom w:val="nil"/>
              <w:right w:val="nil"/>
            </w:tcBorders>
          </w:tcPr>
          <w:p w14:paraId="016792E2"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(4)</w:t>
            </w:r>
          </w:p>
        </w:tc>
        <w:tc>
          <w:tcPr>
            <w:tcW w:w="595" w:type="pct"/>
            <w:tcBorders>
              <w:top w:val="single" w:sz="4" w:space="0" w:color="auto"/>
              <w:left w:val="nil"/>
              <w:bottom w:val="nil"/>
              <w:right w:val="nil"/>
            </w:tcBorders>
          </w:tcPr>
          <w:p w14:paraId="7D7AAA5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(5)</w:t>
            </w:r>
          </w:p>
        </w:tc>
        <w:tc>
          <w:tcPr>
            <w:tcW w:w="595" w:type="pct"/>
            <w:tcBorders>
              <w:top w:val="single" w:sz="4" w:space="0" w:color="auto"/>
              <w:left w:val="nil"/>
              <w:bottom w:val="nil"/>
              <w:right w:val="nil"/>
            </w:tcBorders>
          </w:tcPr>
          <w:p w14:paraId="65E594F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(6)</w:t>
            </w:r>
          </w:p>
        </w:tc>
        <w:tc>
          <w:tcPr>
            <w:tcW w:w="595" w:type="pct"/>
            <w:tcBorders>
              <w:top w:val="single" w:sz="4" w:space="0" w:color="auto"/>
              <w:left w:val="nil"/>
              <w:bottom w:val="nil"/>
              <w:right w:val="nil"/>
            </w:tcBorders>
          </w:tcPr>
          <w:p w14:paraId="33908027"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(7)</w:t>
            </w:r>
          </w:p>
        </w:tc>
      </w:tr>
      <w:tr w:rsidR="00D27DB9" w:rsidRPr="00E01DC0" w14:paraId="7114657F" w14:textId="77777777" w:rsidTr="00D60FEF">
        <w:tc>
          <w:tcPr>
            <w:tcW w:w="835" w:type="pct"/>
            <w:tcBorders>
              <w:top w:val="nil"/>
              <w:left w:val="nil"/>
              <w:bottom w:val="nil"/>
              <w:right w:val="nil"/>
            </w:tcBorders>
          </w:tcPr>
          <w:p w14:paraId="60EDB745" w14:textId="77777777" w:rsidR="00D27DB9" w:rsidRPr="006A79E6" w:rsidRDefault="00D27DB9" w:rsidP="00D60FEF">
            <w:pPr>
              <w:widowControl w:val="0"/>
              <w:autoSpaceDE w:val="0"/>
              <w:autoSpaceDN w:val="0"/>
              <w:adjustRightInd w:val="0"/>
              <w:spacing w:after="0" w:line="240" w:lineRule="auto"/>
              <w:rPr>
                <w:b/>
                <w:bCs/>
                <w:sz w:val="16"/>
                <w:szCs w:val="16"/>
                <w:lang w:val="en-US"/>
              </w:rPr>
            </w:pPr>
            <w:r w:rsidRPr="006A79E6">
              <w:rPr>
                <w:b/>
                <w:bCs/>
                <w:sz w:val="16"/>
                <w:szCs w:val="16"/>
                <w:lang w:val="en-US"/>
              </w:rPr>
              <w:t>NGO = 0, Others = 1</w:t>
            </w:r>
          </w:p>
        </w:tc>
        <w:tc>
          <w:tcPr>
            <w:tcW w:w="595" w:type="pct"/>
            <w:tcBorders>
              <w:top w:val="nil"/>
              <w:left w:val="nil"/>
              <w:bottom w:val="nil"/>
              <w:right w:val="nil"/>
            </w:tcBorders>
          </w:tcPr>
          <w:p w14:paraId="1A9CB90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 xml:space="preserve">Logit Full </w:t>
            </w:r>
          </w:p>
          <w:p w14:paraId="0972BE53"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Data</w:t>
            </w:r>
          </w:p>
        </w:tc>
        <w:tc>
          <w:tcPr>
            <w:tcW w:w="595" w:type="pct"/>
            <w:tcBorders>
              <w:top w:val="nil"/>
              <w:left w:val="nil"/>
              <w:bottom w:val="nil"/>
              <w:right w:val="nil"/>
            </w:tcBorders>
          </w:tcPr>
          <w:p w14:paraId="11FC30E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 xml:space="preserve">Logit &gt;= </w:t>
            </w:r>
          </w:p>
          <w:p w14:paraId="12ECAA9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3 Years</w:t>
            </w:r>
          </w:p>
        </w:tc>
        <w:tc>
          <w:tcPr>
            <w:tcW w:w="595" w:type="pct"/>
            <w:tcBorders>
              <w:top w:val="nil"/>
              <w:left w:val="nil"/>
              <w:bottom w:val="nil"/>
              <w:right w:val="nil"/>
            </w:tcBorders>
          </w:tcPr>
          <w:p w14:paraId="1C5A38A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 xml:space="preserve">Logit &gt;= </w:t>
            </w:r>
          </w:p>
          <w:p w14:paraId="4C3D376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5 Years</w:t>
            </w:r>
          </w:p>
        </w:tc>
        <w:tc>
          <w:tcPr>
            <w:tcW w:w="595" w:type="pct"/>
            <w:tcBorders>
              <w:top w:val="nil"/>
              <w:left w:val="nil"/>
              <w:bottom w:val="nil"/>
              <w:right w:val="nil"/>
            </w:tcBorders>
          </w:tcPr>
          <w:p w14:paraId="6383ACE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 xml:space="preserve">Logit No </w:t>
            </w:r>
          </w:p>
          <w:p w14:paraId="4D8E14FB"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Coop</w:t>
            </w:r>
          </w:p>
        </w:tc>
        <w:tc>
          <w:tcPr>
            <w:tcW w:w="595" w:type="pct"/>
            <w:tcBorders>
              <w:top w:val="nil"/>
              <w:left w:val="nil"/>
              <w:bottom w:val="nil"/>
              <w:right w:val="nil"/>
            </w:tcBorders>
          </w:tcPr>
          <w:p w14:paraId="5EC7B7F3"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 xml:space="preserve">Probit Full </w:t>
            </w:r>
          </w:p>
          <w:p w14:paraId="2EE8CC2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Data</w:t>
            </w:r>
          </w:p>
        </w:tc>
        <w:tc>
          <w:tcPr>
            <w:tcW w:w="595" w:type="pct"/>
            <w:tcBorders>
              <w:top w:val="nil"/>
              <w:left w:val="nil"/>
              <w:bottom w:val="nil"/>
              <w:right w:val="nil"/>
            </w:tcBorders>
          </w:tcPr>
          <w:p w14:paraId="33ECDD12"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 xml:space="preserve">Probit- </w:t>
            </w:r>
          </w:p>
          <w:p w14:paraId="20E9BA6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No Coop</w:t>
            </w:r>
          </w:p>
        </w:tc>
        <w:tc>
          <w:tcPr>
            <w:tcW w:w="595" w:type="pct"/>
            <w:tcBorders>
              <w:top w:val="nil"/>
              <w:left w:val="nil"/>
              <w:bottom w:val="nil"/>
              <w:right w:val="nil"/>
            </w:tcBorders>
          </w:tcPr>
          <w:p w14:paraId="41A0EA7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Logit</w:t>
            </w:r>
          </w:p>
          <w:p w14:paraId="554FCA6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proofErr w:type="spellStart"/>
            <w:r w:rsidRPr="00E01DC0">
              <w:rPr>
                <w:sz w:val="16"/>
                <w:szCs w:val="16"/>
                <w:lang w:val="en-US"/>
              </w:rPr>
              <w:t>Winsorized</w:t>
            </w:r>
            <w:proofErr w:type="spellEnd"/>
          </w:p>
        </w:tc>
      </w:tr>
      <w:tr w:rsidR="00D27DB9" w:rsidRPr="00E01DC0" w14:paraId="1395E989" w14:textId="77777777" w:rsidTr="00D60FEF">
        <w:tc>
          <w:tcPr>
            <w:tcW w:w="835" w:type="pct"/>
            <w:tcBorders>
              <w:top w:val="single" w:sz="4" w:space="0" w:color="auto"/>
              <w:left w:val="nil"/>
              <w:bottom w:val="nil"/>
              <w:right w:val="nil"/>
            </w:tcBorders>
          </w:tcPr>
          <w:p w14:paraId="3686AD0D"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single" w:sz="4" w:space="0" w:color="auto"/>
              <w:left w:val="nil"/>
              <w:bottom w:val="nil"/>
              <w:right w:val="nil"/>
            </w:tcBorders>
          </w:tcPr>
          <w:p w14:paraId="67A9A58F"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p>
        </w:tc>
        <w:tc>
          <w:tcPr>
            <w:tcW w:w="595" w:type="pct"/>
            <w:tcBorders>
              <w:top w:val="single" w:sz="4" w:space="0" w:color="auto"/>
              <w:left w:val="nil"/>
              <w:bottom w:val="nil"/>
              <w:right w:val="nil"/>
            </w:tcBorders>
          </w:tcPr>
          <w:p w14:paraId="724156FB"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p>
        </w:tc>
        <w:tc>
          <w:tcPr>
            <w:tcW w:w="595" w:type="pct"/>
            <w:tcBorders>
              <w:top w:val="single" w:sz="4" w:space="0" w:color="auto"/>
              <w:left w:val="nil"/>
              <w:bottom w:val="nil"/>
              <w:right w:val="nil"/>
            </w:tcBorders>
          </w:tcPr>
          <w:p w14:paraId="4FB2DAF0"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p>
        </w:tc>
        <w:tc>
          <w:tcPr>
            <w:tcW w:w="595" w:type="pct"/>
            <w:tcBorders>
              <w:top w:val="single" w:sz="4" w:space="0" w:color="auto"/>
              <w:left w:val="nil"/>
              <w:bottom w:val="nil"/>
              <w:right w:val="nil"/>
            </w:tcBorders>
          </w:tcPr>
          <w:p w14:paraId="1B85F77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p>
        </w:tc>
        <w:tc>
          <w:tcPr>
            <w:tcW w:w="595" w:type="pct"/>
            <w:tcBorders>
              <w:top w:val="single" w:sz="4" w:space="0" w:color="auto"/>
              <w:left w:val="nil"/>
              <w:bottom w:val="nil"/>
              <w:right w:val="nil"/>
            </w:tcBorders>
          </w:tcPr>
          <w:p w14:paraId="7D744921"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p>
        </w:tc>
        <w:tc>
          <w:tcPr>
            <w:tcW w:w="595" w:type="pct"/>
            <w:tcBorders>
              <w:top w:val="single" w:sz="4" w:space="0" w:color="auto"/>
              <w:left w:val="nil"/>
              <w:bottom w:val="nil"/>
              <w:right w:val="nil"/>
            </w:tcBorders>
          </w:tcPr>
          <w:p w14:paraId="7126653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p>
        </w:tc>
        <w:tc>
          <w:tcPr>
            <w:tcW w:w="595" w:type="pct"/>
            <w:tcBorders>
              <w:top w:val="single" w:sz="4" w:space="0" w:color="auto"/>
              <w:left w:val="nil"/>
              <w:bottom w:val="nil"/>
              <w:right w:val="nil"/>
            </w:tcBorders>
          </w:tcPr>
          <w:p w14:paraId="6905839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p>
        </w:tc>
      </w:tr>
      <w:tr w:rsidR="00D27DB9" w:rsidRPr="00E01DC0" w14:paraId="69ED49EC" w14:textId="77777777" w:rsidTr="00D60FEF">
        <w:tc>
          <w:tcPr>
            <w:tcW w:w="835" w:type="pct"/>
            <w:tcBorders>
              <w:top w:val="nil"/>
              <w:left w:val="nil"/>
              <w:bottom w:val="nil"/>
              <w:right w:val="nil"/>
            </w:tcBorders>
          </w:tcPr>
          <w:p w14:paraId="792CF0A7" w14:textId="77777777" w:rsidR="00D27DB9" w:rsidRPr="00E01DC0" w:rsidRDefault="00D27DB9" w:rsidP="00D60FEF">
            <w:pPr>
              <w:widowControl w:val="0"/>
              <w:autoSpaceDE w:val="0"/>
              <w:autoSpaceDN w:val="0"/>
              <w:adjustRightInd w:val="0"/>
              <w:spacing w:after="0" w:line="240" w:lineRule="auto"/>
              <w:rPr>
                <w:sz w:val="16"/>
                <w:szCs w:val="16"/>
                <w:lang w:val="en-US"/>
              </w:rPr>
            </w:pPr>
            <w:r>
              <w:rPr>
                <w:sz w:val="16"/>
                <w:szCs w:val="16"/>
                <w:lang w:val="en-US"/>
              </w:rPr>
              <w:t>A</w:t>
            </w:r>
            <w:r w:rsidRPr="00E01DC0">
              <w:rPr>
                <w:sz w:val="16"/>
                <w:szCs w:val="16"/>
                <w:lang w:val="en-US"/>
              </w:rPr>
              <w:t>ge</w:t>
            </w:r>
            <w:r>
              <w:rPr>
                <w:sz w:val="16"/>
                <w:szCs w:val="16"/>
                <w:lang w:val="en-US"/>
              </w:rPr>
              <w:t>: New</w:t>
            </w:r>
          </w:p>
        </w:tc>
        <w:tc>
          <w:tcPr>
            <w:tcW w:w="595" w:type="pct"/>
            <w:tcBorders>
              <w:top w:val="nil"/>
              <w:left w:val="nil"/>
              <w:bottom w:val="nil"/>
              <w:right w:val="nil"/>
            </w:tcBorders>
          </w:tcPr>
          <w:p w14:paraId="4C19263C" w14:textId="3A7E2A95"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-1.286</w:t>
            </w:r>
            <w:r w:rsidRPr="00E01DC0">
              <w:rPr>
                <w:sz w:val="16"/>
                <w:szCs w:val="16"/>
                <w:vertAlign w:val="superscript"/>
                <w:lang w:val="en-US"/>
              </w:rPr>
              <w:t>**</w:t>
            </w:r>
            <w:r w:rsidR="00F81CA9">
              <w:rPr>
                <w:sz w:val="16"/>
                <w:szCs w:val="16"/>
                <w:vertAlign w:val="superscript"/>
                <w:lang w:val="en-US"/>
              </w:rPr>
              <w:t>*</w:t>
            </w:r>
          </w:p>
        </w:tc>
        <w:tc>
          <w:tcPr>
            <w:tcW w:w="595" w:type="pct"/>
            <w:tcBorders>
              <w:top w:val="nil"/>
              <w:left w:val="nil"/>
              <w:bottom w:val="nil"/>
              <w:right w:val="nil"/>
            </w:tcBorders>
          </w:tcPr>
          <w:p w14:paraId="7BDCB777"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-1.212</w:t>
            </w:r>
            <w:r w:rsidRPr="00E01DC0">
              <w:rPr>
                <w:sz w:val="16"/>
                <w:szCs w:val="16"/>
                <w:vertAlign w:val="superscript"/>
                <w:lang w:val="en-US"/>
              </w:rPr>
              <w:t>***</w:t>
            </w:r>
          </w:p>
        </w:tc>
        <w:tc>
          <w:tcPr>
            <w:tcW w:w="595" w:type="pct"/>
            <w:tcBorders>
              <w:top w:val="nil"/>
              <w:left w:val="nil"/>
              <w:bottom w:val="nil"/>
              <w:right w:val="nil"/>
            </w:tcBorders>
          </w:tcPr>
          <w:p w14:paraId="5D77511B"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-0.962</w:t>
            </w:r>
            <w:r w:rsidRPr="00E01DC0">
              <w:rPr>
                <w:sz w:val="16"/>
                <w:szCs w:val="16"/>
                <w:vertAlign w:val="superscript"/>
                <w:lang w:val="en-US"/>
              </w:rPr>
              <w:t>***</w:t>
            </w:r>
          </w:p>
        </w:tc>
        <w:tc>
          <w:tcPr>
            <w:tcW w:w="595" w:type="pct"/>
            <w:tcBorders>
              <w:top w:val="nil"/>
              <w:left w:val="nil"/>
              <w:bottom w:val="nil"/>
              <w:right w:val="nil"/>
            </w:tcBorders>
          </w:tcPr>
          <w:p w14:paraId="456F62D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-1.733</w:t>
            </w:r>
            <w:r w:rsidRPr="00E01DC0">
              <w:rPr>
                <w:sz w:val="16"/>
                <w:szCs w:val="16"/>
                <w:vertAlign w:val="superscript"/>
                <w:lang w:val="en-US"/>
              </w:rPr>
              <w:t>***</w:t>
            </w:r>
          </w:p>
        </w:tc>
        <w:tc>
          <w:tcPr>
            <w:tcW w:w="595" w:type="pct"/>
            <w:tcBorders>
              <w:top w:val="nil"/>
              <w:left w:val="nil"/>
              <w:bottom w:val="nil"/>
              <w:right w:val="nil"/>
            </w:tcBorders>
          </w:tcPr>
          <w:p w14:paraId="5D2F600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-0.753</w:t>
            </w:r>
            <w:r w:rsidRPr="00E01DC0">
              <w:rPr>
                <w:sz w:val="16"/>
                <w:szCs w:val="16"/>
                <w:vertAlign w:val="superscript"/>
                <w:lang w:val="en-US"/>
              </w:rPr>
              <w:t>***</w:t>
            </w:r>
          </w:p>
        </w:tc>
        <w:tc>
          <w:tcPr>
            <w:tcW w:w="595" w:type="pct"/>
            <w:tcBorders>
              <w:top w:val="nil"/>
              <w:left w:val="nil"/>
              <w:bottom w:val="nil"/>
              <w:right w:val="nil"/>
            </w:tcBorders>
          </w:tcPr>
          <w:p w14:paraId="7D845797"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-0.988</w:t>
            </w:r>
            <w:r w:rsidRPr="00E01DC0">
              <w:rPr>
                <w:sz w:val="16"/>
                <w:szCs w:val="16"/>
                <w:vertAlign w:val="superscript"/>
                <w:lang w:val="en-US"/>
              </w:rPr>
              <w:t>***</w:t>
            </w:r>
          </w:p>
        </w:tc>
        <w:tc>
          <w:tcPr>
            <w:tcW w:w="595" w:type="pct"/>
            <w:tcBorders>
              <w:top w:val="nil"/>
              <w:left w:val="nil"/>
              <w:bottom w:val="nil"/>
              <w:right w:val="nil"/>
            </w:tcBorders>
          </w:tcPr>
          <w:p w14:paraId="592134A3"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-1.302</w:t>
            </w:r>
            <w:r w:rsidRPr="00E01DC0">
              <w:rPr>
                <w:sz w:val="16"/>
                <w:szCs w:val="16"/>
                <w:vertAlign w:val="superscript"/>
                <w:lang w:val="en-US"/>
              </w:rPr>
              <w:t>***</w:t>
            </w:r>
          </w:p>
        </w:tc>
      </w:tr>
      <w:tr w:rsidR="00D27DB9" w:rsidRPr="00E01DC0" w14:paraId="2532C8AE" w14:textId="77777777" w:rsidTr="00D60FEF">
        <w:tc>
          <w:tcPr>
            <w:tcW w:w="835" w:type="pct"/>
            <w:tcBorders>
              <w:top w:val="nil"/>
              <w:left w:val="nil"/>
              <w:bottom w:val="nil"/>
              <w:right w:val="nil"/>
            </w:tcBorders>
          </w:tcPr>
          <w:p w14:paraId="4F39D47A"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8991BD1"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(0.126)</w:t>
            </w:r>
          </w:p>
        </w:tc>
        <w:tc>
          <w:tcPr>
            <w:tcW w:w="595" w:type="pct"/>
            <w:tcBorders>
              <w:top w:val="nil"/>
              <w:left w:val="nil"/>
              <w:bottom w:val="nil"/>
              <w:right w:val="nil"/>
            </w:tcBorders>
          </w:tcPr>
          <w:p w14:paraId="24CD166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(0.132)</w:t>
            </w:r>
          </w:p>
        </w:tc>
        <w:tc>
          <w:tcPr>
            <w:tcW w:w="595" w:type="pct"/>
            <w:tcBorders>
              <w:top w:val="nil"/>
              <w:left w:val="nil"/>
              <w:bottom w:val="nil"/>
              <w:right w:val="nil"/>
            </w:tcBorders>
          </w:tcPr>
          <w:p w14:paraId="6AE1B327"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(0.149)</w:t>
            </w:r>
          </w:p>
        </w:tc>
        <w:tc>
          <w:tcPr>
            <w:tcW w:w="595" w:type="pct"/>
            <w:tcBorders>
              <w:top w:val="nil"/>
              <w:left w:val="nil"/>
              <w:bottom w:val="nil"/>
              <w:right w:val="nil"/>
            </w:tcBorders>
          </w:tcPr>
          <w:p w14:paraId="6FA2C66B"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(0.150)</w:t>
            </w:r>
          </w:p>
        </w:tc>
        <w:tc>
          <w:tcPr>
            <w:tcW w:w="595" w:type="pct"/>
            <w:tcBorders>
              <w:top w:val="nil"/>
              <w:left w:val="nil"/>
              <w:bottom w:val="nil"/>
              <w:right w:val="nil"/>
            </w:tcBorders>
          </w:tcPr>
          <w:p w14:paraId="52A2DC6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(0.0715)</w:t>
            </w:r>
          </w:p>
        </w:tc>
        <w:tc>
          <w:tcPr>
            <w:tcW w:w="595" w:type="pct"/>
            <w:tcBorders>
              <w:top w:val="nil"/>
              <w:left w:val="nil"/>
              <w:bottom w:val="nil"/>
              <w:right w:val="nil"/>
            </w:tcBorders>
          </w:tcPr>
          <w:p w14:paraId="4CEE13B0"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(0.0848)</w:t>
            </w:r>
          </w:p>
        </w:tc>
        <w:tc>
          <w:tcPr>
            <w:tcW w:w="595" w:type="pct"/>
            <w:tcBorders>
              <w:top w:val="nil"/>
              <w:left w:val="nil"/>
              <w:bottom w:val="nil"/>
              <w:right w:val="nil"/>
            </w:tcBorders>
          </w:tcPr>
          <w:p w14:paraId="6476309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(0.127)</w:t>
            </w:r>
          </w:p>
        </w:tc>
      </w:tr>
      <w:tr w:rsidR="00D27DB9" w:rsidRPr="00E01DC0" w14:paraId="38ADFDC1" w14:textId="77777777" w:rsidTr="00D60FEF">
        <w:tc>
          <w:tcPr>
            <w:tcW w:w="835" w:type="pct"/>
            <w:tcBorders>
              <w:top w:val="nil"/>
              <w:left w:val="nil"/>
              <w:bottom w:val="nil"/>
              <w:right w:val="nil"/>
            </w:tcBorders>
          </w:tcPr>
          <w:p w14:paraId="28497B0D"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26027246"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46E6A505"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1955967F"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037B4C46"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2C29CD82"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5ABDB0EB"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3A390628" w14:textId="77777777" w:rsidR="00D27DB9" w:rsidRPr="00E01DC0" w:rsidRDefault="00D27DB9" w:rsidP="00D60FEF">
            <w:pPr>
              <w:widowControl w:val="0"/>
              <w:autoSpaceDE w:val="0"/>
              <w:autoSpaceDN w:val="0"/>
              <w:adjustRightInd w:val="0"/>
              <w:spacing w:after="0" w:line="240" w:lineRule="auto"/>
              <w:rPr>
                <w:sz w:val="16"/>
                <w:szCs w:val="16"/>
                <w:lang w:val="en-US"/>
              </w:rPr>
            </w:pPr>
          </w:p>
        </w:tc>
      </w:tr>
      <w:tr w:rsidR="00D27DB9" w:rsidRPr="00E01DC0" w14:paraId="4777FE64" w14:textId="77777777" w:rsidTr="00D60FEF">
        <w:tc>
          <w:tcPr>
            <w:tcW w:w="835" w:type="pct"/>
            <w:tcBorders>
              <w:top w:val="nil"/>
              <w:left w:val="nil"/>
              <w:bottom w:val="nil"/>
              <w:right w:val="nil"/>
            </w:tcBorders>
          </w:tcPr>
          <w:p w14:paraId="05ECAB0F" w14:textId="77777777" w:rsidR="00D27DB9" w:rsidRPr="00E01DC0" w:rsidRDefault="00D27DB9" w:rsidP="00D60FEF">
            <w:pPr>
              <w:widowControl w:val="0"/>
              <w:autoSpaceDE w:val="0"/>
              <w:autoSpaceDN w:val="0"/>
              <w:adjustRightInd w:val="0"/>
              <w:spacing w:after="0" w:line="240" w:lineRule="auto"/>
              <w:rPr>
                <w:sz w:val="16"/>
                <w:szCs w:val="16"/>
                <w:lang w:val="en-US"/>
              </w:rPr>
            </w:pPr>
            <w:r>
              <w:rPr>
                <w:sz w:val="16"/>
                <w:szCs w:val="16"/>
                <w:lang w:val="en-US"/>
              </w:rPr>
              <w:t>A</w:t>
            </w:r>
            <w:r w:rsidRPr="00E01DC0">
              <w:rPr>
                <w:sz w:val="16"/>
                <w:szCs w:val="16"/>
                <w:lang w:val="en-US"/>
              </w:rPr>
              <w:t>ge</w:t>
            </w:r>
            <w:r>
              <w:rPr>
                <w:sz w:val="16"/>
                <w:szCs w:val="16"/>
                <w:lang w:val="en-US"/>
              </w:rPr>
              <w:t>: Young</w:t>
            </w:r>
          </w:p>
        </w:tc>
        <w:tc>
          <w:tcPr>
            <w:tcW w:w="595" w:type="pct"/>
            <w:tcBorders>
              <w:top w:val="nil"/>
              <w:left w:val="nil"/>
              <w:bottom w:val="nil"/>
              <w:right w:val="nil"/>
            </w:tcBorders>
          </w:tcPr>
          <w:p w14:paraId="636B1F09"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-0.851</w:t>
            </w:r>
            <w:r w:rsidRPr="00E01DC0">
              <w:rPr>
                <w:sz w:val="16"/>
                <w:szCs w:val="16"/>
                <w:vertAlign w:val="superscript"/>
                <w:lang w:val="en-US"/>
              </w:rPr>
              <w:t>***</w:t>
            </w:r>
          </w:p>
        </w:tc>
        <w:tc>
          <w:tcPr>
            <w:tcW w:w="595" w:type="pct"/>
            <w:tcBorders>
              <w:top w:val="nil"/>
              <w:left w:val="nil"/>
              <w:bottom w:val="nil"/>
              <w:right w:val="nil"/>
            </w:tcBorders>
          </w:tcPr>
          <w:p w14:paraId="1F928C24"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-0.785</w:t>
            </w:r>
            <w:r w:rsidRPr="00E01DC0">
              <w:rPr>
                <w:sz w:val="16"/>
                <w:szCs w:val="16"/>
                <w:vertAlign w:val="superscript"/>
                <w:lang w:val="en-US"/>
              </w:rPr>
              <w:t>***</w:t>
            </w:r>
          </w:p>
        </w:tc>
        <w:tc>
          <w:tcPr>
            <w:tcW w:w="595" w:type="pct"/>
            <w:tcBorders>
              <w:top w:val="nil"/>
              <w:left w:val="nil"/>
              <w:bottom w:val="nil"/>
              <w:right w:val="nil"/>
            </w:tcBorders>
          </w:tcPr>
          <w:p w14:paraId="5416FBD2"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-0.424</w:t>
            </w:r>
            <w:r w:rsidRPr="00E01DC0">
              <w:rPr>
                <w:sz w:val="16"/>
                <w:szCs w:val="16"/>
                <w:vertAlign w:val="superscript"/>
                <w:lang w:val="en-US"/>
              </w:rPr>
              <w:t>**</w:t>
            </w:r>
          </w:p>
        </w:tc>
        <w:tc>
          <w:tcPr>
            <w:tcW w:w="595" w:type="pct"/>
            <w:tcBorders>
              <w:top w:val="nil"/>
              <w:left w:val="nil"/>
              <w:bottom w:val="nil"/>
              <w:right w:val="nil"/>
            </w:tcBorders>
          </w:tcPr>
          <w:p w14:paraId="10C790B7"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-0.974</w:t>
            </w:r>
            <w:r w:rsidRPr="00E01DC0">
              <w:rPr>
                <w:sz w:val="16"/>
                <w:szCs w:val="16"/>
                <w:vertAlign w:val="superscript"/>
                <w:lang w:val="en-US"/>
              </w:rPr>
              <w:t>***</w:t>
            </w:r>
          </w:p>
        </w:tc>
        <w:tc>
          <w:tcPr>
            <w:tcW w:w="595" w:type="pct"/>
            <w:tcBorders>
              <w:top w:val="nil"/>
              <w:left w:val="nil"/>
              <w:bottom w:val="nil"/>
              <w:right w:val="nil"/>
            </w:tcBorders>
          </w:tcPr>
          <w:p w14:paraId="530785C2"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-0.484</w:t>
            </w:r>
            <w:r w:rsidRPr="00E01DC0">
              <w:rPr>
                <w:sz w:val="16"/>
                <w:szCs w:val="16"/>
                <w:vertAlign w:val="superscript"/>
                <w:lang w:val="en-US"/>
              </w:rPr>
              <w:t>***</w:t>
            </w:r>
          </w:p>
        </w:tc>
        <w:tc>
          <w:tcPr>
            <w:tcW w:w="595" w:type="pct"/>
            <w:tcBorders>
              <w:top w:val="nil"/>
              <w:left w:val="nil"/>
              <w:bottom w:val="nil"/>
              <w:right w:val="nil"/>
            </w:tcBorders>
          </w:tcPr>
          <w:p w14:paraId="62A3560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-0.558</w:t>
            </w:r>
            <w:r w:rsidRPr="00E01DC0">
              <w:rPr>
                <w:sz w:val="16"/>
                <w:szCs w:val="16"/>
                <w:vertAlign w:val="superscript"/>
                <w:lang w:val="en-US"/>
              </w:rPr>
              <w:t>***</w:t>
            </w:r>
          </w:p>
        </w:tc>
        <w:tc>
          <w:tcPr>
            <w:tcW w:w="595" w:type="pct"/>
            <w:tcBorders>
              <w:top w:val="nil"/>
              <w:left w:val="nil"/>
              <w:bottom w:val="nil"/>
              <w:right w:val="nil"/>
            </w:tcBorders>
          </w:tcPr>
          <w:p w14:paraId="2F28B36C"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-0.894</w:t>
            </w:r>
            <w:r w:rsidRPr="00E01DC0">
              <w:rPr>
                <w:sz w:val="16"/>
                <w:szCs w:val="16"/>
                <w:vertAlign w:val="superscript"/>
                <w:lang w:val="en-US"/>
              </w:rPr>
              <w:t>***</w:t>
            </w:r>
          </w:p>
        </w:tc>
      </w:tr>
      <w:tr w:rsidR="00D27DB9" w:rsidRPr="00E01DC0" w14:paraId="4F529629" w14:textId="77777777" w:rsidTr="00D60FEF">
        <w:tc>
          <w:tcPr>
            <w:tcW w:w="835" w:type="pct"/>
            <w:tcBorders>
              <w:top w:val="nil"/>
              <w:left w:val="nil"/>
              <w:bottom w:val="nil"/>
              <w:right w:val="nil"/>
            </w:tcBorders>
          </w:tcPr>
          <w:p w14:paraId="61671918"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4B3A949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(0.138)</w:t>
            </w:r>
          </w:p>
        </w:tc>
        <w:tc>
          <w:tcPr>
            <w:tcW w:w="595" w:type="pct"/>
            <w:tcBorders>
              <w:top w:val="nil"/>
              <w:left w:val="nil"/>
              <w:bottom w:val="nil"/>
              <w:right w:val="nil"/>
            </w:tcBorders>
          </w:tcPr>
          <w:p w14:paraId="2163741F"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(0.144)</w:t>
            </w:r>
          </w:p>
        </w:tc>
        <w:tc>
          <w:tcPr>
            <w:tcW w:w="595" w:type="pct"/>
            <w:tcBorders>
              <w:top w:val="nil"/>
              <w:left w:val="nil"/>
              <w:bottom w:val="nil"/>
              <w:right w:val="nil"/>
            </w:tcBorders>
          </w:tcPr>
          <w:p w14:paraId="7F6A881F"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(0.160)</w:t>
            </w:r>
          </w:p>
        </w:tc>
        <w:tc>
          <w:tcPr>
            <w:tcW w:w="595" w:type="pct"/>
            <w:tcBorders>
              <w:top w:val="nil"/>
              <w:left w:val="nil"/>
              <w:bottom w:val="nil"/>
              <w:right w:val="nil"/>
            </w:tcBorders>
          </w:tcPr>
          <w:p w14:paraId="34F51CA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(0.163)</w:t>
            </w:r>
          </w:p>
        </w:tc>
        <w:tc>
          <w:tcPr>
            <w:tcW w:w="595" w:type="pct"/>
            <w:tcBorders>
              <w:top w:val="nil"/>
              <w:left w:val="nil"/>
              <w:bottom w:val="nil"/>
              <w:right w:val="nil"/>
            </w:tcBorders>
          </w:tcPr>
          <w:p w14:paraId="3A59E5C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(0.0796)</w:t>
            </w:r>
          </w:p>
        </w:tc>
        <w:tc>
          <w:tcPr>
            <w:tcW w:w="595" w:type="pct"/>
            <w:tcBorders>
              <w:top w:val="nil"/>
              <w:left w:val="nil"/>
              <w:bottom w:val="nil"/>
              <w:right w:val="nil"/>
            </w:tcBorders>
          </w:tcPr>
          <w:p w14:paraId="25D1B1DB"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(0.0942)</w:t>
            </w:r>
          </w:p>
        </w:tc>
        <w:tc>
          <w:tcPr>
            <w:tcW w:w="595" w:type="pct"/>
            <w:tcBorders>
              <w:top w:val="nil"/>
              <w:left w:val="nil"/>
              <w:bottom w:val="nil"/>
              <w:right w:val="nil"/>
            </w:tcBorders>
          </w:tcPr>
          <w:p w14:paraId="78A0E3D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(0.139)</w:t>
            </w:r>
          </w:p>
        </w:tc>
      </w:tr>
      <w:tr w:rsidR="00D27DB9" w:rsidRPr="00E01DC0" w14:paraId="5C72FDE5" w14:textId="77777777" w:rsidTr="00D60FEF">
        <w:tc>
          <w:tcPr>
            <w:tcW w:w="835" w:type="pct"/>
            <w:tcBorders>
              <w:top w:val="nil"/>
              <w:left w:val="nil"/>
              <w:bottom w:val="nil"/>
              <w:right w:val="nil"/>
            </w:tcBorders>
          </w:tcPr>
          <w:p w14:paraId="2E578CEB"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6FC5EE08"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1749A0DF"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EAD3724"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56295FC1"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0C4B5CBD"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4231682C"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C762B95" w14:textId="77777777" w:rsidR="00D27DB9" w:rsidRPr="00E01DC0" w:rsidRDefault="00D27DB9" w:rsidP="00D60FEF">
            <w:pPr>
              <w:widowControl w:val="0"/>
              <w:autoSpaceDE w:val="0"/>
              <w:autoSpaceDN w:val="0"/>
              <w:adjustRightInd w:val="0"/>
              <w:spacing w:after="0" w:line="240" w:lineRule="auto"/>
              <w:rPr>
                <w:sz w:val="16"/>
                <w:szCs w:val="16"/>
                <w:lang w:val="en-US"/>
              </w:rPr>
            </w:pPr>
          </w:p>
        </w:tc>
      </w:tr>
      <w:tr w:rsidR="00D27DB9" w:rsidRPr="00E01DC0" w14:paraId="34303C37" w14:textId="77777777" w:rsidTr="00D60FEF">
        <w:tc>
          <w:tcPr>
            <w:tcW w:w="835" w:type="pct"/>
            <w:tcBorders>
              <w:top w:val="nil"/>
              <w:left w:val="nil"/>
              <w:bottom w:val="nil"/>
              <w:right w:val="nil"/>
            </w:tcBorders>
          </w:tcPr>
          <w:p w14:paraId="42832351" w14:textId="77777777" w:rsidR="00D27DB9" w:rsidRPr="00E01DC0" w:rsidRDefault="00D27DB9" w:rsidP="00D60FEF">
            <w:pPr>
              <w:widowControl w:val="0"/>
              <w:autoSpaceDE w:val="0"/>
              <w:autoSpaceDN w:val="0"/>
              <w:adjustRightInd w:val="0"/>
              <w:spacing w:after="0" w:line="240" w:lineRule="auto"/>
              <w:rPr>
                <w:sz w:val="16"/>
                <w:szCs w:val="16"/>
                <w:lang w:val="en-US"/>
              </w:rPr>
            </w:pPr>
            <w:r w:rsidRPr="00E01DC0">
              <w:rPr>
                <w:sz w:val="16"/>
                <w:szCs w:val="16"/>
                <w:lang w:val="en-US"/>
              </w:rPr>
              <w:t>Legal Tradition - Civil</w:t>
            </w:r>
          </w:p>
        </w:tc>
        <w:tc>
          <w:tcPr>
            <w:tcW w:w="595" w:type="pct"/>
            <w:tcBorders>
              <w:top w:val="nil"/>
              <w:left w:val="nil"/>
              <w:bottom w:val="nil"/>
              <w:right w:val="nil"/>
            </w:tcBorders>
          </w:tcPr>
          <w:p w14:paraId="3BEEAE32"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0.161</w:t>
            </w:r>
          </w:p>
        </w:tc>
        <w:tc>
          <w:tcPr>
            <w:tcW w:w="595" w:type="pct"/>
            <w:tcBorders>
              <w:top w:val="nil"/>
              <w:left w:val="nil"/>
              <w:bottom w:val="nil"/>
              <w:right w:val="nil"/>
            </w:tcBorders>
          </w:tcPr>
          <w:p w14:paraId="4E9D90D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0.131</w:t>
            </w:r>
          </w:p>
        </w:tc>
        <w:tc>
          <w:tcPr>
            <w:tcW w:w="595" w:type="pct"/>
            <w:tcBorders>
              <w:top w:val="nil"/>
              <w:left w:val="nil"/>
              <w:bottom w:val="nil"/>
              <w:right w:val="nil"/>
            </w:tcBorders>
          </w:tcPr>
          <w:p w14:paraId="0DCAC920"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0.210</w:t>
            </w:r>
            <w:r w:rsidRPr="00E01DC0">
              <w:rPr>
                <w:sz w:val="16"/>
                <w:szCs w:val="16"/>
                <w:vertAlign w:val="superscript"/>
                <w:lang w:val="en-US"/>
              </w:rPr>
              <w:t>*</w:t>
            </w:r>
          </w:p>
        </w:tc>
        <w:tc>
          <w:tcPr>
            <w:tcW w:w="595" w:type="pct"/>
            <w:tcBorders>
              <w:top w:val="nil"/>
              <w:left w:val="nil"/>
              <w:bottom w:val="nil"/>
              <w:right w:val="nil"/>
            </w:tcBorders>
          </w:tcPr>
          <w:p w14:paraId="37928081"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-1.374</w:t>
            </w:r>
            <w:r w:rsidRPr="00E01DC0">
              <w:rPr>
                <w:sz w:val="16"/>
                <w:szCs w:val="16"/>
                <w:vertAlign w:val="superscript"/>
                <w:lang w:val="en-US"/>
              </w:rPr>
              <w:t>***</w:t>
            </w:r>
          </w:p>
        </w:tc>
        <w:tc>
          <w:tcPr>
            <w:tcW w:w="595" w:type="pct"/>
            <w:tcBorders>
              <w:top w:val="nil"/>
              <w:left w:val="nil"/>
              <w:bottom w:val="nil"/>
              <w:right w:val="nil"/>
            </w:tcBorders>
          </w:tcPr>
          <w:p w14:paraId="0A58B154"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0.104</w:t>
            </w:r>
            <w:r w:rsidRPr="00E01DC0">
              <w:rPr>
                <w:sz w:val="16"/>
                <w:szCs w:val="16"/>
                <w:vertAlign w:val="superscript"/>
                <w:lang w:val="en-US"/>
              </w:rPr>
              <w:t>*</w:t>
            </w:r>
          </w:p>
        </w:tc>
        <w:tc>
          <w:tcPr>
            <w:tcW w:w="595" w:type="pct"/>
            <w:tcBorders>
              <w:top w:val="nil"/>
              <w:left w:val="nil"/>
              <w:bottom w:val="nil"/>
              <w:right w:val="nil"/>
            </w:tcBorders>
          </w:tcPr>
          <w:p w14:paraId="07979C8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-0.802</w:t>
            </w:r>
            <w:r w:rsidRPr="00E01DC0">
              <w:rPr>
                <w:sz w:val="16"/>
                <w:szCs w:val="16"/>
                <w:vertAlign w:val="superscript"/>
                <w:lang w:val="en-US"/>
              </w:rPr>
              <w:t>***</w:t>
            </w:r>
          </w:p>
        </w:tc>
        <w:tc>
          <w:tcPr>
            <w:tcW w:w="595" w:type="pct"/>
            <w:tcBorders>
              <w:top w:val="nil"/>
              <w:left w:val="nil"/>
              <w:bottom w:val="nil"/>
              <w:right w:val="nil"/>
            </w:tcBorders>
          </w:tcPr>
          <w:p w14:paraId="5E5D1660"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0.480</w:t>
            </w:r>
            <w:r w:rsidRPr="00E01DC0">
              <w:rPr>
                <w:sz w:val="16"/>
                <w:szCs w:val="16"/>
                <w:vertAlign w:val="superscript"/>
                <w:lang w:val="en-US"/>
              </w:rPr>
              <w:t>***</w:t>
            </w:r>
          </w:p>
        </w:tc>
      </w:tr>
      <w:tr w:rsidR="00D27DB9" w:rsidRPr="00E01DC0" w14:paraId="26419DFA" w14:textId="77777777" w:rsidTr="00D60FEF">
        <w:tc>
          <w:tcPr>
            <w:tcW w:w="835" w:type="pct"/>
            <w:tcBorders>
              <w:top w:val="nil"/>
              <w:left w:val="nil"/>
              <w:bottom w:val="nil"/>
              <w:right w:val="nil"/>
            </w:tcBorders>
          </w:tcPr>
          <w:p w14:paraId="3982CD91"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6A15075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(0.0863)</w:t>
            </w:r>
          </w:p>
        </w:tc>
        <w:tc>
          <w:tcPr>
            <w:tcW w:w="595" w:type="pct"/>
            <w:tcBorders>
              <w:top w:val="nil"/>
              <w:left w:val="nil"/>
              <w:bottom w:val="nil"/>
              <w:right w:val="nil"/>
            </w:tcBorders>
          </w:tcPr>
          <w:p w14:paraId="43C89D3B"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(0.0882)</w:t>
            </w:r>
          </w:p>
        </w:tc>
        <w:tc>
          <w:tcPr>
            <w:tcW w:w="595" w:type="pct"/>
            <w:tcBorders>
              <w:top w:val="nil"/>
              <w:left w:val="nil"/>
              <w:bottom w:val="nil"/>
              <w:right w:val="nil"/>
            </w:tcBorders>
          </w:tcPr>
          <w:p w14:paraId="0244B27C"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(0.0945)</w:t>
            </w:r>
          </w:p>
        </w:tc>
        <w:tc>
          <w:tcPr>
            <w:tcW w:w="595" w:type="pct"/>
            <w:tcBorders>
              <w:top w:val="nil"/>
              <w:left w:val="nil"/>
              <w:bottom w:val="nil"/>
              <w:right w:val="nil"/>
            </w:tcBorders>
          </w:tcPr>
          <w:p w14:paraId="207FEE8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(0.108)</w:t>
            </w:r>
          </w:p>
        </w:tc>
        <w:tc>
          <w:tcPr>
            <w:tcW w:w="595" w:type="pct"/>
            <w:tcBorders>
              <w:top w:val="nil"/>
              <w:left w:val="nil"/>
              <w:bottom w:val="nil"/>
              <w:right w:val="nil"/>
            </w:tcBorders>
          </w:tcPr>
          <w:p w14:paraId="66EF773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(0.0513)</w:t>
            </w:r>
          </w:p>
        </w:tc>
        <w:tc>
          <w:tcPr>
            <w:tcW w:w="595" w:type="pct"/>
            <w:tcBorders>
              <w:top w:val="nil"/>
              <w:left w:val="nil"/>
              <w:bottom w:val="nil"/>
              <w:right w:val="nil"/>
            </w:tcBorders>
          </w:tcPr>
          <w:p w14:paraId="0BBD10E3"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(0.0632)</w:t>
            </w:r>
          </w:p>
        </w:tc>
        <w:tc>
          <w:tcPr>
            <w:tcW w:w="595" w:type="pct"/>
            <w:tcBorders>
              <w:top w:val="nil"/>
              <w:left w:val="nil"/>
              <w:bottom w:val="nil"/>
              <w:right w:val="nil"/>
            </w:tcBorders>
          </w:tcPr>
          <w:p w14:paraId="6F3D85C4"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(0.0925)</w:t>
            </w:r>
          </w:p>
        </w:tc>
      </w:tr>
      <w:tr w:rsidR="00D27DB9" w:rsidRPr="00E01DC0" w14:paraId="1B1B9F3F" w14:textId="77777777" w:rsidTr="00D60FEF">
        <w:tc>
          <w:tcPr>
            <w:tcW w:w="835" w:type="pct"/>
            <w:tcBorders>
              <w:top w:val="nil"/>
              <w:left w:val="nil"/>
              <w:bottom w:val="nil"/>
              <w:right w:val="nil"/>
            </w:tcBorders>
          </w:tcPr>
          <w:p w14:paraId="3E563758"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0C95F54D"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6FF045A4"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6FAC8708"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48C531D2"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50151F21"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555806A9"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2D045AC9" w14:textId="77777777" w:rsidR="00D27DB9" w:rsidRPr="00E01DC0" w:rsidRDefault="00D27DB9" w:rsidP="00D60FEF">
            <w:pPr>
              <w:widowControl w:val="0"/>
              <w:autoSpaceDE w:val="0"/>
              <w:autoSpaceDN w:val="0"/>
              <w:adjustRightInd w:val="0"/>
              <w:spacing w:after="0" w:line="240" w:lineRule="auto"/>
              <w:rPr>
                <w:sz w:val="16"/>
                <w:szCs w:val="16"/>
                <w:lang w:val="en-US"/>
              </w:rPr>
            </w:pPr>
          </w:p>
        </w:tc>
      </w:tr>
      <w:tr w:rsidR="00D27DB9" w:rsidRPr="00E01DC0" w14:paraId="76FF6830" w14:textId="77777777" w:rsidTr="00D60FEF">
        <w:tc>
          <w:tcPr>
            <w:tcW w:w="835" w:type="pct"/>
            <w:tcBorders>
              <w:top w:val="nil"/>
              <w:left w:val="nil"/>
              <w:bottom w:val="nil"/>
              <w:right w:val="nil"/>
            </w:tcBorders>
          </w:tcPr>
          <w:p w14:paraId="0DB8FFA5" w14:textId="77777777" w:rsidR="00D27DB9" w:rsidRPr="00E01DC0" w:rsidRDefault="00D27DB9" w:rsidP="00D60FEF">
            <w:pPr>
              <w:widowControl w:val="0"/>
              <w:autoSpaceDE w:val="0"/>
              <w:autoSpaceDN w:val="0"/>
              <w:adjustRightInd w:val="0"/>
              <w:spacing w:after="0" w:line="240" w:lineRule="auto"/>
              <w:rPr>
                <w:sz w:val="16"/>
                <w:szCs w:val="16"/>
                <w:lang w:val="en-US"/>
              </w:rPr>
            </w:pPr>
            <w:r w:rsidRPr="00E01DC0">
              <w:rPr>
                <w:sz w:val="16"/>
                <w:szCs w:val="16"/>
                <w:lang w:val="en-US"/>
              </w:rPr>
              <w:t>Legal Tradition - Others</w:t>
            </w:r>
          </w:p>
        </w:tc>
        <w:tc>
          <w:tcPr>
            <w:tcW w:w="595" w:type="pct"/>
            <w:tcBorders>
              <w:top w:val="nil"/>
              <w:left w:val="nil"/>
              <w:bottom w:val="nil"/>
              <w:right w:val="nil"/>
            </w:tcBorders>
          </w:tcPr>
          <w:p w14:paraId="0D34028F"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1.161</w:t>
            </w:r>
            <w:r w:rsidRPr="00E01DC0">
              <w:rPr>
                <w:sz w:val="16"/>
                <w:szCs w:val="16"/>
                <w:vertAlign w:val="superscript"/>
                <w:lang w:val="en-US"/>
              </w:rPr>
              <w:t>***</w:t>
            </w:r>
          </w:p>
        </w:tc>
        <w:tc>
          <w:tcPr>
            <w:tcW w:w="595" w:type="pct"/>
            <w:tcBorders>
              <w:top w:val="nil"/>
              <w:left w:val="nil"/>
              <w:bottom w:val="nil"/>
              <w:right w:val="nil"/>
            </w:tcBorders>
          </w:tcPr>
          <w:p w14:paraId="1F52E27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1.171</w:t>
            </w:r>
            <w:r w:rsidRPr="00E01DC0">
              <w:rPr>
                <w:sz w:val="16"/>
                <w:szCs w:val="16"/>
                <w:vertAlign w:val="superscript"/>
                <w:lang w:val="en-US"/>
              </w:rPr>
              <w:t>***</w:t>
            </w:r>
          </w:p>
        </w:tc>
        <w:tc>
          <w:tcPr>
            <w:tcW w:w="595" w:type="pct"/>
            <w:tcBorders>
              <w:top w:val="nil"/>
              <w:left w:val="nil"/>
              <w:bottom w:val="nil"/>
              <w:right w:val="nil"/>
            </w:tcBorders>
          </w:tcPr>
          <w:p w14:paraId="49C6EA1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1.386</w:t>
            </w:r>
            <w:r w:rsidRPr="00E01DC0">
              <w:rPr>
                <w:sz w:val="16"/>
                <w:szCs w:val="16"/>
                <w:vertAlign w:val="superscript"/>
                <w:lang w:val="en-US"/>
              </w:rPr>
              <w:t>***</w:t>
            </w:r>
          </w:p>
        </w:tc>
        <w:tc>
          <w:tcPr>
            <w:tcW w:w="595" w:type="pct"/>
            <w:tcBorders>
              <w:top w:val="nil"/>
              <w:left w:val="nil"/>
              <w:bottom w:val="nil"/>
              <w:right w:val="nil"/>
            </w:tcBorders>
          </w:tcPr>
          <w:p w14:paraId="6F10302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1.073</w:t>
            </w:r>
            <w:r w:rsidRPr="00E01DC0">
              <w:rPr>
                <w:sz w:val="16"/>
                <w:szCs w:val="16"/>
                <w:vertAlign w:val="superscript"/>
                <w:lang w:val="en-US"/>
              </w:rPr>
              <w:t>***</w:t>
            </w:r>
          </w:p>
        </w:tc>
        <w:tc>
          <w:tcPr>
            <w:tcW w:w="595" w:type="pct"/>
            <w:tcBorders>
              <w:top w:val="nil"/>
              <w:left w:val="nil"/>
              <w:bottom w:val="nil"/>
              <w:right w:val="nil"/>
            </w:tcBorders>
          </w:tcPr>
          <w:p w14:paraId="5B151FC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0.670</w:t>
            </w:r>
            <w:r w:rsidRPr="00E01DC0">
              <w:rPr>
                <w:sz w:val="16"/>
                <w:szCs w:val="16"/>
                <w:vertAlign w:val="superscript"/>
                <w:lang w:val="en-US"/>
              </w:rPr>
              <w:t>***</w:t>
            </w:r>
          </w:p>
        </w:tc>
        <w:tc>
          <w:tcPr>
            <w:tcW w:w="595" w:type="pct"/>
            <w:tcBorders>
              <w:top w:val="nil"/>
              <w:left w:val="nil"/>
              <w:bottom w:val="nil"/>
              <w:right w:val="nil"/>
            </w:tcBorders>
          </w:tcPr>
          <w:p w14:paraId="5471628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0.664</w:t>
            </w:r>
            <w:r w:rsidRPr="00E01DC0">
              <w:rPr>
                <w:sz w:val="16"/>
                <w:szCs w:val="16"/>
                <w:vertAlign w:val="superscript"/>
                <w:lang w:val="en-US"/>
              </w:rPr>
              <w:t>***</w:t>
            </w:r>
          </w:p>
        </w:tc>
        <w:tc>
          <w:tcPr>
            <w:tcW w:w="595" w:type="pct"/>
            <w:tcBorders>
              <w:top w:val="nil"/>
              <w:left w:val="nil"/>
              <w:bottom w:val="nil"/>
              <w:right w:val="nil"/>
            </w:tcBorders>
          </w:tcPr>
          <w:p w14:paraId="1CDD75D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1.638</w:t>
            </w:r>
            <w:r w:rsidRPr="00E01DC0">
              <w:rPr>
                <w:sz w:val="16"/>
                <w:szCs w:val="16"/>
                <w:vertAlign w:val="superscript"/>
                <w:lang w:val="en-US"/>
              </w:rPr>
              <w:t>***</w:t>
            </w:r>
          </w:p>
        </w:tc>
      </w:tr>
      <w:tr w:rsidR="00D27DB9" w:rsidRPr="00E01DC0" w14:paraId="7D1CF5DB" w14:textId="77777777" w:rsidTr="00D60FEF">
        <w:tc>
          <w:tcPr>
            <w:tcW w:w="835" w:type="pct"/>
            <w:tcBorders>
              <w:top w:val="nil"/>
              <w:left w:val="nil"/>
              <w:bottom w:val="nil"/>
              <w:right w:val="nil"/>
            </w:tcBorders>
          </w:tcPr>
          <w:p w14:paraId="3F4CEF86"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058DCBB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(0.157)</w:t>
            </w:r>
          </w:p>
        </w:tc>
        <w:tc>
          <w:tcPr>
            <w:tcW w:w="595" w:type="pct"/>
            <w:tcBorders>
              <w:top w:val="nil"/>
              <w:left w:val="nil"/>
              <w:bottom w:val="nil"/>
              <w:right w:val="nil"/>
            </w:tcBorders>
          </w:tcPr>
          <w:p w14:paraId="2BCCCB67"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(0.159)</w:t>
            </w:r>
          </w:p>
        </w:tc>
        <w:tc>
          <w:tcPr>
            <w:tcW w:w="595" w:type="pct"/>
            <w:tcBorders>
              <w:top w:val="nil"/>
              <w:left w:val="nil"/>
              <w:bottom w:val="nil"/>
              <w:right w:val="nil"/>
            </w:tcBorders>
          </w:tcPr>
          <w:p w14:paraId="6AA3F06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(0.166)</w:t>
            </w:r>
          </w:p>
        </w:tc>
        <w:tc>
          <w:tcPr>
            <w:tcW w:w="595" w:type="pct"/>
            <w:tcBorders>
              <w:top w:val="nil"/>
              <w:left w:val="nil"/>
              <w:bottom w:val="nil"/>
              <w:right w:val="nil"/>
            </w:tcBorders>
          </w:tcPr>
          <w:p w14:paraId="2E4B86C7"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(0.166)</w:t>
            </w:r>
          </w:p>
        </w:tc>
        <w:tc>
          <w:tcPr>
            <w:tcW w:w="595" w:type="pct"/>
            <w:tcBorders>
              <w:top w:val="nil"/>
              <w:left w:val="nil"/>
              <w:bottom w:val="nil"/>
              <w:right w:val="nil"/>
            </w:tcBorders>
          </w:tcPr>
          <w:p w14:paraId="227E3977"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(0.0860)</w:t>
            </w:r>
          </w:p>
        </w:tc>
        <w:tc>
          <w:tcPr>
            <w:tcW w:w="595" w:type="pct"/>
            <w:tcBorders>
              <w:top w:val="nil"/>
              <w:left w:val="nil"/>
              <w:bottom w:val="nil"/>
              <w:right w:val="nil"/>
            </w:tcBorders>
          </w:tcPr>
          <w:p w14:paraId="5F6F546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(0.0954)</w:t>
            </w:r>
          </w:p>
        </w:tc>
        <w:tc>
          <w:tcPr>
            <w:tcW w:w="595" w:type="pct"/>
            <w:tcBorders>
              <w:top w:val="nil"/>
              <w:left w:val="nil"/>
              <w:bottom w:val="nil"/>
              <w:right w:val="nil"/>
            </w:tcBorders>
          </w:tcPr>
          <w:p w14:paraId="4D06133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(0.162)</w:t>
            </w:r>
          </w:p>
        </w:tc>
      </w:tr>
      <w:tr w:rsidR="00D27DB9" w:rsidRPr="00E01DC0" w14:paraId="5A1160EF" w14:textId="77777777" w:rsidTr="00D60FEF">
        <w:tc>
          <w:tcPr>
            <w:tcW w:w="835" w:type="pct"/>
            <w:tcBorders>
              <w:top w:val="nil"/>
              <w:left w:val="nil"/>
              <w:bottom w:val="nil"/>
              <w:right w:val="nil"/>
            </w:tcBorders>
          </w:tcPr>
          <w:p w14:paraId="5B10C592"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2D786B59"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FBB1217"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46B1F79D"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3475143C"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0A95FF3E"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376D9EE7"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0375D24C" w14:textId="77777777" w:rsidR="00D27DB9" w:rsidRPr="00E01DC0" w:rsidRDefault="00D27DB9" w:rsidP="00D60FEF">
            <w:pPr>
              <w:widowControl w:val="0"/>
              <w:autoSpaceDE w:val="0"/>
              <w:autoSpaceDN w:val="0"/>
              <w:adjustRightInd w:val="0"/>
              <w:spacing w:after="0" w:line="240" w:lineRule="auto"/>
              <w:rPr>
                <w:sz w:val="16"/>
                <w:szCs w:val="16"/>
                <w:lang w:val="en-US"/>
              </w:rPr>
            </w:pPr>
          </w:p>
        </w:tc>
      </w:tr>
      <w:tr w:rsidR="00D27DB9" w:rsidRPr="00E01DC0" w14:paraId="14FA3378" w14:textId="77777777" w:rsidTr="00D60FEF">
        <w:tc>
          <w:tcPr>
            <w:tcW w:w="835" w:type="pct"/>
            <w:tcBorders>
              <w:top w:val="nil"/>
              <w:left w:val="nil"/>
              <w:bottom w:val="nil"/>
              <w:right w:val="nil"/>
            </w:tcBorders>
          </w:tcPr>
          <w:p w14:paraId="67C09AEC" w14:textId="77777777" w:rsidR="00D27DB9" w:rsidRPr="00E01DC0" w:rsidRDefault="00D27DB9" w:rsidP="00D60FEF">
            <w:pPr>
              <w:widowControl w:val="0"/>
              <w:autoSpaceDE w:val="0"/>
              <w:autoSpaceDN w:val="0"/>
              <w:adjustRightInd w:val="0"/>
              <w:spacing w:after="0" w:line="240" w:lineRule="auto"/>
              <w:rPr>
                <w:sz w:val="16"/>
                <w:szCs w:val="16"/>
                <w:lang w:val="en-US"/>
              </w:rPr>
            </w:pPr>
            <w:r w:rsidRPr="00E01DC0">
              <w:rPr>
                <w:sz w:val="16"/>
                <w:szCs w:val="16"/>
                <w:lang w:val="en-US"/>
              </w:rPr>
              <w:t>Asset Structure</w:t>
            </w:r>
          </w:p>
        </w:tc>
        <w:tc>
          <w:tcPr>
            <w:tcW w:w="595" w:type="pct"/>
            <w:tcBorders>
              <w:top w:val="nil"/>
              <w:left w:val="nil"/>
              <w:bottom w:val="nil"/>
              <w:right w:val="nil"/>
            </w:tcBorders>
          </w:tcPr>
          <w:p w14:paraId="6304315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-0.536</w:t>
            </w:r>
          </w:p>
        </w:tc>
        <w:tc>
          <w:tcPr>
            <w:tcW w:w="595" w:type="pct"/>
            <w:tcBorders>
              <w:top w:val="nil"/>
              <w:left w:val="nil"/>
              <w:bottom w:val="nil"/>
              <w:right w:val="nil"/>
            </w:tcBorders>
          </w:tcPr>
          <w:p w14:paraId="32E6B0A0"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-0.465</w:t>
            </w:r>
          </w:p>
        </w:tc>
        <w:tc>
          <w:tcPr>
            <w:tcW w:w="595" w:type="pct"/>
            <w:tcBorders>
              <w:top w:val="nil"/>
              <w:left w:val="nil"/>
              <w:bottom w:val="nil"/>
              <w:right w:val="nil"/>
            </w:tcBorders>
          </w:tcPr>
          <w:p w14:paraId="5712BCEB"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0.0770</w:t>
            </w:r>
          </w:p>
        </w:tc>
        <w:tc>
          <w:tcPr>
            <w:tcW w:w="595" w:type="pct"/>
            <w:tcBorders>
              <w:top w:val="nil"/>
              <w:left w:val="nil"/>
              <w:bottom w:val="nil"/>
              <w:right w:val="nil"/>
            </w:tcBorders>
          </w:tcPr>
          <w:p w14:paraId="04E67890"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-1.296</w:t>
            </w:r>
          </w:p>
        </w:tc>
        <w:tc>
          <w:tcPr>
            <w:tcW w:w="595" w:type="pct"/>
            <w:tcBorders>
              <w:top w:val="nil"/>
              <w:left w:val="nil"/>
              <w:bottom w:val="nil"/>
              <w:right w:val="nil"/>
            </w:tcBorders>
          </w:tcPr>
          <w:p w14:paraId="18ABE31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-0.338</w:t>
            </w:r>
          </w:p>
        </w:tc>
        <w:tc>
          <w:tcPr>
            <w:tcW w:w="595" w:type="pct"/>
            <w:tcBorders>
              <w:top w:val="nil"/>
              <w:left w:val="nil"/>
              <w:bottom w:val="nil"/>
              <w:right w:val="nil"/>
            </w:tcBorders>
          </w:tcPr>
          <w:p w14:paraId="1533945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-0.724</w:t>
            </w:r>
          </w:p>
        </w:tc>
        <w:tc>
          <w:tcPr>
            <w:tcW w:w="595" w:type="pct"/>
            <w:tcBorders>
              <w:top w:val="nil"/>
              <w:left w:val="nil"/>
              <w:bottom w:val="nil"/>
              <w:right w:val="nil"/>
            </w:tcBorders>
          </w:tcPr>
          <w:p w14:paraId="76CF97A9"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0.353</w:t>
            </w:r>
          </w:p>
        </w:tc>
      </w:tr>
      <w:tr w:rsidR="00D27DB9" w:rsidRPr="00E01DC0" w14:paraId="1713D84A" w14:textId="77777777" w:rsidTr="00D60FEF">
        <w:tc>
          <w:tcPr>
            <w:tcW w:w="835" w:type="pct"/>
            <w:tcBorders>
              <w:top w:val="nil"/>
              <w:left w:val="nil"/>
              <w:bottom w:val="nil"/>
              <w:right w:val="nil"/>
            </w:tcBorders>
          </w:tcPr>
          <w:p w14:paraId="5D954CD9"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43B1FAE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(0.555)</w:t>
            </w:r>
          </w:p>
        </w:tc>
        <w:tc>
          <w:tcPr>
            <w:tcW w:w="595" w:type="pct"/>
            <w:tcBorders>
              <w:top w:val="nil"/>
              <w:left w:val="nil"/>
              <w:bottom w:val="nil"/>
              <w:right w:val="nil"/>
            </w:tcBorders>
          </w:tcPr>
          <w:p w14:paraId="1DF309C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(0.584)</w:t>
            </w:r>
          </w:p>
        </w:tc>
        <w:tc>
          <w:tcPr>
            <w:tcW w:w="595" w:type="pct"/>
            <w:tcBorders>
              <w:top w:val="nil"/>
              <w:left w:val="nil"/>
              <w:bottom w:val="nil"/>
              <w:right w:val="nil"/>
            </w:tcBorders>
          </w:tcPr>
          <w:p w14:paraId="0FCA9799"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(0.695)</w:t>
            </w:r>
          </w:p>
        </w:tc>
        <w:tc>
          <w:tcPr>
            <w:tcW w:w="595" w:type="pct"/>
            <w:tcBorders>
              <w:top w:val="nil"/>
              <w:left w:val="nil"/>
              <w:bottom w:val="nil"/>
              <w:right w:val="nil"/>
            </w:tcBorders>
          </w:tcPr>
          <w:p w14:paraId="6A267191"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(0.669)</w:t>
            </w:r>
          </w:p>
        </w:tc>
        <w:tc>
          <w:tcPr>
            <w:tcW w:w="595" w:type="pct"/>
            <w:tcBorders>
              <w:top w:val="nil"/>
              <w:left w:val="nil"/>
              <w:bottom w:val="nil"/>
              <w:right w:val="nil"/>
            </w:tcBorders>
          </w:tcPr>
          <w:p w14:paraId="5FDFAF3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(0.330)</w:t>
            </w:r>
          </w:p>
        </w:tc>
        <w:tc>
          <w:tcPr>
            <w:tcW w:w="595" w:type="pct"/>
            <w:tcBorders>
              <w:top w:val="nil"/>
              <w:left w:val="nil"/>
              <w:bottom w:val="nil"/>
              <w:right w:val="nil"/>
            </w:tcBorders>
          </w:tcPr>
          <w:p w14:paraId="23521EF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(0.386)</w:t>
            </w:r>
          </w:p>
        </w:tc>
        <w:tc>
          <w:tcPr>
            <w:tcW w:w="595" w:type="pct"/>
            <w:tcBorders>
              <w:top w:val="nil"/>
              <w:left w:val="nil"/>
              <w:bottom w:val="nil"/>
              <w:right w:val="nil"/>
            </w:tcBorders>
          </w:tcPr>
          <w:p w14:paraId="207A8382"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(0.929)</w:t>
            </w:r>
          </w:p>
        </w:tc>
      </w:tr>
      <w:tr w:rsidR="00D27DB9" w:rsidRPr="00E01DC0" w14:paraId="41E7939F" w14:textId="77777777" w:rsidTr="00D60FEF">
        <w:tc>
          <w:tcPr>
            <w:tcW w:w="835" w:type="pct"/>
            <w:tcBorders>
              <w:top w:val="nil"/>
              <w:left w:val="nil"/>
              <w:bottom w:val="nil"/>
              <w:right w:val="nil"/>
            </w:tcBorders>
          </w:tcPr>
          <w:p w14:paraId="6F5D3BFD"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66D34016"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514E6A7A"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4857A608"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65896755"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634E0D54"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44624D78"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0A42DB66" w14:textId="77777777" w:rsidR="00D27DB9" w:rsidRPr="00E01DC0" w:rsidRDefault="00D27DB9" w:rsidP="00D60FEF">
            <w:pPr>
              <w:widowControl w:val="0"/>
              <w:autoSpaceDE w:val="0"/>
              <w:autoSpaceDN w:val="0"/>
              <w:adjustRightInd w:val="0"/>
              <w:spacing w:after="0" w:line="240" w:lineRule="auto"/>
              <w:rPr>
                <w:sz w:val="16"/>
                <w:szCs w:val="16"/>
                <w:lang w:val="en-US"/>
              </w:rPr>
            </w:pPr>
          </w:p>
        </w:tc>
      </w:tr>
      <w:tr w:rsidR="00D27DB9" w:rsidRPr="00E01DC0" w14:paraId="5FAD3994" w14:textId="77777777" w:rsidTr="00D60FEF">
        <w:tc>
          <w:tcPr>
            <w:tcW w:w="835" w:type="pct"/>
            <w:tcBorders>
              <w:top w:val="nil"/>
              <w:left w:val="nil"/>
              <w:bottom w:val="nil"/>
              <w:right w:val="nil"/>
            </w:tcBorders>
          </w:tcPr>
          <w:p w14:paraId="6C17241C" w14:textId="77777777" w:rsidR="00D27DB9" w:rsidRPr="00E01DC0" w:rsidRDefault="00D27DB9" w:rsidP="00D60FEF">
            <w:pPr>
              <w:widowControl w:val="0"/>
              <w:autoSpaceDE w:val="0"/>
              <w:autoSpaceDN w:val="0"/>
              <w:adjustRightInd w:val="0"/>
              <w:spacing w:after="0" w:line="240" w:lineRule="auto"/>
              <w:rPr>
                <w:sz w:val="16"/>
                <w:szCs w:val="16"/>
                <w:lang w:val="en-US"/>
              </w:rPr>
            </w:pPr>
            <w:r w:rsidRPr="00E01DC0">
              <w:rPr>
                <w:sz w:val="16"/>
                <w:szCs w:val="16"/>
                <w:lang w:val="en-US"/>
              </w:rPr>
              <w:t>Size (</w:t>
            </w:r>
            <w:proofErr w:type="spellStart"/>
            <w:r w:rsidRPr="00E01DC0">
              <w:rPr>
                <w:sz w:val="16"/>
                <w:szCs w:val="16"/>
                <w:lang w:val="en-US"/>
              </w:rPr>
              <w:t>Lassets</w:t>
            </w:r>
            <w:proofErr w:type="spellEnd"/>
            <w:r w:rsidRPr="00E01DC0">
              <w:rPr>
                <w:sz w:val="16"/>
                <w:szCs w:val="16"/>
                <w:lang w:val="en-US"/>
              </w:rPr>
              <w:t>)</w:t>
            </w:r>
          </w:p>
        </w:tc>
        <w:tc>
          <w:tcPr>
            <w:tcW w:w="595" w:type="pct"/>
            <w:tcBorders>
              <w:top w:val="nil"/>
              <w:left w:val="nil"/>
              <w:bottom w:val="nil"/>
              <w:right w:val="nil"/>
            </w:tcBorders>
          </w:tcPr>
          <w:p w14:paraId="4ED12ED9"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0.535</w:t>
            </w:r>
            <w:r w:rsidRPr="00E01DC0">
              <w:rPr>
                <w:sz w:val="16"/>
                <w:szCs w:val="16"/>
                <w:vertAlign w:val="superscript"/>
                <w:lang w:val="en-US"/>
              </w:rPr>
              <w:t>***</w:t>
            </w:r>
          </w:p>
        </w:tc>
        <w:tc>
          <w:tcPr>
            <w:tcW w:w="595" w:type="pct"/>
            <w:tcBorders>
              <w:top w:val="nil"/>
              <w:left w:val="nil"/>
              <w:bottom w:val="nil"/>
              <w:right w:val="nil"/>
            </w:tcBorders>
          </w:tcPr>
          <w:p w14:paraId="49FF0B3B"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0.658</w:t>
            </w:r>
            <w:r w:rsidRPr="00E01DC0">
              <w:rPr>
                <w:sz w:val="16"/>
                <w:szCs w:val="16"/>
                <w:vertAlign w:val="superscript"/>
                <w:lang w:val="en-US"/>
              </w:rPr>
              <w:t>***</w:t>
            </w:r>
          </w:p>
        </w:tc>
        <w:tc>
          <w:tcPr>
            <w:tcW w:w="595" w:type="pct"/>
            <w:tcBorders>
              <w:top w:val="nil"/>
              <w:left w:val="nil"/>
              <w:bottom w:val="nil"/>
              <w:right w:val="nil"/>
            </w:tcBorders>
          </w:tcPr>
          <w:p w14:paraId="585EAC73"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0.902</w:t>
            </w:r>
            <w:r w:rsidRPr="00E01DC0">
              <w:rPr>
                <w:sz w:val="16"/>
                <w:szCs w:val="16"/>
                <w:vertAlign w:val="superscript"/>
                <w:lang w:val="en-US"/>
              </w:rPr>
              <w:t>***</w:t>
            </w:r>
          </w:p>
        </w:tc>
        <w:tc>
          <w:tcPr>
            <w:tcW w:w="595" w:type="pct"/>
            <w:tcBorders>
              <w:top w:val="nil"/>
              <w:left w:val="nil"/>
              <w:bottom w:val="nil"/>
              <w:right w:val="nil"/>
            </w:tcBorders>
          </w:tcPr>
          <w:p w14:paraId="430AA5B3"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1.090</w:t>
            </w:r>
            <w:r w:rsidRPr="00E01DC0">
              <w:rPr>
                <w:sz w:val="16"/>
                <w:szCs w:val="16"/>
                <w:vertAlign w:val="superscript"/>
                <w:lang w:val="en-US"/>
              </w:rPr>
              <w:t>***</w:t>
            </w:r>
          </w:p>
        </w:tc>
        <w:tc>
          <w:tcPr>
            <w:tcW w:w="595" w:type="pct"/>
            <w:tcBorders>
              <w:top w:val="nil"/>
              <w:left w:val="nil"/>
              <w:bottom w:val="nil"/>
              <w:right w:val="nil"/>
            </w:tcBorders>
          </w:tcPr>
          <w:p w14:paraId="0A83896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0.326</w:t>
            </w:r>
            <w:r w:rsidRPr="00E01DC0">
              <w:rPr>
                <w:sz w:val="16"/>
                <w:szCs w:val="16"/>
                <w:vertAlign w:val="superscript"/>
                <w:lang w:val="en-US"/>
              </w:rPr>
              <w:t>***</w:t>
            </w:r>
          </w:p>
        </w:tc>
        <w:tc>
          <w:tcPr>
            <w:tcW w:w="595" w:type="pct"/>
            <w:tcBorders>
              <w:top w:val="nil"/>
              <w:left w:val="nil"/>
              <w:bottom w:val="nil"/>
              <w:right w:val="nil"/>
            </w:tcBorders>
          </w:tcPr>
          <w:p w14:paraId="733B62A0"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0.641</w:t>
            </w:r>
            <w:r w:rsidRPr="00E01DC0">
              <w:rPr>
                <w:sz w:val="16"/>
                <w:szCs w:val="16"/>
                <w:vertAlign w:val="superscript"/>
                <w:lang w:val="en-US"/>
              </w:rPr>
              <w:t>***</w:t>
            </w:r>
          </w:p>
        </w:tc>
        <w:tc>
          <w:tcPr>
            <w:tcW w:w="595" w:type="pct"/>
            <w:tcBorders>
              <w:top w:val="nil"/>
              <w:left w:val="nil"/>
              <w:bottom w:val="nil"/>
              <w:right w:val="nil"/>
            </w:tcBorders>
          </w:tcPr>
          <w:p w14:paraId="48437A07"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0.693***</w:t>
            </w:r>
          </w:p>
        </w:tc>
      </w:tr>
      <w:tr w:rsidR="00D27DB9" w:rsidRPr="00E01DC0" w14:paraId="049FD423" w14:textId="77777777" w:rsidTr="00D60FEF">
        <w:tc>
          <w:tcPr>
            <w:tcW w:w="835" w:type="pct"/>
            <w:tcBorders>
              <w:top w:val="nil"/>
              <w:left w:val="nil"/>
              <w:bottom w:val="nil"/>
              <w:right w:val="nil"/>
            </w:tcBorders>
          </w:tcPr>
          <w:p w14:paraId="1386D735"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36FACA12"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(0.0516)</w:t>
            </w:r>
          </w:p>
        </w:tc>
        <w:tc>
          <w:tcPr>
            <w:tcW w:w="595" w:type="pct"/>
            <w:tcBorders>
              <w:top w:val="nil"/>
              <w:left w:val="nil"/>
              <w:bottom w:val="nil"/>
              <w:right w:val="nil"/>
            </w:tcBorders>
          </w:tcPr>
          <w:p w14:paraId="4E26E8C2"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(0.0549)</w:t>
            </w:r>
          </w:p>
        </w:tc>
        <w:tc>
          <w:tcPr>
            <w:tcW w:w="595" w:type="pct"/>
            <w:tcBorders>
              <w:top w:val="nil"/>
              <w:left w:val="nil"/>
              <w:bottom w:val="nil"/>
              <w:right w:val="nil"/>
            </w:tcBorders>
          </w:tcPr>
          <w:p w14:paraId="45BC3A9C"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(0.0633)</w:t>
            </w:r>
          </w:p>
        </w:tc>
        <w:tc>
          <w:tcPr>
            <w:tcW w:w="595" w:type="pct"/>
            <w:tcBorders>
              <w:top w:val="nil"/>
              <w:left w:val="nil"/>
              <w:bottom w:val="nil"/>
              <w:right w:val="nil"/>
            </w:tcBorders>
          </w:tcPr>
          <w:p w14:paraId="61214E3C"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(0.0732)</w:t>
            </w:r>
          </w:p>
        </w:tc>
        <w:tc>
          <w:tcPr>
            <w:tcW w:w="595" w:type="pct"/>
            <w:tcBorders>
              <w:top w:val="nil"/>
              <w:left w:val="nil"/>
              <w:bottom w:val="nil"/>
              <w:right w:val="nil"/>
            </w:tcBorders>
          </w:tcPr>
          <w:p w14:paraId="55C32C49"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(0.0307)</w:t>
            </w:r>
          </w:p>
        </w:tc>
        <w:tc>
          <w:tcPr>
            <w:tcW w:w="595" w:type="pct"/>
            <w:tcBorders>
              <w:top w:val="nil"/>
              <w:left w:val="nil"/>
              <w:bottom w:val="nil"/>
              <w:right w:val="nil"/>
            </w:tcBorders>
          </w:tcPr>
          <w:p w14:paraId="3B86DA37"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(0.0417)</w:t>
            </w:r>
          </w:p>
        </w:tc>
        <w:tc>
          <w:tcPr>
            <w:tcW w:w="595" w:type="pct"/>
            <w:tcBorders>
              <w:top w:val="nil"/>
              <w:left w:val="nil"/>
              <w:bottom w:val="nil"/>
              <w:right w:val="nil"/>
            </w:tcBorders>
          </w:tcPr>
          <w:p w14:paraId="3F6E46D3"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(0.063)</w:t>
            </w:r>
          </w:p>
        </w:tc>
      </w:tr>
      <w:tr w:rsidR="00D27DB9" w:rsidRPr="00E01DC0" w14:paraId="2484A5E5" w14:textId="77777777" w:rsidTr="00D60FEF">
        <w:tc>
          <w:tcPr>
            <w:tcW w:w="835" w:type="pct"/>
            <w:tcBorders>
              <w:top w:val="nil"/>
              <w:left w:val="nil"/>
              <w:bottom w:val="nil"/>
              <w:right w:val="nil"/>
            </w:tcBorders>
          </w:tcPr>
          <w:p w14:paraId="029A0122"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692A3497"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13306A64"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436E272A"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3E14FDF"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25C20125"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1EB2A7E8"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46E0435A" w14:textId="77777777" w:rsidR="00D27DB9" w:rsidRPr="00E01DC0" w:rsidRDefault="00D27DB9" w:rsidP="00D60FEF">
            <w:pPr>
              <w:widowControl w:val="0"/>
              <w:autoSpaceDE w:val="0"/>
              <w:autoSpaceDN w:val="0"/>
              <w:adjustRightInd w:val="0"/>
              <w:spacing w:after="0" w:line="240" w:lineRule="auto"/>
              <w:rPr>
                <w:sz w:val="16"/>
                <w:szCs w:val="16"/>
                <w:lang w:val="en-US"/>
              </w:rPr>
            </w:pPr>
          </w:p>
        </w:tc>
      </w:tr>
      <w:tr w:rsidR="00D27DB9" w:rsidRPr="00E01DC0" w14:paraId="0B4659F9" w14:textId="77777777" w:rsidTr="00D60FEF">
        <w:tc>
          <w:tcPr>
            <w:tcW w:w="835" w:type="pct"/>
            <w:tcBorders>
              <w:top w:val="nil"/>
              <w:left w:val="nil"/>
              <w:bottom w:val="nil"/>
              <w:right w:val="nil"/>
            </w:tcBorders>
          </w:tcPr>
          <w:p w14:paraId="0FDCFFA3" w14:textId="77777777" w:rsidR="00D27DB9" w:rsidRPr="00E01DC0" w:rsidRDefault="00D27DB9" w:rsidP="00D60FEF">
            <w:pPr>
              <w:widowControl w:val="0"/>
              <w:autoSpaceDE w:val="0"/>
              <w:autoSpaceDN w:val="0"/>
              <w:adjustRightInd w:val="0"/>
              <w:spacing w:after="0" w:line="240" w:lineRule="auto"/>
              <w:rPr>
                <w:sz w:val="16"/>
                <w:szCs w:val="16"/>
                <w:lang w:val="en-US"/>
              </w:rPr>
            </w:pPr>
            <w:r w:rsidRPr="00E01DC0">
              <w:rPr>
                <w:sz w:val="16"/>
                <w:szCs w:val="16"/>
                <w:lang w:val="en-US"/>
              </w:rPr>
              <w:t>Financial Development</w:t>
            </w:r>
          </w:p>
        </w:tc>
        <w:tc>
          <w:tcPr>
            <w:tcW w:w="595" w:type="pct"/>
            <w:tcBorders>
              <w:top w:val="nil"/>
              <w:left w:val="nil"/>
              <w:bottom w:val="nil"/>
              <w:right w:val="nil"/>
            </w:tcBorders>
          </w:tcPr>
          <w:p w14:paraId="2C47C19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-0.00167</w:t>
            </w:r>
            <w:r w:rsidRPr="00E01DC0">
              <w:rPr>
                <w:sz w:val="16"/>
                <w:szCs w:val="16"/>
                <w:vertAlign w:val="superscript"/>
                <w:lang w:val="en-US"/>
              </w:rPr>
              <w:t>*</w:t>
            </w:r>
          </w:p>
        </w:tc>
        <w:tc>
          <w:tcPr>
            <w:tcW w:w="595" w:type="pct"/>
            <w:tcBorders>
              <w:top w:val="nil"/>
              <w:left w:val="nil"/>
              <w:bottom w:val="nil"/>
              <w:right w:val="nil"/>
            </w:tcBorders>
          </w:tcPr>
          <w:p w14:paraId="57DAB29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-0.00151</w:t>
            </w:r>
            <w:r w:rsidRPr="00E01DC0">
              <w:rPr>
                <w:sz w:val="16"/>
                <w:szCs w:val="16"/>
                <w:vertAlign w:val="superscript"/>
                <w:lang w:val="en-US"/>
              </w:rPr>
              <w:t>*</w:t>
            </w:r>
          </w:p>
        </w:tc>
        <w:tc>
          <w:tcPr>
            <w:tcW w:w="595" w:type="pct"/>
            <w:tcBorders>
              <w:top w:val="nil"/>
              <w:left w:val="nil"/>
              <w:bottom w:val="nil"/>
              <w:right w:val="nil"/>
            </w:tcBorders>
          </w:tcPr>
          <w:p w14:paraId="7C024AE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-0.00128</w:t>
            </w:r>
          </w:p>
        </w:tc>
        <w:tc>
          <w:tcPr>
            <w:tcW w:w="595" w:type="pct"/>
            <w:tcBorders>
              <w:top w:val="nil"/>
              <w:left w:val="nil"/>
              <w:bottom w:val="nil"/>
              <w:right w:val="nil"/>
            </w:tcBorders>
          </w:tcPr>
          <w:p w14:paraId="7F009060"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-0.00229</w:t>
            </w:r>
            <w:r w:rsidRPr="00E01DC0">
              <w:rPr>
                <w:sz w:val="16"/>
                <w:szCs w:val="16"/>
                <w:vertAlign w:val="superscript"/>
                <w:lang w:val="en-US"/>
              </w:rPr>
              <w:t>**</w:t>
            </w:r>
          </w:p>
        </w:tc>
        <w:tc>
          <w:tcPr>
            <w:tcW w:w="595" w:type="pct"/>
            <w:tcBorders>
              <w:top w:val="nil"/>
              <w:left w:val="nil"/>
              <w:bottom w:val="nil"/>
              <w:right w:val="nil"/>
            </w:tcBorders>
          </w:tcPr>
          <w:p w14:paraId="53AFBAD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-0.000969</w:t>
            </w:r>
            <w:r w:rsidRPr="00E01DC0">
              <w:rPr>
                <w:sz w:val="16"/>
                <w:szCs w:val="16"/>
                <w:vertAlign w:val="superscript"/>
                <w:lang w:val="en-US"/>
              </w:rPr>
              <w:t>*</w:t>
            </w:r>
          </w:p>
        </w:tc>
        <w:tc>
          <w:tcPr>
            <w:tcW w:w="595" w:type="pct"/>
            <w:tcBorders>
              <w:top w:val="nil"/>
              <w:left w:val="nil"/>
              <w:bottom w:val="nil"/>
              <w:right w:val="nil"/>
            </w:tcBorders>
          </w:tcPr>
          <w:p w14:paraId="17A0CA91"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-0.00136</w:t>
            </w:r>
            <w:r w:rsidRPr="00E01DC0">
              <w:rPr>
                <w:sz w:val="16"/>
                <w:szCs w:val="16"/>
                <w:vertAlign w:val="superscript"/>
                <w:lang w:val="en-US"/>
              </w:rPr>
              <w:t>*</w:t>
            </w:r>
          </w:p>
        </w:tc>
        <w:tc>
          <w:tcPr>
            <w:tcW w:w="595" w:type="pct"/>
            <w:tcBorders>
              <w:top w:val="nil"/>
              <w:left w:val="nil"/>
              <w:bottom w:val="nil"/>
              <w:right w:val="nil"/>
            </w:tcBorders>
          </w:tcPr>
          <w:p w14:paraId="0E87D014"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-0.065***</w:t>
            </w:r>
          </w:p>
        </w:tc>
      </w:tr>
      <w:tr w:rsidR="00D27DB9" w:rsidRPr="00E01DC0" w14:paraId="0DE71692" w14:textId="77777777" w:rsidTr="00D60FEF">
        <w:tc>
          <w:tcPr>
            <w:tcW w:w="835" w:type="pct"/>
            <w:tcBorders>
              <w:top w:val="nil"/>
              <w:left w:val="nil"/>
              <w:bottom w:val="nil"/>
              <w:right w:val="nil"/>
            </w:tcBorders>
          </w:tcPr>
          <w:p w14:paraId="24F65C9B"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1A4B7429"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(0.000667)</w:t>
            </w:r>
          </w:p>
        </w:tc>
        <w:tc>
          <w:tcPr>
            <w:tcW w:w="595" w:type="pct"/>
            <w:tcBorders>
              <w:top w:val="nil"/>
              <w:left w:val="nil"/>
              <w:bottom w:val="nil"/>
              <w:right w:val="nil"/>
            </w:tcBorders>
          </w:tcPr>
          <w:p w14:paraId="5BB4182B"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(0.000681)</w:t>
            </w:r>
          </w:p>
        </w:tc>
        <w:tc>
          <w:tcPr>
            <w:tcW w:w="595" w:type="pct"/>
            <w:tcBorders>
              <w:top w:val="nil"/>
              <w:left w:val="nil"/>
              <w:bottom w:val="nil"/>
              <w:right w:val="nil"/>
            </w:tcBorders>
          </w:tcPr>
          <w:p w14:paraId="27100A3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(0.000727)</w:t>
            </w:r>
          </w:p>
        </w:tc>
        <w:tc>
          <w:tcPr>
            <w:tcW w:w="595" w:type="pct"/>
            <w:tcBorders>
              <w:top w:val="nil"/>
              <w:left w:val="nil"/>
              <w:bottom w:val="nil"/>
              <w:right w:val="nil"/>
            </w:tcBorders>
          </w:tcPr>
          <w:p w14:paraId="2D644BE7"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(0.000838)</w:t>
            </w:r>
          </w:p>
        </w:tc>
        <w:tc>
          <w:tcPr>
            <w:tcW w:w="595" w:type="pct"/>
            <w:tcBorders>
              <w:top w:val="nil"/>
              <w:left w:val="nil"/>
              <w:bottom w:val="nil"/>
              <w:right w:val="nil"/>
            </w:tcBorders>
          </w:tcPr>
          <w:p w14:paraId="7BC09CA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(0.000419)</w:t>
            </w:r>
          </w:p>
        </w:tc>
        <w:tc>
          <w:tcPr>
            <w:tcW w:w="595" w:type="pct"/>
            <w:tcBorders>
              <w:top w:val="nil"/>
              <w:left w:val="nil"/>
              <w:bottom w:val="nil"/>
              <w:right w:val="nil"/>
            </w:tcBorders>
          </w:tcPr>
          <w:p w14:paraId="2747AF2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(0.000530)</w:t>
            </w:r>
          </w:p>
        </w:tc>
        <w:tc>
          <w:tcPr>
            <w:tcW w:w="595" w:type="pct"/>
            <w:tcBorders>
              <w:top w:val="nil"/>
              <w:left w:val="nil"/>
              <w:bottom w:val="nil"/>
              <w:right w:val="nil"/>
            </w:tcBorders>
          </w:tcPr>
          <w:p w14:paraId="0417536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(0.007)</w:t>
            </w:r>
          </w:p>
        </w:tc>
      </w:tr>
      <w:tr w:rsidR="00D27DB9" w:rsidRPr="00E01DC0" w14:paraId="71AE9009" w14:textId="77777777" w:rsidTr="00D60FEF">
        <w:tc>
          <w:tcPr>
            <w:tcW w:w="835" w:type="pct"/>
            <w:tcBorders>
              <w:top w:val="nil"/>
              <w:left w:val="nil"/>
              <w:bottom w:val="nil"/>
              <w:right w:val="nil"/>
            </w:tcBorders>
          </w:tcPr>
          <w:p w14:paraId="7559A073"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0A6D4B93"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1DF8FA2E"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3A27DE4"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3BC48319"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CE625E1"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244813BD"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C29FBD2" w14:textId="77777777" w:rsidR="00D27DB9" w:rsidRPr="00E01DC0" w:rsidRDefault="00D27DB9" w:rsidP="00D60FEF">
            <w:pPr>
              <w:widowControl w:val="0"/>
              <w:autoSpaceDE w:val="0"/>
              <w:autoSpaceDN w:val="0"/>
              <w:adjustRightInd w:val="0"/>
              <w:spacing w:after="0" w:line="240" w:lineRule="auto"/>
              <w:rPr>
                <w:sz w:val="16"/>
                <w:szCs w:val="16"/>
                <w:lang w:val="en-US"/>
              </w:rPr>
            </w:pPr>
          </w:p>
        </w:tc>
      </w:tr>
      <w:tr w:rsidR="00D27DB9" w:rsidRPr="00E01DC0" w14:paraId="66CF64FD" w14:textId="77777777" w:rsidTr="00D60FEF">
        <w:tc>
          <w:tcPr>
            <w:tcW w:w="835" w:type="pct"/>
            <w:tcBorders>
              <w:top w:val="nil"/>
              <w:left w:val="nil"/>
              <w:bottom w:val="nil"/>
              <w:right w:val="nil"/>
            </w:tcBorders>
          </w:tcPr>
          <w:p w14:paraId="50D8A713" w14:textId="77777777" w:rsidR="00D27DB9" w:rsidRPr="00E01DC0" w:rsidRDefault="00D27DB9" w:rsidP="00D60FEF">
            <w:pPr>
              <w:widowControl w:val="0"/>
              <w:autoSpaceDE w:val="0"/>
              <w:autoSpaceDN w:val="0"/>
              <w:adjustRightInd w:val="0"/>
              <w:spacing w:after="0" w:line="240" w:lineRule="auto"/>
              <w:rPr>
                <w:sz w:val="16"/>
                <w:szCs w:val="16"/>
                <w:lang w:val="en-US"/>
              </w:rPr>
            </w:pPr>
            <w:r w:rsidRPr="00E01DC0">
              <w:rPr>
                <w:sz w:val="16"/>
                <w:szCs w:val="16"/>
                <w:lang w:val="en-US"/>
              </w:rPr>
              <w:t>Institutions (KKM)</w:t>
            </w:r>
          </w:p>
        </w:tc>
        <w:tc>
          <w:tcPr>
            <w:tcW w:w="595" w:type="pct"/>
            <w:tcBorders>
              <w:top w:val="nil"/>
              <w:left w:val="nil"/>
              <w:bottom w:val="nil"/>
              <w:right w:val="nil"/>
            </w:tcBorders>
          </w:tcPr>
          <w:p w14:paraId="228E5CD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0.117</w:t>
            </w:r>
            <w:r w:rsidRPr="00E01DC0">
              <w:rPr>
                <w:sz w:val="16"/>
                <w:szCs w:val="16"/>
                <w:vertAlign w:val="superscript"/>
                <w:lang w:val="en-US"/>
              </w:rPr>
              <w:t>***</w:t>
            </w:r>
          </w:p>
        </w:tc>
        <w:tc>
          <w:tcPr>
            <w:tcW w:w="595" w:type="pct"/>
            <w:tcBorders>
              <w:top w:val="nil"/>
              <w:left w:val="nil"/>
              <w:bottom w:val="nil"/>
              <w:right w:val="nil"/>
            </w:tcBorders>
          </w:tcPr>
          <w:p w14:paraId="4A8C953F"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0.138</w:t>
            </w:r>
            <w:r w:rsidRPr="00E01DC0">
              <w:rPr>
                <w:sz w:val="16"/>
                <w:szCs w:val="16"/>
                <w:vertAlign w:val="superscript"/>
                <w:lang w:val="en-US"/>
              </w:rPr>
              <w:t>***</w:t>
            </w:r>
          </w:p>
        </w:tc>
        <w:tc>
          <w:tcPr>
            <w:tcW w:w="595" w:type="pct"/>
            <w:tcBorders>
              <w:top w:val="nil"/>
              <w:left w:val="nil"/>
              <w:bottom w:val="nil"/>
              <w:right w:val="nil"/>
            </w:tcBorders>
          </w:tcPr>
          <w:p w14:paraId="0E46765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0.155</w:t>
            </w:r>
            <w:r w:rsidRPr="00E01DC0">
              <w:rPr>
                <w:sz w:val="16"/>
                <w:szCs w:val="16"/>
                <w:vertAlign w:val="superscript"/>
                <w:lang w:val="en-US"/>
              </w:rPr>
              <w:t>***</w:t>
            </w:r>
          </w:p>
        </w:tc>
        <w:tc>
          <w:tcPr>
            <w:tcW w:w="595" w:type="pct"/>
            <w:tcBorders>
              <w:top w:val="nil"/>
              <w:left w:val="nil"/>
              <w:bottom w:val="nil"/>
              <w:right w:val="nil"/>
            </w:tcBorders>
          </w:tcPr>
          <w:p w14:paraId="4037BDE1"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0.245</w:t>
            </w:r>
            <w:r w:rsidRPr="00E01DC0">
              <w:rPr>
                <w:sz w:val="16"/>
                <w:szCs w:val="16"/>
                <w:vertAlign w:val="superscript"/>
                <w:lang w:val="en-US"/>
              </w:rPr>
              <w:t>***</w:t>
            </w:r>
          </w:p>
        </w:tc>
        <w:tc>
          <w:tcPr>
            <w:tcW w:w="595" w:type="pct"/>
            <w:tcBorders>
              <w:top w:val="nil"/>
              <w:left w:val="nil"/>
              <w:bottom w:val="nil"/>
              <w:right w:val="nil"/>
            </w:tcBorders>
          </w:tcPr>
          <w:p w14:paraId="357C3063"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0.0733</w:t>
            </w:r>
            <w:r w:rsidRPr="00E01DC0">
              <w:rPr>
                <w:sz w:val="16"/>
                <w:szCs w:val="16"/>
                <w:vertAlign w:val="superscript"/>
                <w:lang w:val="en-US"/>
              </w:rPr>
              <w:t>***</w:t>
            </w:r>
          </w:p>
        </w:tc>
        <w:tc>
          <w:tcPr>
            <w:tcW w:w="595" w:type="pct"/>
            <w:tcBorders>
              <w:top w:val="nil"/>
              <w:left w:val="nil"/>
              <w:bottom w:val="nil"/>
              <w:right w:val="nil"/>
            </w:tcBorders>
          </w:tcPr>
          <w:p w14:paraId="7859230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0.144</w:t>
            </w:r>
            <w:r w:rsidRPr="00E01DC0">
              <w:rPr>
                <w:sz w:val="16"/>
                <w:szCs w:val="16"/>
                <w:vertAlign w:val="superscript"/>
                <w:lang w:val="en-US"/>
              </w:rPr>
              <w:t>***</w:t>
            </w:r>
          </w:p>
        </w:tc>
        <w:tc>
          <w:tcPr>
            <w:tcW w:w="595" w:type="pct"/>
            <w:tcBorders>
              <w:top w:val="nil"/>
              <w:left w:val="nil"/>
              <w:bottom w:val="nil"/>
              <w:right w:val="nil"/>
            </w:tcBorders>
          </w:tcPr>
          <w:p w14:paraId="0EA18DF3"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0.120***</w:t>
            </w:r>
          </w:p>
        </w:tc>
      </w:tr>
      <w:tr w:rsidR="00D27DB9" w:rsidRPr="00E01DC0" w14:paraId="724A0959" w14:textId="77777777" w:rsidTr="00D60FEF">
        <w:tc>
          <w:tcPr>
            <w:tcW w:w="835" w:type="pct"/>
            <w:tcBorders>
              <w:top w:val="nil"/>
              <w:left w:val="nil"/>
              <w:bottom w:val="nil"/>
              <w:right w:val="nil"/>
            </w:tcBorders>
          </w:tcPr>
          <w:p w14:paraId="3D622337"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8EDBEA2"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(0.0209)</w:t>
            </w:r>
          </w:p>
        </w:tc>
        <w:tc>
          <w:tcPr>
            <w:tcW w:w="595" w:type="pct"/>
            <w:tcBorders>
              <w:top w:val="nil"/>
              <w:left w:val="nil"/>
              <w:bottom w:val="nil"/>
              <w:right w:val="nil"/>
            </w:tcBorders>
          </w:tcPr>
          <w:p w14:paraId="53B73BE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(0.0217)</w:t>
            </w:r>
          </w:p>
        </w:tc>
        <w:tc>
          <w:tcPr>
            <w:tcW w:w="595" w:type="pct"/>
            <w:tcBorders>
              <w:top w:val="nil"/>
              <w:left w:val="nil"/>
              <w:bottom w:val="nil"/>
              <w:right w:val="nil"/>
            </w:tcBorders>
          </w:tcPr>
          <w:p w14:paraId="3781A18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(0.0243)</w:t>
            </w:r>
          </w:p>
        </w:tc>
        <w:tc>
          <w:tcPr>
            <w:tcW w:w="595" w:type="pct"/>
            <w:tcBorders>
              <w:top w:val="nil"/>
              <w:left w:val="nil"/>
              <w:bottom w:val="nil"/>
              <w:right w:val="nil"/>
            </w:tcBorders>
          </w:tcPr>
          <w:p w14:paraId="031E69A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(0.0256)</w:t>
            </w:r>
          </w:p>
        </w:tc>
        <w:tc>
          <w:tcPr>
            <w:tcW w:w="595" w:type="pct"/>
            <w:tcBorders>
              <w:top w:val="nil"/>
              <w:left w:val="nil"/>
              <w:bottom w:val="nil"/>
              <w:right w:val="nil"/>
            </w:tcBorders>
          </w:tcPr>
          <w:p w14:paraId="40C7C239"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(0.0124)</w:t>
            </w:r>
          </w:p>
        </w:tc>
        <w:tc>
          <w:tcPr>
            <w:tcW w:w="595" w:type="pct"/>
            <w:tcBorders>
              <w:top w:val="nil"/>
              <w:left w:val="nil"/>
              <w:bottom w:val="nil"/>
              <w:right w:val="nil"/>
            </w:tcBorders>
          </w:tcPr>
          <w:p w14:paraId="4A72D209"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(0.0147)</w:t>
            </w:r>
          </w:p>
        </w:tc>
        <w:tc>
          <w:tcPr>
            <w:tcW w:w="595" w:type="pct"/>
            <w:tcBorders>
              <w:top w:val="nil"/>
              <w:left w:val="nil"/>
              <w:bottom w:val="nil"/>
              <w:right w:val="nil"/>
            </w:tcBorders>
          </w:tcPr>
          <w:p w14:paraId="31F07F22"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(0.023)</w:t>
            </w:r>
          </w:p>
        </w:tc>
      </w:tr>
      <w:tr w:rsidR="00D27DB9" w:rsidRPr="00E01DC0" w14:paraId="257D7873" w14:textId="77777777" w:rsidTr="00D60FEF">
        <w:tc>
          <w:tcPr>
            <w:tcW w:w="835" w:type="pct"/>
            <w:tcBorders>
              <w:top w:val="nil"/>
              <w:left w:val="nil"/>
              <w:bottom w:val="nil"/>
              <w:right w:val="nil"/>
            </w:tcBorders>
          </w:tcPr>
          <w:p w14:paraId="1D559EE9"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8BE029E"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2C776D86"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CB1668C"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3CB803E4"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A7A258E"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3AFFAFB9"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E051ED9" w14:textId="77777777" w:rsidR="00D27DB9" w:rsidRPr="00E01DC0" w:rsidRDefault="00D27DB9" w:rsidP="00D60FEF">
            <w:pPr>
              <w:widowControl w:val="0"/>
              <w:autoSpaceDE w:val="0"/>
              <w:autoSpaceDN w:val="0"/>
              <w:adjustRightInd w:val="0"/>
              <w:spacing w:after="0" w:line="240" w:lineRule="auto"/>
              <w:rPr>
                <w:sz w:val="16"/>
                <w:szCs w:val="16"/>
                <w:lang w:val="en-US"/>
              </w:rPr>
            </w:pPr>
          </w:p>
        </w:tc>
      </w:tr>
      <w:tr w:rsidR="00D27DB9" w:rsidRPr="00E01DC0" w14:paraId="0E966C4D" w14:textId="77777777" w:rsidTr="00D60FEF">
        <w:tc>
          <w:tcPr>
            <w:tcW w:w="835" w:type="pct"/>
            <w:tcBorders>
              <w:top w:val="nil"/>
              <w:left w:val="nil"/>
              <w:bottom w:val="nil"/>
              <w:right w:val="nil"/>
            </w:tcBorders>
          </w:tcPr>
          <w:p w14:paraId="598292F1" w14:textId="77777777" w:rsidR="00D27DB9" w:rsidRPr="00E01DC0" w:rsidRDefault="00D27DB9" w:rsidP="00D60FEF">
            <w:pPr>
              <w:widowControl w:val="0"/>
              <w:autoSpaceDE w:val="0"/>
              <w:autoSpaceDN w:val="0"/>
              <w:adjustRightInd w:val="0"/>
              <w:spacing w:after="0" w:line="240" w:lineRule="auto"/>
              <w:rPr>
                <w:sz w:val="16"/>
                <w:szCs w:val="16"/>
                <w:lang w:val="en-US"/>
              </w:rPr>
            </w:pPr>
            <w:r w:rsidRPr="00E01DC0">
              <w:rPr>
                <w:sz w:val="16"/>
                <w:szCs w:val="16"/>
                <w:lang w:val="en-US"/>
              </w:rPr>
              <w:t>Education</w:t>
            </w:r>
          </w:p>
        </w:tc>
        <w:tc>
          <w:tcPr>
            <w:tcW w:w="595" w:type="pct"/>
            <w:tcBorders>
              <w:top w:val="nil"/>
              <w:left w:val="nil"/>
              <w:bottom w:val="nil"/>
              <w:right w:val="nil"/>
            </w:tcBorders>
          </w:tcPr>
          <w:p w14:paraId="014C061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-1.682</w:t>
            </w:r>
            <w:r w:rsidRPr="00E01DC0">
              <w:rPr>
                <w:sz w:val="16"/>
                <w:szCs w:val="16"/>
                <w:vertAlign w:val="superscript"/>
                <w:lang w:val="en-US"/>
              </w:rPr>
              <w:t>***</w:t>
            </w:r>
          </w:p>
        </w:tc>
        <w:tc>
          <w:tcPr>
            <w:tcW w:w="595" w:type="pct"/>
            <w:tcBorders>
              <w:top w:val="nil"/>
              <w:left w:val="nil"/>
              <w:bottom w:val="nil"/>
              <w:right w:val="nil"/>
            </w:tcBorders>
          </w:tcPr>
          <w:p w14:paraId="5C9342D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-1.913</w:t>
            </w:r>
            <w:r w:rsidRPr="00E01DC0">
              <w:rPr>
                <w:sz w:val="16"/>
                <w:szCs w:val="16"/>
                <w:vertAlign w:val="superscript"/>
                <w:lang w:val="en-US"/>
              </w:rPr>
              <w:t>***</w:t>
            </w:r>
          </w:p>
        </w:tc>
        <w:tc>
          <w:tcPr>
            <w:tcW w:w="595" w:type="pct"/>
            <w:tcBorders>
              <w:top w:val="nil"/>
              <w:left w:val="nil"/>
              <w:bottom w:val="nil"/>
              <w:right w:val="nil"/>
            </w:tcBorders>
          </w:tcPr>
          <w:p w14:paraId="18788781"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-2.526</w:t>
            </w:r>
            <w:r w:rsidRPr="00E01DC0">
              <w:rPr>
                <w:sz w:val="16"/>
                <w:szCs w:val="16"/>
                <w:vertAlign w:val="superscript"/>
                <w:lang w:val="en-US"/>
              </w:rPr>
              <w:t>***</w:t>
            </w:r>
          </w:p>
        </w:tc>
        <w:tc>
          <w:tcPr>
            <w:tcW w:w="595" w:type="pct"/>
            <w:tcBorders>
              <w:top w:val="nil"/>
              <w:left w:val="nil"/>
              <w:bottom w:val="nil"/>
              <w:right w:val="nil"/>
            </w:tcBorders>
          </w:tcPr>
          <w:p w14:paraId="62F32AC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-0.156</w:t>
            </w:r>
          </w:p>
        </w:tc>
        <w:tc>
          <w:tcPr>
            <w:tcW w:w="595" w:type="pct"/>
            <w:tcBorders>
              <w:top w:val="nil"/>
              <w:left w:val="nil"/>
              <w:bottom w:val="nil"/>
              <w:right w:val="nil"/>
            </w:tcBorders>
          </w:tcPr>
          <w:p w14:paraId="25BD79C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-0.976</w:t>
            </w:r>
            <w:r w:rsidRPr="00E01DC0">
              <w:rPr>
                <w:sz w:val="16"/>
                <w:szCs w:val="16"/>
                <w:vertAlign w:val="superscript"/>
                <w:lang w:val="en-US"/>
              </w:rPr>
              <w:t>***</w:t>
            </w:r>
          </w:p>
        </w:tc>
        <w:tc>
          <w:tcPr>
            <w:tcW w:w="595" w:type="pct"/>
            <w:tcBorders>
              <w:top w:val="nil"/>
              <w:left w:val="nil"/>
              <w:bottom w:val="nil"/>
              <w:right w:val="nil"/>
            </w:tcBorders>
          </w:tcPr>
          <w:p w14:paraId="70F66EF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-0.0942</w:t>
            </w:r>
          </w:p>
        </w:tc>
        <w:tc>
          <w:tcPr>
            <w:tcW w:w="595" w:type="pct"/>
            <w:tcBorders>
              <w:top w:val="nil"/>
              <w:left w:val="nil"/>
              <w:bottom w:val="nil"/>
              <w:right w:val="nil"/>
            </w:tcBorders>
          </w:tcPr>
          <w:p w14:paraId="390BA3C4"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0.418</w:t>
            </w:r>
          </w:p>
        </w:tc>
      </w:tr>
      <w:tr w:rsidR="00D27DB9" w:rsidRPr="00E01DC0" w14:paraId="6AE4A246" w14:textId="77777777" w:rsidTr="00D60FEF">
        <w:tc>
          <w:tcPr>
            <w:tcW w:w="835" w:type="pct"/>
            <w:tcBorders>
              <w:top w:val="nil"/>
              <w:left w:val="nil"/>
              <w:bottom w:val="nil"/>
              <w:right w:val="nil"/>
            </w:tcBorders>
          </w:tcPr>
          <w:p w14:paraId="3BC56E23"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201EF5FB"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(0.320)</w:t>
            </w:r>
          </w:p>
        </w:tc>
        <w:tc>
          <w:tcPr>
            <w:tcW w:w="595" w:type="pct"/>
            <w:tcBorders>
              <w:top w:val="nil"/>
              <w:left w:val="nil"/>
              <w:bottom w:val="nil"/>
              <w:right w:val="nil"/>
            </w:tcBorders>
          </w:tcPr>
          <w:p w14:paraId="5ECF59A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(0.327)</w:t>
            </w:r>
          </w:p>
        </w:tc>
        <w:tc>
          <w:tcPr>
            <w:tcW w:w="595" w:type="pct"/>
            <w:tcBorders>
              <w:top w:val="nil"/>
              <w:left w:val="nil"/>
              <w:bottom w:val="nil"/>
              <w:right w:val="nil"/>
            </w:tcBorders>
          </w:tcPr>
          <w:p w14:paraId="53B0243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(0.348)</w:t>
            </w:r>
          </w:p>
        </w:tc>
        <w:tc>
          <w:tcPr>
            <w:tcW w:w="595" w:type="pct"/>
            <w:tcBorders>
              <w:top w:val="nil"/>
              <w:left w:val="nil"/>
              <w:bottom w:val="nil"/>
              <w:right w:val="nil"/>
            </w:tcBorders>
          </w:tcPr>
          <w:p w14:paraId="276AB1D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(0.369)</w:t>
            </w:r>
          </w:p>
        </w:tc>
        <w:tc>
          <w:tcPr>
            <w:tcW w:w="595" w:type="pct"/>
            <w:tcBorders>
              <w:top w:val="nil"/>
              <w:left w:val="nil"/>
              <w:bottom w:val="nil"/>
              <w:right w:val="nil"/>
            </w:tcBorders>
          </w:tcPr>
          <w:p w14:paraId="43366199"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(0.189)</w:t>
            </w:r>
          </w:p>
        </w:tc>
        <w:tc>
          <w:tcPr>
            <w:tcW w:w="595" w:type="pct"/>
            <w:tcBorders>
              <w:top w:val="nil"/>
              <w:left w:val="nil"/>
              <w:bottom w:val="nil"/>
              <w:right w:val="nil"/>
            </w:tcBorders>
          </w:tcPr>
          <w:p w14:paraId="184AFD2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(0.217)</w:t>
            </w:r>
          </w:p>
        </w:tc>
        <w:tc>
          <w:tcPr>
            <w:tcW w:w="595" w:type="pct"/>
            <w:tcBorders>
              <w:top w:val="nil"/>
              <w:left w:val="nil"/>
              <w:bottom w:val="nil"/>
              <w:right w:val="nil"/>
            </w:tcBorders>
          </w:tcPr>
          <w:p w14:paraId="0FDEA174"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(0.435)</w:t>
            </w:r>
          </w:p>
        </w:tc>
      </w:tr>
      <w:tr w:rsidR="00D27DB9" w:rsidRPr="00E01DC0" w14:paraId="20342F7B" w14:textId="77777777" w:rsidTr="00D60FEF">
        <w:tc>
          <w:tcPr>
            <w:tcW w:w="835" w:type="pct"/>
            <w:tcBorders>
              <w:top w:val="nil"/>
              <w:left w:val="nil"/>
              <w:bottom w:val="nil"/>
              <w:right w:val="nil"/>
            </w:tcBorders>
          </w:tcPr>
          <w:p w14:paraId="60324E0A"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04E8C428"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70B9E2EF"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2643D1B4"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12D0A901"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69F05132"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4367D018"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nil"/>
              <w:right w:val="nil"/>
            </w:tcBorders>
          </w:tcPr>
          <w:p w14:paraId="00A6F5E6" w14:textId="77777777" w:rsidR="00D27DB9" w:rsidRPr="00E01DC0" w:rsidRDefault="00D27DB9" w:rsidP="00D60FEF">
            <w:pPr>
              <w:widowControl w:val="0"/>
              <w:autoSpaceDE w:val="0"/>
              <w:autoSpaceDN w:val="0"/>
              <w:adjustRightInd w:val="0"/>
              <w:spacing w:after="0" w:line="240" w:lineRule="auto"/>
              <w:rPr>
                <w:sz w:val="16"/>
                <w:szCs w:val="16"/>
                <w:lang w:val="en-US"/>
              </w:rPr>
            </w:pPr>
          </w:p>
        </w:tc>
      </w:tr>
      <w:tr w:rsidR="00D27DB9" w:rsidRPr="00E01DC0" w14:paraId="7599CB3F" w14:textId="77777777" w:rsidTr="00D60FEF">
        <w:tc>
          <w:tcPr>
            <w:tcW w:w="835" w:type="pct"/>
            <w:tcBorders>
              <w:top w:val="nil"/>
              <w:left w:val="nil"/>
              <w:bottom w:val="nil"/>
              <w:right w:val="nil"/>
            </w:tcBorders>
          </w:tcPr>
          <w:p w14:paraId="0D0E3AA2" w14:textId="77777777" w:rsidR="00D27DB9" w:rsidRPr="00E01DC0" w:rsidRDefault="00D27DB9" w:rsidP="00D60FEF">
            <w:pPr>
              <w:widowControl w:val="0"/>
              <w:autoSpaceDE w:val="0"/>
              <w:autoSpaceDN w:val="0"/>
              <w:adjustRightInd w:val="0"/>
              <w:spacing w:after="0" w:line="240" w:lineRule="auto"/>
              <w:rPr>
                <w:sz w:val="16"/>
                <w:szCs w:val="16"/>
                <w:lang w:val="en-US"/>
              </w:rPr>
            </w:pPr>
            <w:r w:rsidRPr="00E01DC0">
              <w:rPr>
                <w:sz w:val="16"/>
                <w:szCs w:val="16"/>
                <w:lang w:val="en-US"/>
              </w:rPr>
              <w:t>_cons</w:t>
            </w:r>
          </w:p>
        </w:tc>
        <w:tc>
          <w:tcPr>
            <w:tcW w:w="595" w:type="pct"/>
            <w:tcBorders>
              <w:top w:val="nil"/>
              <w:left w:val="nil"/>
              <w:bottom w:val="nil"/>
              <w:right w:val="nil"/>
            </w:tcBorders>
          </w:tcPr>
          <w:p w14:paraId="75EC19A0"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-2.040</w:t>
            </w:r>
            <w:r w:rsidRPr="00E01DC0">
              <w:rPr>
                <w:sz w:val="16"/>
                <w:szCs w:val="16"/>
                <w:vertAlign w:val="superscript"/>
                <w:lang w:val="en-US"/>
              </w:rPr>
              <w:t>***</w:t>
            </w:r>
          </w:p>
        </w:tc>
        <w:tc>
          <w:tcPr>
            <w:tcW w:w="595" w:type="pct"/>
            <w:tcBorders>
              <w:top w:val="nil"/>
              <w:left w:val="nil"/>
              <w:bottom w:val="nil"/>
              <w:right w:val="nil"/>
            </w:tcBorders>
          </w:tcPr>
          <w:p w14:paraId="7D9FFD3B"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-2.753</w:t>
            </w:r>
            <w:r w:rsidRPr="00E01DC0">
              <w:rPr>
                <w:sz w:val="16"/>
                <w:szCs w:val="16"/>
                <w:vertAlign w:val="superscript"/>
                <w:lang w:val="en-US"/>
              </w:rPr>
              <w:t>***</w:t>
            </w:r>
          </w:p>
        </w:tc>
        <w:tc>
          <w:tcPr>
            <w:tcW w:w="595" w:type="pct"/>
            <w:tcBorders>
              <w:top w:val="nil"/>
              <w:left w:val="nil"/>
              <w:bottom w:val="nil"/>
              <w:right w:val="nil"/>
            </w:tcBorders>
          </w:tcPr>
          <w:p w14:paraId="7DC2AA74"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-4.368</w:t>
            </w:r>
            <w:r w:rsidRPr="00E01DC0">
              <w:rPr>
                <w:sz w:val="16"/>
                <w:szCs w:val="16"/>
                <w:vertAlign w:val="superscript"/>
                <w:lang w:val="en-US"/>
              </w:rPr>
              <w:t>***</w:t>
            </w:r>
          </w:p>
        </w:tc>
        <w:tc>
          <w:tcPr>
            <w:tcW w:w="595" w:type="pct"/>
            <w:tcBorders>
              <w:top w:val="nil"/>
              <w:left w:val="nil"/>
              <w:bottom w:val="nil"/>
              <w:right w:val="nil"/>
            </w:tcBorders>
          </w:tcPr>
          <w:p w14:paraId="3012253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-5.555</w:t>
            </w:r>
            <w:r w:rsidRPr="00E01DC0">
              <w:rPr>
                <w:sz w:val="16"/>
                <w:szCs w:val="16"/>
                <w:vertAlign w:val="superscript"/>
                <w:lang w:val="en-US"/>
              </w:rPr>
              <w:t>***</w:t>
            </w:r>
          </w:p>
        </w:tc>
        <w:tc>
          <w:tcPr>
            <w:tcW w:w="595" w:type="pct"/>
            <w:tcBorders>
              <w:top w:val="nil"/>
              <w:left w:val="nil"/>
              <w:bottom w:val="nil"/>
              <w:right w:val="nil"/>
            </w:tcBorders>
          </w:tcPr>
          <w:p w14:paraId="432B942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-1.283</w:t>
            </w:r>
            <w:r w:rsidRPr="00E01DC0">
              <w:rPr>
                <w:sz w:val="16"/>
                <w:szCs w:val="16"/>
                <w:vertAlign w:val="superscript"/>
                <w:lang w:val="en-US"/>
              </w:rPr>
              <w:t>***</w:t>
            </w:r>
          </w:p>
        </w:tc>
        <w:tc>
          <w:tcPr>
            <w:tcW w:w="595" w:type="pct"/>
            <w:tcBorders>
              <w:top w:val="nil"/>
              <w:left w:val="nil"/>
              <w:bottom w:val="nil"/>
              <w:right w:val="nil"/>
            </w:tcBorders>
          </w:tcPr>
          <w:p w14:paraId="79DFE48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-3.264</w:t>
            </w:r>
            <w:r w:rsidRPr="00E01DC0">
              <w:rPr>
                <w:sz w:val="16"/>
                <w:szCs w:val="16"/>
                <w:vertAlign w:val="superscript"/>
                <w:lang w:val="en-US"/>
              </w:rPr>
              <w:t>***</w:t>
            </w:r>
          </w:p>
        </w:tc>
        <w:tc>
          <w:tcPr>
            <w:tcW w:w="595" w:type="pct"/>
            <w:tcBorders>
              <w:top w:val="nil"/>
              <w:left w:val="nil"/>
              <w:bottom w:val="nil"/>
              <w:right w:val="nil"/>
            </w:tcBorders>
          </w:tcPr>
          <w:p w14:paraId="1D4EDDA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-3.063</w:t>
            </w:r>
            <w:r w:rsidRPr="00E01DC0">
              <w:rPr>
                <w:sz w:val="16"/>
                <w:szCs w:val="16"/>
                <w:vertAlign w:val="superscript"/>
                <w:lang w:val="en-US"/>
              </w:rPr>
              <w:t>***</w:t>
            </w:r>
          </w:p>
        </w:tc>
      </w:tr>
      <w:tr w:rsidR="00D27DB9" w:rsidRPr="00E01DC0" w14:paraId="4904FB16" w14:textId="77777777" w:rsidTr="00D60FEF">
        <w:tc>
          <w:tcPr>
            <w:tcW w:w="835" w:type="pct"/>
            <w:tcBorders>
              <w:top w:val="nil"/>
              <w:left w:val="nil"/>
              <w:bottom w:val="single" w:sz="4" w:space="0" w:color="auto"/>
              <w:right w:val="nil"/>
            </w:tcBorders>
          </w:tcPr>
          <w:p w14:paraId="28171498" w14:textId="77777777" w:rsidR="00D27DB9" w:rsidRPr="00E01DC0" w:rsidRDefault="00D27DB9" w:rsidP="00D60FEF">
            <w:pPr>
              <w:widowControl w:val="0"/>
              <w:autoSpaceDE w:val="0"/>
              <w:autoSpaceDN w:val="0"/>
              <w:adjustRightInd w:val="0"/>
              <w:spacing w:after="0" w:line="240" w:lineRule="auto"/>
              <w:rPr>
                <w:sz w:val="16"/>
                <w:szCs w:val="16"/>
                <w:lang w:val="en-US"/>
              </w:rPr>
            </w:pPr>
          </w:p>
        </w:tc>
        <w:tc>
          <w:tcPr>
            <w:tcW w:w="595" w:type="pct"/>
            <w:tcBorders>
              <w:top w:val="nil"/>
              <w:left w:val="nil"/>
              <w:bottom w:val="single" w:sz="4" w:space="0" w:color="auto"/>
              <w:right w:val="nil"/>
            </w:tcBorders>
          </w:tcPr>
          <w:p w14:paraId="187DC37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(0.505)</w:t>
            </w:r>
          </w:p>
        </w:tc>
        <w:tc>
          <w:tcPr>
            <w:tcW w:w="595" w:type="pct"/>
            <w:tcBorders>
              <w:top w:val="nil"/>
              <w:left w:val="nil"/>
              <w:bottom w:val="single" w:sz="4" w:space="0" w:color="auto"/>
              <w:right w:val="nil"/>
            </w:tcBorders>
          </w:tcPr>
          <w:p w14:paraId="2BC17C10"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(0.520)</w:t>
            </w:r>
          </w:p>
        </w:tc>
        <w:tc>
          <w:tcPr>
            <w:tcW w:w="595" w:type="pct"/>
            <w:tcBorders>
              <w:top w:val="nil"/>
              <w:left w:val="nil"/>
              <w:bottom w:val="single" w:sz="4" w:space="0" w:color="auto"/>
              <w:right w:val="nil"/>
            </w:tcBorders>
          </w:tcPr>
          <w:p w14:paraId="38C129A3"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(0.569)</w:t>
            </w:r>
          </w:p>
        </w:tc>
        <w:tc>
          <w:tcPr>
            <w:tcW w:w="595" w:type="pct"/>
            <w:tcBorders>
              <w:top w:val="nil"/>
              <w:left w:val="nil"/>
              <w:bottom w:val="single" w:sz="4" w:space="0" w:color="auto"/>
              <w:right w:val="nil"/>
            </w:tcBorders>
          </w:tcPr>
          <w:p w14:paraId="6567120D"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(0.653)</w:t>
            </w:r>
          </w:p>
        </w:tc>
        <w:tc>
          <w:tcPr>
            <w:tcW w:w="595" w:type="pct"/>
            <w:tcBorders>
              <w:top w:val="nil"/>
              <w:left w:val="nil"/>
              <w:bottom w:val="single" w:sz="4" w:space="0" w:color="auto"/>
              <w:right w:val="nil"/>
            </w:tcBorders>
          </w:tcPr>
          <w:p w14:paraId="3E2C73A2"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(0.305)</w:t>
            </w:r>
          </w:p>
        </w:tc>
        <w:tc>
          <w:tcPr>
            <w:tcW w:w="595" w:type="pct"/>
            <w:tcBorders>
              <w:top w:val="nil"/>
              <w:left w:val="nil"/>
              <w:bottom w:val="single" w:sz="4" w:space="0" w:color="auto"/>
              <w:right w:val="nil"/>
            </w:tcBorders>
          </w:tcPr>
          <w:p w14:paraId="4A5CF1C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(0.383)</w:t>
            </w:r>
          </w:p>
        </w:tc>
        <w:tc>
          <w:tcPr>
            <w:tcW w:w="595" w:type="pct"/>
            <w:tcBorders>
              <w:top w:val="nil"/>
              <w:left w:val="nil"/>
              <w:bottom w:val="single" w:sz="4" w:space="0" w:color="auto"/>
              <w:right w:val="nil"/>
            </w:tcBorders>
          </w:tcPr>
          <w:p w14:paraId="6AB55183"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(0.566)</w:t>
            </w:r>
          </w:p>
        </w:tc>
      </w:tr>
      <w:tr w:rsidR="00D27DB9" w:rsidRPr="00E01DC0" w14:paraId="6D8904C3" w14:textId="77777777" w:rsidTr="00D60FEF">
        <w:tc>
          <w:tcPr>
            <w:tcW w:w="835" w:type="pct"/>
            <w:tcBorders>
              <w:top w:val="nil"/>
              <w:left w:val="nil"/>
              <w:bottom w:val="nil"/>
              <w:right w:val="nil"/>
            </w:tcBorders>
          </w:tcPr>
          <w:p w14:paraId="5F21556E" w14:textId="77777777" w:rsidR="00D27DB9" w:rsidRPr="00E01DC0" w:rsidRDefault="00D27DB9" w:rsidP="00D60FEF">
            <w:pPr>
              <w:widowControl w:val="0"/>
              <w:autoSpaceDE w:val="0"/>
              <w:autoSpaceDN w:val="0"/>
              <w:adjustRightInd w:val="0"/>
              <w:spacing w:after="0" w:line="240" w:lineRule="auto"/>
              <w:rPr>
                <w:sz w:val="16"/>
                <w:szCs w:val="16"/>
                <w:lang w:val="en-US"/>
              </w:rPr>
            </w:pPr>
            <w:r w:rsidRPr="00E01DC0">
              <w:rPr>
                <w:i/>
                <w:iCs/>
                <w:sz w:val="16"/>
                <w:szCs w:val="16"/>
                <w:lang w:val="en-US"/>
              </w:rPr>
              <w:t>N</w:t>
            </w:r>
          </w:p>
        </w:tc>
        <w:tc>
          <w:tcPr>
            <w:tcW w:w="595" w:type="pct"/>
            <w:tcBorders>
              <w:top w:val="nil"/>
              <w:left w:val="nil"/>
              <w:bottom w:val="nil"/>
              <w:right w:val="nil"/>
            </w:tcBorders>
          </w:tcPr>
          <w:p w14:paraId="1CD74005"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3669</w:t>
            </w:r>
          </w:p>
        </w:tc>
        <w:tc>
          <w:tcPr>
            <w:tcW w:w="595" w:type="pct"/>
            <w:tcBorders>
              <w:top w:val="nil"/>
              <w:left w:val="nil"/>
              <w:bottom w:val="nil"/>
              <w:right w:val="nil"/>
            </w:tcBorders>
          </w:tcPr>
          <w:p w14:paraId="08BFB83E"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3449</w:t>
            </w:r>
          </w:p>
        </w:tc>
        <w:tc>
          <w:tcPr>
            <w:tcW w:w="595" w:type="pct"/>
            <w:tcBorders>
              <w:top w:val="nil"/>
              <w:left w:val="nil"/>
              <w:bottom w:val="nil"/>
              <w:right w:val="nil"/>
            </w:tcBorders>
          </w:tcPr>
          <w:p w14:paraId="3E0BCD62"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3011</w:t>
            </w:r>
          </w:p>
        </w:tc>
        <w:tc>
          <w:tcPr>
            <w:tcW w:w="595" w:type="pct"/>
            <w:tcBorders>
              <w:top w:val="nil"/>
              <w:left w:val="nil"/>
              <w:bottom w:val="nil"/>
              <w:right w:val="nil"/>
            </w:tcBorders>
          </w:tcPr>
          <w:p w14:paraId="65D2FE8B"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2634</w:t>
            </w:r>
          </w:p>
        </w:tc>
        <w:tc>
          <w:tcPr>
            <w:tcW w:w="595" w:type="pct"/>
            <w:tcBorders>
              <w:top w:val="nil"/>
              <w:left w:val="nil"/>
              <w:bottom w:val="nil"/>
              <w:right w:val="nil"/>
            </w:tcBorders>
          </w:tcPr>
          <w:p w14:paraId="6A7C0172"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3669</w:t>
            </w:r>
          </w:p>
        </w:tc>
        <w:tc>
          <w:tcPr>
            <w:tcW w:w="595" w:type="pct"/>
            <w:tcBorders>
              <w:top w:val="nil"/>
              <w:left w:val="nil"/>
              <w:bottom w:val="nil"/>
              <w:right w:val="nil"/>
            </w:tcBorders>
          </w:tcPr>
          <w:p w14:paraId="3250624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2634</w:t>
            </w:r>
          </w:p>
        </w:tc>
        <w:tc>
          <w:tcPr>
            <w:tcW w:w="595" w:type="pct"/>
            <w:tcBorders>
              <w:top w:val="nil"/>
              <w:left w:val="nil"/>
              <w:bottom w:val="nil"/>
              <w:right w:val="nil"/>
            </w:tcBorders>
          </w:tcPr>
          <w:p w14:paraId="50D74543"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3669</w:t>
            </w:r>
          </w:p>
        </w:tc>
      </w:tr>
      <w:tr w:rsidR="00D27DB9" w:rsidRPr="00E01DC0" w14:paraId="5DC0D8DE" w14:textId="77777777" w:rsidTr="00D60FEF">
        <w:tc>
          <w:tcPr>
            <w:tcW w:w="835" w:type="pct"/>
            <w:tcBorders>
              <w:top w:val="nil"/>
              <w:left w:val="nil"/>
              <w:bottom w:val="nil"/>
              <w:right w:val="nil"/>
            </w:tcBorders>
          </w:tcPr>
          <w:p w14:paraId="3C889C7C" w14:textId="77777777" w:rsidR="00D27DB9" w:rsidRPr="00E01DC0" w:rsidRDefault="00D27DB9" w:rsidP="00D60FEF">
            <w:pPr>
              <w:widowControl w:val="0"/>
              <w:autoSpaceDE w:val="0"/>
              <w:autoSpaceDN w:val="0"/>
              <w:adjustRightInd w:val="0"/>
              <w:spacing w:after="0" w:line="240" w:lineRule="auto"/>
              <w:rPr>
                <w:i/>
                <w:iCs/>
                <w:sz w:val="16"/>
                <w:szCs w:val="16"/>
                <w:lang w:val="en-US"/>
              </w:rPr>
            </w:pPr>
            <w:r w:rsidRPr="00E01DC0">
              <w:rPr>
                <w:i/>
                <w:iCs/>
                <w:sz w:val="16"/>
                <w:szCs w:val="16"/>
                <w:lang w:val="en-US"/>
              </w:rPr>
              <w:t>Wald-Chi^2</w:t>
            </w:r>
          </w:p>
        </w:tc>
        <w:tc>
          <w:tcPr>
            <w:tcW w:w="595" w:type="pct"/>
            <w:tcBorders>
              <w:top w:val="nil"/>
              <w:left w:val="nil"/>
              <w:bottom w:val="nil"/>
              <w:right w:val="nil"/>
            </w:tcBorders>
          </w:tcPr>
          <w:p w14:paraId="5FE80D6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372.41***</w:t>
            </w:r>
          </w:p>
        </w:tc>
        <w:tc>
          <w:tcPr>
            <w:tcW w:w="595" w:type="pct"/>
            <w:tcBorders>
              <w:top w:val="nil"/>
              <w:left w:val="nil"/>
              <w:bottom w:val="nil"/>
              <w:right w:val="nil"/>
            </w:tcBorders>
          </w:tcPr>
          <w:p w14:paraId="6456DF6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390.84***</w:t>
            </w:r>
          </w:p>
        </w:tc>
        <w:tc>
          <w:tcPr>
            <w:tcW w:w="595" w:type="pct"/>
            <w:tcBorders>
              <w:top w:val="nil"/>
              <w:left w:val="nil"/>
              <w:bottom w:val="nil"/>
              <w:right w:val="nil"/>
            </w:tcBorders>
          </w:tcPr>
          <w:p w14:paraId="73C5CBC8"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420.28***</w:t>
            </w:r>
          </w:p>
        </w:tc>
        <w:tc>
          <w:tcPr>
            <w:tcW w:w="595" w:type="pct"/>
            <w:tcBorders>
              <w:top w:val="nil"/>
              <w:left w:val="nil"/>
              <w:bottom w:val="nil"/>
              <w:right w:val="nil"/>
            </w:tcBorders>
          </w:tcPr>
          <w:p w14:paraId="0627B58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557.72***</w:t>
            </w:r>
          </w:p>
        </w:tc>
        <w:tc>
          <w:tcPr>
            <w:tcW w:w="595" w:type="pct"/>
            <w:tcBorders>
              <w:top w:val="nil"/>
              <w:left w:val="nil"/>
              <w:bottom w:val="nil"/>
              <w:right w:val="nil"/>
            </w:tcBorders>
          </w:tcPr>
          <w:p w14:paraId="3C6C289A"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405.46***</w:t>
            </w:r>
          </w:p>
        </w:tc>
        <w:tc>
          <w:tcPr>
            <w:tcW w:w="595" w:type="pct"/>
            <w:tcBorders>
              <w:top w:val="nil"/>
              <w:left w:val="nil"/>
              <w:bottom w:val="nil"/>
              <w:right w:val="nil"/>
            </w:tcBorders>
          </w:tcPr>
          <w:p w14:paraId="1C5E8200"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654.96***</w:t>
            </w:r>
          </w:p>
        </w:tc>
        <w:tc>
          <w:tcPr>
            <w:tcW w:w="595" w:type="pct"/>
            <w:tcBorders>
              <w:top w:val="nil"/>
              <w:left w:val="nil"/>
              <w:bottom w:val="nil"/>
              <w:right w:val="nil"/>
            </w:tcBorders>
          </w:tcPr>
          <w:p w14:paraId="70ADFC9C"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E01DC0">
              <w:rPr>
                <w:sz w:val="16"/>
                <w:szCs w:val="16"/>
                <w:lang w:val="en-US"/>
              </w:rPr>
              <w:t>403.19***</w:t>
            </w:r>
          </w:p>
        </w:tc>
      </w:tr>
      <w:tr w:rsidR="00D27DB9" w:rsidRPr="00E01DC0" w14:paraId="19BEFE06" w14:textId="77777777" w:rsidTr="00D60FEF">
        <w:tc>
          <w:tcPr>
            <w:tcW w:w="835" w:type="pct"/>
            <w:tcBorders>
              <w:top w:val="nil"/>
              <w:left w:val="nil"/>
              <w:bottom w:val="single" w:sz="4" w:space="0" w:color="auto"/>
              <w:right w:val="nil"/>
            </w:tcBorders>
          </w:tcPr>
          <w:p w14:paraId="4A4CA194" w14:textId="77777777" w:rsidR="00D27DB9" w:rsidRPr="00E01DC0" w:rsidRDefault="00D27DB9" w:rsidP="00D60FEF">
            <w:pPr>
              <w:widowControl w:val="0"/>
              <w:autoSpaceDE w:val="0"/>
              <w:autoSpaceDN w:val="0"/>
              <w:adjustRightInd w:val="0"/>
              <w:spacing w:after="0" w:line="240" w:lineRule="auto"/>
              <w:rPr>
                <w:i/>
                <w:iCs/>
                <w:sz w:val="16"/>
                <w:szCs w:val="16"/>
                <w:lang w:val="en-US"/>
              </w:rPr>
            </w:pPr>
            <w:r>
              <w:rPr>
                <w:i/>
                <w:iCs/>
                <w:sz w:val="16"/>
                <w:szCs w:val="16"/>
                <w:lang w:val="en-US"/>
              </w:rPr>
              <w:t>Log Likelihood</w:t>
            </w:r>
          </w:p>
        </w:tc>
        <w:tc>
          <w:tcPr>
            <w:tcW w:w="595" w:type="pct"/>
            <w:tcBorders>
              <w:top w:val="nil"/>
              <w:left w:val="nil"/>
              <w:bottom w:val="single" w:sz="4" w:space="0" w:color="auto"/>
              <w:right w:val="nil"/>
            </w:tcBorders>
          </w:tcPr>
          <w:p w14:paraId="78DF77F0"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B5331D">
              <w:rPr>
                <w:sz w:val="16"/>
                <w:szCs w:val="16"/>
                <w:lang w:val="en-US"/>
              </w:rPr>
              <w:t>-1951.</w:t>
            </w:r>
            <w:r>
              <w:rPr>
                <w:sz w:val="16"/>
                <w:szCs w:val="16"/>
                <w:lang w:val="en-US"/>
              </w:rPr>
              <w:t>200</w:t>
            </w:r>
          </w:p>
        </w:tc>
        <w:tc>
          <w:tcPr>
            <w:tcW w:w="595" w:type="pct"/>
            <w:tcBorders>
              <w:top w:val="nil"/>
              <w:left w:val="nil"/>
              <w:bottom w:val="single" w:sz="4" w:space="0" w:color="auto"/>
              <w:right w:val="nil"/>
            </w:tcBorders>
          </w:tcPr>
          <w:p w14:paraId="300935D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B5331D">
              <w:rPr>
                <w:sz w:val="16"/>
                <w:szCs w:val="16"/>
                <w:lang w:val="en-US"/>
              </w:rPr>
              <w:t>-1846.394</w:t>
            </w:r>
          </w:p>
        </w:tc>
        <w:tc>
          <w:tcPr>
            <w:tcW w:w="595" w:type="pct"/>
            <w:tcBorders>
              <w:top w:val="nil"/>
              <w:left w:val="nil"/>
              <w:bottom w:val="single" w:sz="4" w:space="0" w:color="auto"/>
              <w:right w:val="nil"/>
            </w:tcBorders>
          </w:tcPr>
          <w:p w14:paraId="6C633220"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B5331D">
              <w:rPr>
                <w:sz w:val="16"/>
                <w:szCs w:val="16"/>
                <w:lang w:val="en-US"/>
              </w:rPr>
              <w:t>-1602.890</w:t>
            </w:r>
          </w:p>
        </w:tc>
        <w:tc>
          <w:tcPr>
            <w:tcW w:w="595" w:type="pct"/>
            <w:tcBorders>
              <w:top w:val="nil"/>
              <w:left w:val="nil"/>
              <w:bottom w:val="single" w:sz="4" w:space="0" w:color="auto"/>
              <w:right w:val="nil"/>
            </w:tcBorders>
          </w:tcPr>
          <w:p w14:paraId="3486D83B"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B5331D">
              <w:rPr>
                <w:sz w:val="16"/>
                <w:szCs w:val="16"/>
                <w:lang w:val="en-US"/>
              </w:rPr>
              <w:t>-1345.3</w:t>
            </w:r>
            <w:r>
              <w:rPr>
                <w:sz w:val="16"/>
                <w:szCs w:val="16"/>
                <w:lang w:val="en-US"/>
              </w:rPr>
              <w:t>10</w:t>
            </w:r>
          </w:p>
        </w:tc>
        <w:tc>
          <w:tcPr>
            <w:tcW w:w="595" w:type="pct"/>
            <w:tcBorders>
              <w:top w:val="nil"/>
              <w:left w:val="nil"/>
              <w:bottom w:val="single" w:sz="4" w:space="0" w:color="auto"/>
              <w:right w:val="nil"/>
            </w:tcBorders>
          </w:tcPr>
          <w:p w14:paraId="34222AC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B5331D">
              <w:rPr>
                <w:sz w:val="16"/>
                <w:szCs w:val="16"/>
                <w:lang w:val="en-US"/>
              </w:rPr>
              <w:t>-1950.02</w:t>
            </w:r>
            <w:r>
              <w:rPr>
                <w:sz w:val="16"/>
                <w:szCs w:val="16"/>
                <w:lang w:val="en-US"/>
              </w:rPr>
              <w:t>2</w:t>
            </w:r>
          </w:p>
        </w:tc>
        <w:tc>
          <w:tcPr>
            <w:tcW w:w="595" w:type="pct"/>
            <w:tcBorders>
              <w:top w:val="nil"/>
              <w:left w:val="nil"/>
              <w:bottom w:val="single" w:sz="4" w:space="0" w:color="auto"/>
              <w:right w:val="nil"/>
            </w:tcBorders>
          </w:tcPr>
          <w:p w14:paraId="1DCFB184"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B5331D">
              <w:rPr>
                <w:sz w:val="16"/>
                <w:szCs w:val="16"/>
                <w:lang w:val="en-US"/>
              </w:rPr>
              <w:t>-1346.35</w:t>
            </w:r>
            <w:r>
              <w:rPr>
                <w:sz w:val="16"/>
                <w:szCs w:val="16"/>
                <w:lang w:val="en-US"/>
              </w:rPr>
              <w:t>4</w:t>
            </w:r>
          </w:p>
        </w:tc>
        <w:tc>
          <w:tcPr>
            <w:tcW w:w="595" w:type="pct"/>
            <w:tcBorders>
              <w:top w:val="nil"/>
              <w:left w:val="nil"/>
              <w:bottom w:val="single" w:sz="4" w:space="0" w:color="auto"/>
              <w:right w:val="nil"/>
            </w:tcBorders>
          </w:tcPr>
          <w:p w14:paraId="43D9E8A6" w14:textId="77777777" w:rsidR="00D27DB9" w:rsidRPr="00E01DC0" w:rsidRDefault="00D27DB9" w:rsidP="00D60FEF">
            <w:pPr>
              <w:widowControl w:val="0"/>
              <w:autoSpaceDE w:val="0"/>
              <w:autoSpaceDN w:val="0"/>
              <w:adjustRightInd w:val="0"/>
              <w:spacing w:after="0" w:line="240" w:lineRule="auto"/>
              <w:jc w:val="center"/>
              <w:rPr>
                <w:sz w:val="16"/>
                <w:szCs w:val="16"/>
                <w:lang w:val="en-US"/>
              </w:rPr>
            </w:pPr>
            <w:r w:rsidRPr="00B5331D">
              <w:rPr>
                <w:sz w:val="16"/>
                <w:szCs w:val="16"/>
                <w:lang w:val="en-US"/>
              </w:rPr>
              <w:t>-1924.133</w:t>
            </w:r>
          </w:p>
        </w:tc>
      </w:tr>
    </w:tbl>
    <w:p w14:paraId="1CDAD166" w14:textId="77777777" w:rsidR="00D27DB9" w:rsidRDefault="00D27DB9" w:rsidP="00D27DB9">
      <w:pPr>
        <w:spacing w:line="360" w:lineRule="auto"/>
        <w:ind w:firstLine="720"/>
      </w:pPr>
    </w:p>
    <w:p w14:paraId="6CE3E71F" w14:textId="0C2DCBD7" w:rsidR="00D27DB9" w:rsidRPr="00D27DB9" w:rsidRDefault="00D27DB9" w:rsidP="00D27DB9">
      <w:pPr>
        <w:tabs>
          <w:tab w:val="left" w:pos="890"/>
        </w:tabs>
        <w:sectPr w:rsidR="00D27DB9" w:rsidRPr="00D27DB9" w:rsidSect="00136748">
          <w:pgSz w:w="16839" w:h="11907" w:orient="landscape" w:code="9"/>
          <w:pgMar w:top="1440" w:right="1440" w:bottom="1440" w:left="1440" w:header="720" w:footer="720" w:gutter="0"/>
          <w:cols w:space="720"/>
          <w:docGrid w:linePitch="360"/>
        </w:sectPr>
      </w:pPr>
      <w:r>
        <w:tab/>
      </w:r>
    </w:p>
    <w:p w14:paraId="75FC3EED" w14:textId="14196BE9" w:rsidR="00C81E29" w:rsidRDefault="00C81E29" w:rsidP="00C40DC7">
      <w:pPr>
        <w:pStyle w:val="Heading3"/>
      </w:pPr>
      <w:r>
        <w:lastRenderedPageBreak/>
        <w:t>Size</w:t>
      </w:r>
    </w:p>
    <w:p w14:paraId="78376FD5" w14:textId="22D840D0" w:rsidR="001D5D3C" w:rsidRDefault="00655A72" w:rsidP="00CA7BD9">
      <w:pPr>
        <w:spacing w:line="360" w:lineRule="auto"/>
      </w:pPr>
      <w:r>
        <w:t xml:space="preserve">All else being constant, mature MFIs with more assets are more likely to transform than the relatively younger </w:t>
      </w:r>
      <w:r w:rsidR="00716F4C">
        <w:t>MFIs</w:t>
      </w:r>
      <w:r w:rsidR="000403EE">
        <w:t xml:space="preserve"> with fewer assets</w:t>
      </w:r>
      <w:r>
        <w:t xml:space="preserve">. </w:t>
      </w:r>
      <w:r w:rsidR="00716F4C">
        <w:t xml:space="preserve">Perhaps large, mature MFIs </w:t>
      </w:r>
      <w:r w:rsidR="00CA1234">
        <w:t>can</w:t>
      </w:r>
      <w:r w:rsidR="00716F4C">
        <w:t xml:space="preserve"> sustain their operations independent of donations and subsidies</w:t>
      </w:r>
      <w:r w:rsidR="000403EE">
        <w:t xml:space="preserve"> </w:t>
      </w:r>
      <w:r w:rsidR="000403EE">
        <w:fldChar w:fldCharType="begin"/>
      </w:r>
      <w:r w:rsidR="00920F60">
        <w:instrText xml:space="preserve"> ADDIN EN.CITE &lt;EndNote&gt;&lt;Cite&gt;&lt;Author&gt;D’Espallier&lt;/Author&gt;&lt;Year&gt;2013&lt;/Year&gt;&lt;RecNum&gt;24&lt;/RecNum&gt;&lt;DisplayText&gt;(D’Espallier et al., 2013)&lt;/DisplayText&gt;&lt;record&gt;&lt;rec-number&gt;24&lt;/rec-number&gt;&lt;foreign-keys&gt;&lt;key app="EN" db-id="wds9909saar09se5x9txwfw7ax9wfe2ftrt2" timestamp="1501242803" guid="e8710a3c-12fb-4f84-9166-2738d5c3efef"&gt;24&lt;/key&gt;&lt;/foreign-keys&gt;&lt;ref-type name="Journal Article"&gt;17&lt;/ref-type&gt;&lt;contributors&gt;&lt;authors&gt;&lt;author&gt;D’Espallier, Bert&lt;/author&gt;&lt;author&gt;Hudon, Marek&lt;/author&gt;&lt;author&gt;Szafarz, Ariane&lt;/author&gt;&lt;/authors&gt;&lt;/contributors&gt;&lt;titles&gt;&lt;title&gt;Unsubsidized microfinance institutions&lt;/title&gt;&lt;secondary-title&gt;Economics Letters&lt;/secondary-title&gt;&lt;/titles&gt;&lt;periodical&gt;&lt;full-title&gt;Economics Letters&lt;/full-title&gt;&lt;abbr-1&gt;Econ. Letters&lt;/abbr-1&gt;&lt;abbr-2&gt;Econ Letters&lt;/abbr-2&gt;&lt;/periodical&gt;&lt;pages&gt;174-176&lt;/pages&gt;&lt;volume&gt;120&lt;/volume&gt;&lt;number&gt;2&lt;/number&gt;&lt;dates&gt;&lt;year&gt;2013&lt;/year&gt;&lt;/dates&gt;&lt;isbn&gt;0165-1765&lt;/isbn&gt;&lt;urls&gt;&lt;/urls&gt;&lt;/record&gt;&lt;/Cite&gt;&lt;/EndNote&gt;</w:instrText>
      </w:r>
      <w:r w:rsidR="000403EE">
        <w:fldChar w:fldCharType="separate"/>
      </w:r>
      <w:r w:rsidR="00920F60">
        <w:rPr>
          <w:noProof/>
        </w:rPr>
        <w:t>(D’Espallier et al., 2013)</w:t>
      </w:r>
      <w:r w:rsidR="000403EE">
        <w:fldChar w:fldCharType="end"/>
      </w:r>
      <w:r w:rsidR="00486548">
        <w:t xml:space="preserve">. Also, they </w:t>
      </w:r>
      <w:r w:rsidR="00716F4C">
        <w:t>have a higher capacity to attract money from the capital markets</w:t>
      </w:r>
      <w:r w:rsidR="00941513">
        <w:t>,</w:t>
      </w:r>
      <w:r w:rsidR="00716F4C">
        <w:t xml:space="preserve"> given their long track record. </w:t>
      </w:r>
      <w:r w:rsidR="000403EE">
        <w:t>Lastly, mature</w:t>
      </w:r>
      <w:r w:rsidR="00486548">
        <w:t xml:space="preserve"> MFIs operating in countries with weak governance (institutional quality) are less likely to transform than the relatively young MFIs. </w:t>
      </w:r>
      <w:r w:rsidR="004D254B">
        <w:t>The puzzle could be due to issues of private property rights that are harder to enforce in count</w:t>
      </w:r>
      <w:r w:rsidR="00CA1234">
        <w:t>ri</w:t>
      </w:r>
      <w:r w:rsidR="004D254B">
        <w:t xml:space="preserve">es with </w:t>
      </w:r>
      <w:r w:rsidR="00CA1234">
        <w:t>weak</w:t>
      </w:r>
      <w:r w:rsidR="004D254B">
        <w:t xml:space="preserve"> governance and the place of governance in the development of capital markets from where such MFIs would draw capital</w:t>
      </w:r>
      <w:r w:rsidR="001B5284">
        <w:t xml:space="preserve"> </w:t>
      </w:r>
      <w:r w:rsidR="001B5284">
        <w:fldChar w:fldCharType="begin"/>
      </w:r>
      <w:r w:rsidR="00920F60">
        <w:instrText xml:space="preserve"> ADDIN EN.CITE &lt;EndNote&gt;&lt;Cite&gt;&lt;Author&gt;Johnson&lt;/Author&gt;&lt;Year&gt;2002&lt;/Year&gt;&lt;RecNum&gt;483&lt;/RecNum&gt;&lt;DisplayText&gt;(Johnson, McMillan, &amp;amp; Woodruff, 2002; Claessens &amp;amp; Laeven, 2003)&lt;/DisplayText&gt;&lt;record&gt;&lt;rec-number&gt;483&lt;/rec-number&gt;&lt;foreign-keys&gt;&lt;key app="EN" db-id="wds9909saar09se5x9txwfw7ax9wfe2ftrt2" timestamp="1562607874" guid="77cacb78-9350-4c6a-9c96-01b139c3be57"&gt;483&lt;/key&gt;&lt;/foreign-keys&gt;&lt;ref-type name="Journal Article"&gt;17&lt;/ref-type&gt;&lt;contributors&gt;&lt;authors&gt;&lt;author&gt;Johnson, Simon&lt;/author&gt;&lt;author&gt;McMillan, John&lt;/author&gt;&lt;author&gt;Woodruff, Christopher&lt;/author&gt;&lt;/authors&gt;&lt;/contributors&gt;&lt;titles&gt;&lt;title&gt;Property rights and finance&lt;/title&gt;&lt;secondary-title&gt;American Economic Review&lt;/secondary-title&gt;&lt;/titles&gt;&lt;periodical&gt;&lt;full-title&gt;American Economic Review&lt;/full-title&gt;&lt;abbr-1&gt;Amer. Econ. Rev.&lt;/abbr-1&gt;&lt;abbr-2&gt;Amer Econ Rev&lt;/abbr-2&gt;&lt;/periodical&gt;&lt;pages&gt;1335-1356&lt;/pages&gt;&lt;volume&gt;92&lt;/volume&gt;&lt;number&gt;5&lt;/number&gt;&lt;dates&gt;&lt;year&gt;2002&lt;/year&gt;&lt;/dates&gt;&lt;isbn&gt;0002-8282&lt;/isbn&gt;&lt;urls&gt;&lt;/urls&gt;&lt;/record&gt;&lt;/Cite&gt;&lt;Cite&gt;&lt;Author&gt;Claessens&lt;/Author&gt;&lt;Year&gt;2003&lt;/Year&gt;&lt;RecNum&gt;484&lt;/RecNum&gt;&lt;record&gt;&lt;rec-number&gt;484&lt;/rec-number&gt;&lt;foreign-keys&gt;&lt;key app="EN" db-id="wds9909saar09se5x9txwfw7ax9wfe2ftrt2" timestamp="1562609139" guid="54332a3c-812b-493f-8b53-1b1432f4bd28"&gt;484&lt;/key&gt;&lt;/foreign-keys&gt;&lt;ref-type name="Journal Article"&gt;17&lt;/ref-type&gt;&lt;contributors&gt;&lt;authors&gt;&lt;author&gt;Claessens, Stijn&lt;/author&gt;&lt;author&gt;Laeven, Luc&lt;/author&gt;&lt;/authors&gt;&lt;/contributors&gt;&lt;titles&gt;&lt;title&gt;Financial development, property rights, and growth&lt;/title&gt;&lt;secondary-title&gt;The Journal of Finance&lt;/secondary-title&gt;&lt;/titles&gt;&lt;periodical&gt;&lt;full-title&gt;The Journal of finance&lt;/full-title&gt;&lt;/periodical&gt;&lt;pages&gt;2401-2436&lt;/pages&gt;&lt;volume&gt;58&lt;/volume&gt;&lt;number&gt;6&lt;/number&gt;&lt;dates&gt;&lt;year&gt;2003&lt;/year&gt;&lt;/dates&gt;&lt;isbn&gt;0022-1082&lt;/isbn&gt;&lt;urls&gt;&lt;/urls&gt;&lt;/record&gt;&lt;/Cite&gt;&lt;/EndNote&gt;</w:instrText>
      </w:r>
      <w:r w:rsidR="001B5284">
        <w:fldChar w:fldCharType="separate"/>
      </w:r>
      <w:r w:rsidR="001B5284">
        <w:rPr>
          <w:noProof/>
        </w:rPr>
        <w:t>(Johnson, McMillan, &amp; Woodruff, 2002; Claessens &amp; Laeven, 2003)</w:t>
      </w:r>
      <w:r w:rsidR="001B5284">
        <w:fldChar w:fldCharType="end"/>
      </w:r>
      <w:r w:rsidR="004D254B">
        <w:t>.</w:t>
      </w:r>
      <w:r w:rsidR="007D4874">
        <w:t xml:space="preserve"> </w:t>
      </w:r>
      <w:r w:rsidR="00C9100C">
        <w:t xml:space="preserve">The results are consistent with </w:t>
      </w:r>
      <w:r w:rsidR="009A49F8">
        <w:t xml:space="preserve">output from the </w:t>
      </w:r>
      <w:r w:rsidR="00C9100C">
        <w:t>analysis of data without cooperatives</w:t>
      </w:r>
      <w:r w:rsidR="00EB4AEF">
        <w:t>,</w:t>
      </w:r>
      <w:r w:rsidR="00C9100C">
        <w:t xml:space="preserve"> as shown in </w:t>
      </w:r>
      <w:r w:rsidR="00151FEC">
        <w:t>appendix 2</w:t>
      </w:r>
      <w:r w:rsidR="00CA1234">
        <w:t>,</w:t>
      </w:r>
      <w:r w:rsidR="000B5314">
        <w:t xml:space="preserve"> which shows the schedule of regression coefficients</w:t>
      </w:r>
      <w:r w:rsidR="00C9100C">
        <w:t xml:space="preserve">. </w:t>
      </w:r>
    </w:p>
    <w:p w14:paraId="01CA35AB" w14:textId="77777777" w:rsidR="002C7F77" w:rsidRDefault="002C7F77" w:rsidP="002C7F77">
      <w:pPr>
        <w:pStyle w:val="Heading3"/>
      </w:pPr>
      <w:r>
        <w:t>Institutional Quality</w:t>
      </w:r>
    </w:p>
    <w:p w14:paraId="45799B31" w14:textId="77777777" w:rsidR="002C7F77" w:rsidRDefault="002C7F77" w:rsidP="002C7F77">
      <w:pPr>
        <w:spacing w:line="360" w:lineRule="auto"/>
      </w:pPr>
      <w:r w:rsidRPr="00512843">
        <w:t xml:space="preserve">Governance (KKM Index) </w:t>
      </w:r>
      <w:r>
        <w:t>positive</w:t>
      </w:r>
      <w:r w:rsidRPr="00512843">
        <w:t>ly relates to the odds of transforming. The results probably hold due to the importance of property rights in raising confidence among private investors who finance the operations of transformed MFIs</w:t>
      </w:r>
      <w:r>
        <w:t xml:space="preserve"> </w:t>
      </w:r>
      <w:r w:rsidRPr="00512843">
        <w:fldChar w:fldCharType="begin"/>
      </w:r>
      <w:r>
        <w:instrText xml:space="preserve"> ADDIN EN.CITE &lt;EndNote&gt;&lt;Cite&gt;&lt;Author&gt;Allen&lt;/Author&gt;&lt;Year&gt;2014&lt;/Year&gt;&lt;RecNum&gt;466&lt;/RecNum&gt;&lt;DisplayText&gt;(Allen et al., 2013, 2014)&lt;/DisplayText&gt;&lt;record&gt;&lt;rec-number&gt;466&lt;/rec-number&gt;&lt;foreign-keys&gt;&lt;key app="EN" db-id="wds9909saar09se5x9txwfw7ax9wfe2ftrt2" timestamp="1555849956" guid="909c69ab-0ea5-454b-ae02-2a6e09bb8b53"&gt;466&lt;/key&gt;&lt;/foreign-keys&gt;&lt;ref-type name="Journal Article"&gt;17&lt;/ref-type&gt;&lt;contributors&gt;&lt;authors&gt;&lt;author&gt;Allen,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Patricio&lt;/author&gt;&lt;/authors&gt;&lt;/contributors&gt;&lt;titles&gt;&lt;title&gt;The African financial development and financial inclusion gaps&lt;/title&gt;&lt;secondary-title&gt;Journal of African economies&lt;/secondary-title&gt;&lt;/titles&gt;&lt;periodical&gt;&lt;full-title&gt;Journal of African Economies&lt;/full-title&gt;&lt;abbr-1&gt;J. African Economies&lt;/abbr-1&gt;&lt;abbr-2&gt;J African Economies&lt;/abbr-2&gt;&lt;/periodical&gt;&lt;pages&gt;614-642&lt;/pages&gt;&lt;volume&gt;23&lt;/volume&gt;&lt;number&gt;5&lt;/number&gt;&lt;dates&gt;&lt;year&gt;2014&lt;/year&gt;&lt;/dates&gt;&lt;isbn&gt;1464-3723&lt;/isbn&gt;&lt;urls&gt;&lt;/urls&gt;&lt;/record&gt;&lt;/Cite&gt;&lt;Cite&gt;&lt;Author&gt;Allen&lt;/Author&gt;&lt;Year&gt;2013&lt;/Year&gt;&lt;RecNum&gt;465&lt;/RecNum&gt;&lt;record&gt;&lt;rec-number&gt;465&lt;/rec-number&gt;&lt;foreign-keys&gt;&lt;key app="EN" db-id="wds9909saar09se5x9txwfw7ax9wfe2ftrt2" timestamp="1555849867" guid="a61c35a9-06d4-4aab-9a05-5e0fa2759621"&gt;465&lt;/key&gt;&lt;/foreign-keys&gt;&lt;ref-type name="Book"&gt;6&lt;/ref-type&gt;&lt;contributors&gt;&lt;authors&gt;&lt;author&gt;Allen, Franklin&lt;/author&gt;&lt;author&gt;Carletti, Elena&lt;/author&gt;&lt;author&gt;Cull, Robert&lt;/author&gt;&lt;author&gt;Qian, Jun ‘QJ’&lt;/author&gt;&lt;author&gt;Senbet, Lemma&lt;/author&gt;&lt;author&gt;Valenzuela, Patricio&lt;/author&gt;&lt;/authors&gt;&lt;/contributors&gt;&lt;titles&gt;&lt;title&gt;Resolving the African financial development gap: Cross-country comparisons and a within-country study of Kenya&lt;/title&gt;&lt;/titles&gt;&lt;dates&gt;&lt;year&gt;2013&lt;/year&gt;&lt;/dates&gt;&lt;pub-location&gt;New York&lt;/pub-location&gt;&lt;publisher&gt;The World Bank&lt;/publisher&gt;&lt;isbn&gt;1813-9450&lt;/isbn&gt;&lt;urls&gt;&lt;/urls&gt;&lt;/record&gt;&lt;/Cite&gt;&lt;/EndNote&gt;</w:instrText>
      </w:r>
      <w:r w:rsidRPr="00512843">
        <w:fldChar w:fldCharType="separate"/>
      </w:r>
      <w:r w:rsidRPr="00512843">
        <w:rPr>
          <w:noProof/>
        </w:rPr>
        <w:t>(Allen et al., 2013, 2014)</w:t>
      </w:r>
      <w:r w:rsidRPr="00512843">
        <w:fldChar w:fldCharType="end"/>
      </w:r>
      <w:r w:rsidRPr="00512843">
        <w:t xml:space="preserve">. Where governance, and hence property rights are weak, then most MFIs would likely remain NGOs for longer as investors are reluctant to finance private ventures in line with </w:t>
      </w:r>
      <w:r w:rsidRPr="00512843">
        <w:fldChar w:fldCharType="begin"/>
      </w:r>
      <w:r>
        <w:instrText xml:space="preserve"> ADDIN EN.CITE &lt;EndNote&gt;&lt;Cite AuthorYear="1"&gt;&lt;Author&gt;Johnson&lt;/Author&gt;&lt;Year&gt;2002&lt;/Year&gt;&lt;RecNum&gt;483&lt;/RecNum&gt;&lt;DisplayText&gt;Johnson et al. (2002)&lt;/DisplayText&gt;&lt;record&gt;&lt;rec-number&gt;483&lt;/rec-number&gt;&lt;foreign-keys&gt;&lt;key app="EN" db-id="wds9909saar09se5x9txwfw7ax9wfe2ftrt2" timestamp="1562607874" guid="77cacb78-9350-4c6a-9c96-01b139c3be57"&gt;483&lt;/key&gt;&lt;/foreign-keys&gt;&lt;ref-type name="Journal Article"&gt;17&lt;/ref-type&gt;&lt;contributors&gt;&lt;authors&gt;&lt;author&gt;Johnson, Simon&lt;/author&gt;&lt;author&gt;McMillan, John&lt;/author&gt;&lt;author&gt;Woodruff, Christopher&lt;/author&gt;&lt;/authors&gt;&lt;/contributors&gt;&lt;titles&gt;&lt;title&gt;Property rights and finance&lt;/title&gt;&lt;secondary-title&gt;American Economic Review&lt;/secondary-title&gt;&lt;/titles&gt;&lt;periodical&gt;&lt;full-title&gt;American Economic Review&lt;/full-title&gt;&lt;abbr-1&gt;Amer. Econ. Rev.&lt;/abbr-1&gt;&lt;abbr-2&gt;Amer Econ Rev&lt;/abbr-2&gt;&lt;/periodical&gt;&lt;pages&gt;1335-1356&lt;/pages&gt;&lt;volume&gt;92&lt;/volume&gt;&lt;number&gt;5&lt;/number&gt;&lt;dates&gt;&lt;year&gt;2002&lt;/year&gt;&lt;/dates&gt;&lt;isbn&gt;0002-8282&lt;/isbn&gt;&lt;urls&gt;&lt;/urls&gt;&lt;/record&gt;&lt;/Cite&gt;&lt;/EndNote&gt;</w:instrText>
      </w:r>
      <w:r w:rsidRPr="00512843">
        <w:fldChar w:fldCharType="separate"/>
      </w:r>
      <w:r>
        <w:rPr>
          <w:noProof/>
        </w:rPr>
        <w:t>Johnson et al. (2002)</w:t>
      </w:r>
      <w:r w:rsidRPr="00512843">
        <w:fldChar w:fldCharType="end"/>
      </w:r>
      <w:r w:rsidRPr="00512843">
        <w:t xml:space="preserve"> and </w:t>
      </w:r>
      <w:r w:rsidRPr="00512843">
        <w:fldChar w:fldCharType="begin"/>
      </w:r>
      <w:r>
        <w:instrText xml:space="preserve"> ADDIN EN.CITE &lt;EndNote&gt;&lt;Cite AuthorYear="1"&gt;&lt;Author&gt;Claessens&lt;/Author&gt;&lt;Year&gt;2003&lt;/Year&gt;&lt;RecNum&gt;484&lt;/RecNum&gt;&lt;DisplayText&gt;Claessens and Laeven (2003)&lt;/DisplayText&gt;&lt;record&gt;&lt;rec-number&gt;484&lt;/rec-number&gt;&lt;foreign-keys&gt;&lt;key app="EN" db-id="wds9909saar09se5x9txwfw7ax9wfe2ftrt2" timestamp="1562609139" guid="54332a3c-812b-493f-8b53-1b1432f4bd28"&gt;484&lt;/key&gt;&lt;/foreign-keys&gt;&lt;ref-type name="Journal Article"&gt;17&lt;/ref-type&gt;&lt;contributors&gt;&lt;authors&gt;&lt;author&gt;Claessens, Stijn&lt;/author&gt;&lt;author&gt;Laeven, Luc&lt;/author&gt;&lt;/authors&gt;&lt;/contributors&gt;&lt;titles&gt;&lt;title&gt;Financial development, property rights, and growth&lt;/title&gt;&lt;secondary-title&gt;The Journal of Finance&lt;/secondary-title&gt;&lt;/titles&gt;&lt;periodical&gt;&lt;full-title&gt;The Journal of finance&lt;/full-title&gt;&lt;/periodical&gt;&lt;pages&gt;2401-2436&lt;/pages&gt;&lt;volume&gt;58&lt;/volume&gt;&lt;number&gt;6&lt;/number&gt;&lt;dates&gt;&lt;year&gt;2003&lt;/year&gt;&lt;/dates&gt;&lt;isbn&gt;0022-1082&lt;/isbn&gt;&lt;urls&gt;&lt;/urls&gt;&lt;/record&gt;&lt;/Cite&gt;&lt;/EndNote&gt;</w:instrText>
      </w:r>
      <w:r w:rsidRPr="00512843">
        <w:fldChar w:fldCharType="separate"/>
      </w:r>
      <w:r w:rsidRPr="00512843">
        <w:rPr>
          <w:noProof/>
        </w:rPr>
        <w:t>Claessens and Laeven (2003)</w:t>
      </w:r>
      <w:r w:rsidRPr="00512843">
        <w:fldChar w:fldCharType="end"/>
      </w:r>
      <w:r w:rsidRPr="00512843">
        <w:t>.</w:t>
      </w:r>
      <w:r>
        <w:t xml:space="preserve"> For all the other variables, size, financial development and legal tradition, better governance raises the probability that they will positively influence the transformation of MFIs. The results are in Figure 4 above. The results illustrate the central role that institutional quality plays in not only driving the possibility of transformation but also the positive influence it exerts on the other factors that drive the probability of transformation. </w:t>
      </w:r>
    </w:p>
    <w:p w14:paraId="538AE202" w14:textId="0FBA46B6" w:rsidR="002C7F77" w:rsidRDefault="002C7F77" w:rsidP="00CA7BD9">
      <w:pPr>
        <w:spacing w:line="360" w:lineRule="auto"/>
        <w:sectPr w:rsidR="002C7F77" w:rsidSect="00136748">
          <w:pgSz w:w="11907" w:h="16839" w:code="9"/>
          <w:pgMar w:top="1440" w:right="1440" w:bottom="1440" w:left="1440" w:header="720" w:footer="720" w:gutter="0"/>
          <w:cols w:space="720"/>
          <w:docGrid w:linePitch="360"/>
        </w:sectPr>
      </w:pPr>
    </w:p>
    <w:p w14:paraId="476F7D1B" w14:textId="5029E4ED" w:rsidR="001C1B42" w:rsidRDefault="00236D82" w:rsidP="00456BBC">
      <w:pPr>
        <w:pStyle w:val="Caption"/>
      </w:pPr>
      <w:r>
        <w:lastRenderedPageBreak/>
        <w:t>Figure</w:t>
      </w:r>
      <w:r w:rsidR="008F48E0">
        <w:t xml:space="preserve"> </w:t>
      </w:r>
      <w:r w:rsidR="008F48E0">
        <w:fldChar w:fldCharType="begin"/>
      </w:r>
      <w:r w:rsidR="008F48E0">
        <w:instrText xml:space="preserve"> SEQ Table \* ARABIC </w:instrText>
      </w:r>
      <w:r w:rsidR="008F48E0">
        <w:fldChar w:fldCharType="separate"/>
      </w:r>
      <w:r w:rsidR="008F48E0">
        <w:rPr>
          <w:noProof/>
        </w:rPr>
        <w:t>4</w:t>
      </w:r>
      <w:r w:rsidR="008F48E0">
        <w:fldChar w:fldCharType="end"/>
      </w:r>
      <w:r w:rsidR="008F48E0">
        <w:t xml:space="preserve">: </w:t>
      </w:r>
      <w:r w:rsidR="00291B5B">
        <w:t xml:space="preserve">Marginal Effects at Representative Values for </w:t>
      </w:r>
      <w:r w:rsidR="00862771">
        <w:t xml:space="preserve">MFI </w:t>
      </w:r>
      <w:r w:rsidR="00291B5B">
        <w:t>Age</w:t>
      </w:r>
      <w:r w:rsidR="00C7035F">
        <w:t xml:space="preserve"> and </w:t>
      </w:r>
      <w:r w:rsidR="00862771">
        <w:t>Size (</w:t>
      </w:r>
      <w:proofErr w:type="spellStart"/>
      <w:r w:rsidR="00862771">
        <w:t>lassets</w:t>
      </w:r>
      <w:proofErr w:type="spellEnd"/>
      <w:r w:rsidR="00862771">
        <w:t>)</w:t>
      </w:r>
    </w:p>
    <w:tbl>
      <w:tblPr>
        <w:tblStyle w:val="TableGrid"/>
        <w:tblW w:w="5000" w:type="pct"/>
        <w:tblLook w:val="04A0" w:firstRow="1" w:lastRow="0" w:firstColumn="1" w:lastColumn="0" w:noHBand="0" w:noVBand="1"/>
      </w:tblPr>
      <w:tblGrid>
        <w:gridCol w:w="6586"/>
        <w:gridCol w:w="7363"/>
      </w:tblGrid>
      <w:tr w:rsidR="00A46953" w14:paraId="5209B097" w14:textId="77777777" w:rsidTr="00E74DDD">
        <w:trPr>
          <w:trHeight w:val="3969"/>
        </w:trPr>
        <w:tc>
          <w:tcPr>
            <w:tcW w:w="2500" w:type="pct"/>
          </w:tcPr>
          <w:p w14:paraId="1C2DE2AD" w14:textId="0CE88988" w:rsidR="00A46953" w:rsidRDefault="00DE270A" w:rsidP="001C1B42">
            <w:pPr>
              <w:tabs>
                <w:tab w:val="left" w:pos="1515"/>
              </w:tabs>
            </w:pPr>
            <w:r w:rsidRPr="00DE270A">
              <w:rPr>
                <w:noProof/>
              </w:rPr>
              <w:drawing>
                <wp:inline distT="0" distB="0" distL="0" distR="0" wp14:anchorId="4BC195D0" wp14:editId="3B480F05">
                  <wp:extent cx="4086970" cy="250825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93342" cy="2512161"/>
                          </a:xfrm>
                          <a:prstGeom prst="rect">
                            <a:avLst/>
                          </a:prstGeom>
                          <a:noFill/>
                          <a:ln>
                            <a:noFill/>
                          </a:ln>
                        </pic:spPr>
                      </pic:pic>
                    </a:graphicData>
                  </a:graphic>
                </wp:inline>
              </w:drawing>
            </w:r>
          </w:p>
        </w:tc>
        <w:tc>
          <w:tcPr>
            <w:tcW w:w="2500" w:type="pct"/>
          </w:tcPr>
          <w:p w14:paraId="275DBC33" w14:textId="676C1CF5" w:rsidR="00A46953" w:rsidRDefault="006D3ACC" w:rsidP="001C1B42">
            <w:pPr>
              <w:tabs>
                <w:tab w:val="left" w:pos="1515"/>
              </w:tabs>
            </w:pPr>
            <w:r w:rsidRPr="006D3ACC">
              <w:rPr>
                <w:noProof/>
              </w:rPr>
              <w:drawing>
                <wp:inline distT="0" distB="0" distL="0" distR="0" wp14:anchorId="7411E2A5" wp14:editId="63465B4B">
                  <wp:extent cx="4540195" cy="25080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68351" cy="2523586"/>
                          </a:xfrm>
                          <a:prstGeom prst="rect">
                            <a:avLst/>
                          </a:prstGeom>
                          <a:noFill/>
                          <a:ln>
                            <a:noFill/>
                          </a:ln>
                        </pic:spPr>
                      </pic:pic>
                    </a:graphicData>
                  </a:graphic>
                </wp:inline>
              </w:drawing>
            </w:r>
          </w:p>
        </w:tc>
      </w:tr>
      <w:tr w:rsidR="00A46953" w14:paraId="5B65D9AF" w14:textId="77777777" w:rsidTr="00E74DDD">
        <w:trPr>
          <w:trHeight w:val="3969"/>
        </w:trPr>
        <w:tc>
          <w:tcPr>
            <w:tcW w:w="2500" w:type="pct"/>
          </w:tcPr>
          <w:p w14:paraId="58C8764F" w14:textId="6BBFDAD1" w:rsidR="00A46953" w:rsidRDefault="00DE1509" w:rsidP="001C1B42">
            <w:pPr>
              <w:tabs>
                <w:tab w:val="left" w:pos="1515"/>
              </w:tabs>
            </w:pPr>
            <w:r w:rsidRPr="00DE1509">
              <w:rPr>
                <w:noProof/>
              </w:rPr>
              <w:drawing>
                <wp:inline distT="0" distB="0" distL="0" distR="0" wp14:anchorId="44508A68" wp14:editId="63ADAC9B">
                  <wp:extent cx="4016415" cy="268478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34150" cy="2696635"/>
                          </a:xfrm>
                          <a:prstGeom prst="rect">
                            <a:avLst/>
                          </a:prstGeom>
                          <a:noFill/>
                          <a:ln>
                            <a:noFill/>
                          </a:ln>
                        </pic:spPr>
                      </pic:pic>
                    </a:graphicData>
                  </a:graphic>
                </wp:inline>
              </w:drawing>
            </w:r>
          </w:p>
        </w:tc>
        <w:tc>
          <w:tcPr>
            <w:tcW w:w="2500" w:type="pct"/>
          </w:tcPr>
          <w:p w14:paraId="1D6F8C4B" w14:textId="1E03E456" w:rsidR="00A46953" w:rsidRDefault="00864FC6" w:rsidP="001C1B42">
            <w:pPr>
              <w:tabs>
                <w:tab w:val="left" w:pos="1515"/>
              </w:tabs>
            </w:pPr>
            <w:r w:rsidRPr="00864FC6">
              <w:rPr>
                <w:noProof/>
              </w:rPr>
              <w:drawing>
                <wp:inline distT="0" distB="0" distL="0" distR="0" wp14:anchorId="2F2D6235" wp14:editId="04CEEBA1">
                  <wp:extent cx="4595854" cy="280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09208" cy="2814855"/>
                          </a:xfrm>
                          <a:prstGeom prst="rect">
                            <a:avLst/>
                          </a:prstGeom>
                          <a:noFill/>
                          <a:ln>
                            <a:noFill/>
                          </a:ln>
                        </pic:spPr>
                      </pic:pic>
                    </a:graphicData>
                  </a:graphic>
                </wp:inline>
              </w:drawing>
            </w:r>
          </w:p>
        </w:tc>
      </w:tr>
    </w:tbl>
    <w:p w14:paraId="20AF5525" w14:textId="3F8428DB" w:rsidR="001C1B42" w:rsidRPr="001C1B42" w:rsidRDefault="001C1B42" w:rsidP="001C1B42">
      <w:pPr>
        <w:tabs>
          <w:tab w:val="left" w:pos="1515"/>
        </w:tabs>
        <w:sectPr w:rsidR="001C1B42" w:rsidRPr="001C1B42" w:rsidSect="001C1B42">
          <w:pgSz w:w="16839" w:h="11907" w:orient="landscape" w:code="9"/>
          <w:pgMar w:top="1440" w:right="1440" w:bottom="1440" w:left="1440" w:header="720" w:footer="720" w:gutter="0"/>
          <w:cols w:space="720"/>
          <w:docGrid w:linePitch="360"/>
        </w:sectPr>
      </w:pPr>
    </w:p>
    <w:p w14:paraId="594C99FE" w14:textId="77777777" w:rsidR="00784BDA" w:rsidRDefault="00784BDA" w:rsidP="00784BDA">
      <w:pPr>
        <w:pStyle w:val="Heading3"/>
      </w:pPr>
      <w:r>
        <w:lastRenderedPageBreak/>
        <w:t>Legal Tradition</w:t>
      </w:r>
    </w:p>
    <w:p w14:paraId="6ABC8255" w14:textId="77777777" w:rsidR="00784BDA" w:rsidRDefault="00784BDA" w:rsidP="00784BDA">
      <w:pPr>
        <w:spacing w:line="360" w:lineRule="auto"/>
      </w:pPr>
      <w:r>
        <w:t>T</w:t>
      </w:r>
      <w:r w:rsidRPr="00512843">
        <w:t xml:space="preserve">he legal tradition has an inverse relationship with the probability of transformation, again cementing the place of the law in financial sector development </w:t>
      </w:r>
      <w:r w:rsidRPr="00512843">
        <w:fldChar w:fldCharType="begin"/>
      </w:r>
      <w:r>
        <w:instrText xml:space="preserve"> ADDIN EN.CITE &lt;EndNote&gt;&lt;Cite&gt;&lt;Author&gt;La Porta&lt;/Author&gt;&lt;Year&gt;2013&lt;/Year&gt;&lt;RecNum&gt;376&lt;/RecNum&gt;&lt;DisplayText&gt;(La Porta, Lopez-de-Silanes, &amp;amp; Shleifer, 2013)&lt;/DisplayText&gt;&lt;record&gt;&lt;rec-number&gt;376&lt;/rec-number&gt;&lt;foreign-keys&gt;&lt;key app="EN" db-id="wds9909saar09se5x9txwfw7ax9wfe2ftrt2" timestamp="1519742872" guid="9644f3bc-fcfe-4d76-9fc2-e71bbd4012e1"&gt;376&lt;/key&gt;&lt;/foreign-keys&gt;&lt;ref-type name="Book Section"&gt;5&lt;/ref-type&gt;&lt;contributors&gt;&lt;authors&gt;&lt;author&gt;La Porta, R.&lt;/author&gt;&lt;author&gt;Lopez-de-Silanes, F.&lt;/author&gt;&lt;author&gt;Shleifer, A. &lt;/author&gt;&lt;/authors&gt;&lt;secondary-authors&gt;&lt;author&gt;George M. Constantinides &lt;/author&gt;&lt;author&gt;Milton Harris&lt;/author&gt;&lt;author&gt;Rene M. Stulz &lt;/author&gt;&lt;/secondary-authors&gt;&lt;/contributors&gt;&lt;titles&gt;&lt;title&gt;Law and finance after a decade  of research&lt;/title&gt;&lt;secondary-title&gt;Handbook of the Economics of Finance &lt;/secondary-title&gt;&lt;/titles&gt;&lt;pages&gt;426-470&lt;/pages&gt;&lt;volume&gt;2A&lt;/volume&gt;&lt;dates&gt;&lt;year&gt;2013&lt;/year&gt;&lt;/dates&gt;&lt;pub-location&gt;Amsterdam&lt;/pub-location&gt;&lt;publisher&gt;North Holland&lt;/publisher&gt;&lt;urls&gt;&lt;/urls&gt;&lt;/record&gt;&lt;/Cite&gt;&lt;/EndNote&gt;</w:instrText>
      </w:r>
      <w:r w:rsidRPr="00512843">
        <w:fldChar w:fldCharType="separate"/>
      </w:r>
      <w:r>
        <w:rPr>
          <w:noProof/>
        </w:rPr>
        <w:t>(La Porta, Lopez-de-Silanes, &amp; Shleifer, 2013)</w:t>
      </w:r>
      <w:r w:rsidRPr="00512843">
        <w:fldChar w:fldCharType="end"/>
      </w:r>
      <w:r>
        <w:t xml:space="preserve">. Specifically, MFIs in common law countries are less likely to transform than those in civil law or other legal traditions. MFIs in countries with other legal traditions n have the highest probability of transforming. As Figure 7 shows, in common law countries; however, the level of financial development and the size of an MFI are more prominent determinants of the transformation than for civil law and other legal traditions.  The results could hold due to the higher emphasis on capital market development in common law countries which reflects in the relative ease of acquiring capital from these countries.  On the other hand, governance carries less weight in the probability of MFIs transforming in common law countries in comparison with other legal traditions. </w:t>
      </w:r>
    </w:p>
    <w:p w14:paraId="4CD76F5C" w14:textId="236F3CB8" w:rsidR="00C40DC7" w:rsidRDefault="00784BDA" w:rsidP="00C40DC7">
      <w:pPr>
        <w:spacing w:line="360" w:lineRule="auto"/>
      </w:pPr>
      <w:r>
        <w:t>Regionally, MFIs in Southern Africa countries that follow the common law tradition are less likely to transform than in other legal traditions.  In West Africa, the opposite is the case.  For Central Africa, no countries follow the common law tradition, but those following the civil law and the other legal traditions seem equally likely to convert.</w:t>
      </w:r>
      <w:r w:rsidR="002C7F77">
        <w:t xml:space="preserve"> </w:t>
      </w:r>
      <w:r w:rsidR="00C40DC7" w:rsidRPr="001B5284">
        <w:t>On average, MFIs in civil law countries and in other legal traditions (that is, not common law or civil law) are more likely to transform than in common law countries, the reference dummy. However, even in this case, mature firms are more likely to transform than the relatively young, probably due to the reasons articulated earlier. Perhaps it is worth examining whether the flow of donor funding to support MFIs is biased against countries that are outside of the influence of the wealthy and dominant former colonial powers like Britain and France and current economic powers that subscribe to either civil or common law traditions.</w:t>
      </w:r>
      <w:r w:rsidR="00C40DC7">
        <w:t xml:space="preserve"> </w:t>
      </w:r>
    </w:p>
    <w:p w14:paraId="130AE3C3" w14:textId="1C7F27B1" w:rsidR="00C40DC7" w:rsidRDefault="00C40DC7" w:rsidP="00CA7BD9">
      <w:pPr>
        <w:spacing w:line="360" w:lineRule="auto"/>
        <w:sectPr w:rsidR="00C40DC7" w:rsidSect="00600370">
          <w:pgSz w:w="11907" w:h="16839" w:code="9"/>
          <w:pgMar w:top="1440" w:right="1440" w:bottom="1440" w:left="1440" w:header="720" w:footer="720" w:gutter="0"/>
          <w:cols w:space="720"/>
          <w:docGrid w:linePitch="360"/>
        </w:sectPr>
      </w:pPr>
    </w:p>
    <w:p w14:paraId="7C82622C" w14:textId="77777777" w:rsidR="000F1CC9" w:rsidRDefault="000F1CC9" w:rsidP="000F1CC9">
      <w:pPr>
        <w:pStyle w:val="Heading3"/>
      </w:pPr>
      <w:r>
        <w:lastRenderedPageBreak/>
        <w:t>Capital Market Development/ Financial Development</w:t>
      </w:r>
    </w:p>
    <w:p w14:paraId="30FD3449" w14:textId="77777777" w:rsidR="000F1CC9" w:rsidRDefault="000F1CC9" w:rsidP="000F1CC9">
      <w:pPr>
        <w:spacing w:line="360" w:lineRule="auto"/>
      </w:pPr>
      <w:r w:rsidRPr="001203FE">
        <w:t xml:space="preserve">Financial development is positively related to the probability of </w:t>
      </w:r>
      <w:proofErr w:type="spellStart"/>
      <w:r w:rsidRPr="001203FE">
        <w:t>MFis</w:t>
      </w:r>
      <w:proofErr w:type="spellEnd"/>
      <w:r w:rsidRPr="001203FE">
        <w:t xml:space="preserve"> transforming from NGOs to commercial entities. </w:t>
      </w:r>
      <w:r>
        <w:t xml:space="preserve">For an MFI to transform, the presence of active capital markets enhances the capacity for the acquisition of capital. The arguments here are in line with financial development- economic growth nexus literature </w:t>
      </w:r>
      <w:r>
        <w:fldChar w:fldCharType="begin">
          <w:fldData xml:space="preserve">PEVuZE5vdGU+PENpdGU+PEF1dGhvcj5Tb2VkYXJtb25vPC9BdXRob3I+PFllYXI+MjAxNzwvWWVh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</w:fldData>
        </w:fldChar>
      </w:r>
      <w:r>
        <w:instrText xml:space="preserve"> ADDIN EN.CITE </w:instrText>
      </w:r>
      <w:r>
        <w:fldChar w:fldCharType="begin">
          <w:fldData xml:space="preserve">PEVuZE5vdGU+PENpdGU+PEF1dGhvcj5Tb2VkYXJtb25vPC9BdXRob3I+PFllYXI+MjAxNzwvWWVh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</w:fldData>
        </w:fldChar>
      </w:r>
      <w:r>
        <w:instrText xml:space="preserve"> ADDIN EN.CITE.DATA </w:instrText>
      </w:r>
      <w:r>
        <w:fldChar w:fldCharType="end"/>
      </w:r>
      <w:r>
        <w:fldChar w:fldCharType="separate"/>
      </w:r>
      <w:r>
        <w:rPr>
          <w:noProof/>
        </w:rPr>
        <w:t>(Breitenlechner, Gächter, &amp; Sindermann, 2015; Soedarmono, Hasan, &amp; Arsyad, 2017)</w:t>
      </w:r>
      <w:r>
        <w:fldChar w:fldCharType="end"/>
      </w:r>
      <w:r>
        <w:t>. As financial development goes up, the probability of MFIs transforming goes down for civil law and other legal traditions.</w:t>
      </w:r>
    </w:p>
    <w:p w14:paraId="7CCBA98F" w14:textId="77777777" w:rsidR="000F1CC9" w:rsidRDefault="000F1CC9" w:rsidP="000F1CC9">
      <w:pPr>
        <w:spacing w:line="360" w:lineRule="auto"/>
      </w:pPr>
      <w:r>
        <w:t>At low levels of financial development, it is MFIs in civil law and other legal traditions that are more likely to convert (Figure 5).  However, the influence of legal tradition drops as financial development increases.  Again, the size of an MFI also raises the probability of transformation, but its influence declines with the rise in financial development. MFIs in Southern African countries with low levels of financial development are also less likely to transform than those in Eastern Africa.   However, as financial development rises, the probability of transformation rises in Southern Africa but remains flat in West Africa. Although governance is negatively related to the likelihood of MFIs transforming, its importance increases with increasing financial development.  Overall, as financial development rises, the influence of legal tradition, age, size, governance, and regional effects converges such that they have little impact on the probability of transformation.  It appears that these factors are only significant in jurisdictions with low levels of financial development.</w:t>
      </w:r>
    </w:p>
    <w:p w14:paraId="5BF43798" w14:textId="77777777" w:rsidR="000F1CC9" w:rsidRDefault="000F1CC9" w:rsidP="00CA7BD9">
      <w:pPr>
        <w:spacing w:line="360" w:lineRule="auto"/>
      </w:pPr>
    </w:p>
    <w:p w14:paraId="5311B62E" w14:textId="77777777" w:rsidR="00B33540" w:rsidRDefault="00B33540" w:rsidP="00CA7BD9">
      <w:pPr>
        <w:spacing w:line="360" w:lineRule="auto"/>
        <w:sectPr w:rsidR="00B33540" w:rsidSect="00596973">
          <w:pgSz w:w="11907" w:h="16839" w:code="9"/>
          <w:pgMar w:top="1440" w:right="1440" w:bottom="1440" w:left="1440" w:header="720" w:footer="720" w:gutter="0"/>
          <w:cols w:space="720"/>
          <w:docGrid w:linePitch="360"/>
        </w:sectPr>
      </w:pPr>
    </w:p>
    <w:p w14:paraId="33CD625F" w14:textId="477680BC" w:rsidR="00DC21D2" w:rsidRDefault="00DC21D2" w:rsidP="00B46993">
      <w:pPr>
        <w:pStyle w:val="Heading2"/>
      </w:pPr>
      <w:r>
        <w:lastRenderedPageBreak/>
        <w:t>Robustness Checks</w:t>
      </w:r>
    </w:p>
    <w:p w14:paraId="3A3CF4E1" w14:textId="3F5F0A00" w:rsidR="002D21F3" w:rsidRDefault="002D21F3" w:rsidP="00CA7BD9">
      <w:pPr>
        <w:spacing w:line="360" w:lineRule="auto"/>
      </w:pPr>
      <w:r>
        <w:t xml:space="preserve">We run several robustness checks for our study. First, we run the analysis </w:t>
      </w:r>
      <w:r w:rsidR="00AE6090">
        <w:t xml:space="preserve">for the full dataset both </w:t>
      </w:r>
      <w:r>
        <w:t xml:space="preserve">with credit unions/ cooperatives included and without the credit unions. The results did not change much, and the inference remained as it was. </w:t>
      </w:r>
      <w:r w:rsidR="00AE6090">
        <w:t>Furthermore, because we utilised unbalanced panel data, we run the model for a varying number of years. For instance, we run the analysis for MFIs with at least five years of data, and at most seven years of data. The inference from the different years of analysis was stable. W</w:t>
      </w:r>
      <w:r>
        <w:t xml:space="preserve">e </w:t>
      </w:r>
      <w:r w:rsidR="00AE6090">
        <w:t xml:space="preserve">also </w:t>
      </w:r>
      <w:proofErr w:type="spellStart"/>
      <w:r>
        <w:t>winsori</w:t>
      </w:r>
      <w:r w:rsidR="00520BA9">
        <w:t>s</w:t>
      </w:r>
      <w:r>
        <w:t>ed</w:t>
      </w:r>
      <w:proofErr w:type="spellEnd"/>
      <w:r>
        <w:t xml:space="preserve"> the data, taking out the top 10% and the bottom 10% of the ob</w:t>
      </w:r>
      <w:r w:rsidR="006A6A58">
        <w:t>se</w:t>
      </w:r>
      <w:r>
        <w:t>rvations and rerun the model finding no significant differences in the inference.</w:t>
      </w:r>
      <w:r w:rsidR="00862C17">
        <w:t xml:space="preserve"> Finally, we run logit and probit models using pooled data and, again, find results consistent with the models using panel data. </w:t>
      </w:r>
    </w:p>
    <w:p w14:paraId="719D0677" w14:textId="04AA777E" w:rsidR="007B13BF" w:rsidRPr="00085EDD" w:rsidRDefault="007B13BF" w:rsidP="00B46993">
      <w:pPr>
        <w:pStyle w:val="Heading2"/>
      </w:pPr>
      <w:r w:rsidRPr="00085EDD">
        <w:t>Conclusion</w:t>
      </w:r>
    </w:p>
    <w:p w14:paraId="1C1B8D72" w14:textId="6D108DEA" w:rsidR="007B13BF" w:rsidRDefault="00C15369" w:rsidP="00C76334">
      <w:pPr>
        <w:tabs>
          <w:tab w:val="left" w:pos="1309"/>
        </w:tabs>
        <w:spacing w:line="360" w:lineRule="auto"/>
      </w:pPr>
      <w:r>
        <w:t>This article examined the factors that make MFIs in Af</w:t>
      </w:r>
      <w:r w:rsidR="00D54E65">
        <w:t xml:space="preserve">rica to convert </w:t>
      </w:r>
      <w:r>
        <w:t>from NGOs to the commercial model. We find that legal tradition, age, size, financial development,</w:t>
      </w:r>
      <w:r w:rsidR="00CF774F">
        <w:t xml:space="preserve"> and governance are significant </w:t>
      </w:r>
      <w:r>
        <w:t xml:space="preserve">with regional variations. </w:t>
      </w:r>
      <w:r w:rsidR="00C44FF0">
        <w:t>Although these factors influence the probability of transformation</w:t>
      </w:r>
      <w:r w:rsidR="00CF774F">
        <w:t>,</w:t>
      </w:r>
      <w:r w:rsidR="00C44FF0">
        <w:t xml:space="preserve"> the interactions between these factors are also meaningful.  For instance, although size of an MFI raises the </w:t>
      </w:r>
      <w:r w:rsidR="004F06AF">
        <w:t>likelihood</w:t>
      </w:r>
      <w:r w:rsidR="00D54E65">
        <w:t xml:space="preserve"> of transformation, it is more critical</w:t>
      </w:r>
      <w:r w:rsidR="00C44FF0">
        <w:t xml:space="preserve"> in countries with low levels of financial development. Likewise. Financial development raises the probability of transformation but is more critical for medium-sized firm</w:t>
      </w:r>
      <w:r w:rsidR="00520BA9">
        <w:t>s a</w:t>
      </w:r>
      <w:r w:rsidR="00C44FF0">
        <w:t xml:space="preserve">s opposed to large and small firms. </w:t>
      </w:r>
      <w:r w:rsidR="006F54D0">
        <w:t xml:space="preserve">Legal tradition raises the probability of transformation but is more prominent in common law countries. </w:t>
      </w:r>
      <w:r w:rsidR="00155D81" w:rsidRPr="007A53DF">
        <w:t xml:space="preserve">The heterogeneity uncovered highlights the danger of working with global or regional pooled datasets without considering regional / variables variation. </w:t>
      </w:r>
      <w:r w:rsidR="008A3691">
        <w:t>Policymakers</w:t>
      </w:r>
      <w:r w:rsidR="00C44FF0">
        <w:t xml:space="preserve"> desiring for more sustainable MFIs can only target what they can control. In this case, developing financial systems/ capital markets appears especially essential if such firms are to access finance easily. </w:t>
      </w:r>
    </w:p>
    <w:p w14:paraId="7DD21A94" w14:textId="77777777" w:rsidR="006F54D0" w:rsidRDefault="006F54D0" w:rsidP="00C76334">
      <w:pPr>
        <w:tabs>
          <w:tab w:val="left" w:pos="1309"/>
        </w:tabs>
        <w:spacing w:line="360" w:lineRule="auto"/>
      </w:pPr>
    </w:p>
    <w:p w14:paraId="0052AA3D" w14:textId="77777777" w:rsidR="006F54D0" w:rsidRDefault="006F54D0" w:rsidP="00C76334">
      <w:pPr>
        <w:tabs>
          <w:tab w:val="left" w:pos="1309"/>
        </w:tabs>
        <w:spacing w:line="360" w:lineRule="auto"/>
      </w:pPr>
    </w:p>
    <w:p w14:paraId="7E598D0B" w14:textId="77777777" w:rsidR="006F54D0" w:rsidRDefault="006F54D0" w:rsidP="00C76334">
      <w:pPr>
        <w:tabs>
          <w:tab w:val="left" w:pos="1309"/>
        </w:tabs>
        <w:spacing w:line="360" w:lineRule="auto"/>
      </w:pPr>
    </w:p>
    <w:p w14:paraId="4C84E99D" w14:textId="7BCE397E" w:rsidR="006F54D0" w:rsidRDefault="006F54D0" w:rsidP="00C76334">
      <w:pPr>
        <w:tabs>
          <w:tab w:val="left" w:pos="1309"/>
        </w:tabs>
        <w:spacing w:line="360" w:lineRule="auto"/>
      </w:pPr>
    </w:p>
    <w:p w14:paraId="31809DF2" w14:textId="2E381A77" w:rsidR="00DD79B3" w:rsidRDefault="00DD79B3" w:rsidP="00C76334">
      <w:pPr>
        <w:tabs>
          <w:tab w:val="left" w:pos="1309"/>
        </w:tabs>
        <w:spacing w:line="360" w:lineRule="auto"/>
      </w:pPr>
    </w:p>
    <w:p w14:paraId="395C20FF" w14:textId="1E6AA158" w:rsidR="00DD79B3" w:rsidRDefault="00DD79B3" w:rsidP="00C76334">
      <w:pPr>
        <w:tabs>
          <w:tab w:val="left" w:pos="1309"/>
        </w:tabs>
        <w:spacing w:line="360" w:lineRule="auto"/>
      </w:pPr>
    </w:p>
    <w:p w14:paraId="7BBC641D" w14:textId="77777777" w:rsidR="00DD79B3" w:rsidRDefault="00DD79B3" w:rsidP="00C76334">
      <w:pPr>
        <w:tabs>
          <w:tab w:val="left" w:pos="1309"/>
        </w:tabs>
        <w:spacing w:line="360" w:lineRule="auto"/>
      </w:pPr>
    </w:p>
    <w:p w14:paraId="690D23A1" w14:textId="77777777" w:rsidR="006F54D0" w:rsidRPr="007A53DF" w:rsidRDefault="006F54D0" w:rsidP="00C76334">
      <w:pPr>
        <w:tabs>
          <w:tab w:val="left" w:pos="1309"/>
        </w:tabs>
        <w:spacing w:line="360" w:lineRule="auto"/>
      </w:pPr>
    </w:p>
    <w:p w14:paraId="6CC10309" w14:textId="0DDC60CB" w:rsidR="000A2BE3" w:rsidRPr="000A2BE3" w:rsidRDefault="00F35A11" w:rsidP="00C76334">
      <w:pPr>
        <w:tabs>
          <w:tab w:val="left" w:pos="1309"/>
        </w:tabs>
        <w:spacing w:line="360" w:lineRule="auto"/>
        <w:rPr>
          <w:b/>
          <w:bCs/>
        </w:rPr>
      </w:pPr>
      <w:r w:rsidRPr="000A2BE3">
        <w:rPr>
          <w:b/>
          <w:bCs/>
        </w:rPr>
        <w:lastRenderedPageBreak/>
        <w:t>REFERENCES</w:t>
      </w:r>
    </w:p>
    <w:p w14:paraId="1F6FEC1F" w14:textId="77777777" w:rsidR="00F752CD" w:rsidRPr="00F752CD" w:rsidRDefault="000A2BE3" w:rsidP="00F752CD">
      <w:pPr>
        <w:pStyle w:val="EndNoteBibliography"/>
        <w:spacing w:after="0"/>
        <w:ind w:left="720" w:hanging="720"/>
      </w:pPr>
      <w:r>
        <w:fldChar w:fldCharType="begin"/>
      </w:r>
      <w:r>
        <w:instrText xml:space="preserve"> ADDIN EN.REFLIST </w:instrText>
      </w:r>
      <w:r>
        <w:fldChar w:fldCharType="separate"/>
      </w:r>
      <w:r w:rsidR="00F752CD" w:rsidRPr="00F752CD">
        <w:t xml:space="preserve">Abdulai, A., &amp; Tewari, D. D. (2017). Trade-off between outreach and sustainability of microfinance institutions: evidence from Sub-Saharan Africa. </w:t>
      </w:r>
      <w:r w:rsidR="00F752CD" w:rsidRPr="00F752CD">
        <w:rPr>
          <w:i/>
        </w:rPr>
        <w:t>Enterprise Development and Microfinance, 28</w:t>
      </w:r>
      <w:r w:rsidR="00F752CD" w:rsidRPr="00F752CD">
        <w:t xml:space="preserve">(3), 162-181. </w:t>
      </w:r>
    </w:p>
    <w:p w14:paraId="34CBF57F" w14:textId="77777777" w:rsidR="00F752CD" w:rsidRPr="00F752CD" w:rsidRDefault="00F752CD" w:rsidP="00F752CD">
      <w:pPr>
        <w:pStyle w:val="EndNoteBibliography"/>
        <w:spacing w:after="0"/>
        <w:ind w:left="720" w:hanging="720"/>
      </w:pPr>
      <w:r w:rsidRPr="00F752CD">
        <w:t xml:space="preserve">Allen, F., Carletti, E., Cull, R., Qian, J. Q., Senbet, L., &amp; Valenzuela, P. (2013). </w:t>
      </w:r>
      <w:r w:rsidRPr="00F752CD">
        <w:rPr>
          <w:i/>
        </w:rPr>
        <w:t>Resolving the African financial development gap: Cross-country comparisons and a within-country study of Kenya</w:t>
      </w:r>
      <w:r w:rsidRPr="00F752CD">
        <w:t>. New York: The World Bank.</w:t>
      </w:r>
    </w:p>
    <w:p w14:paraId="509F9C33" w14:textId="77777777" w:rsidR="00F752CD" w:rsidRPr="00F752CD" w:rsidRDefault="00F752CD" w:rsidP="00F752CD">
      <w:pPr>
        <w:pStyle w:val="EndNoteBibliography"/>
        <w:spacing w:after="0"/>
        <w:ind w:left="720" w:hanging="720"/>
      </w:pPr>
      <w:r w:rsidRPr="00F752CD">
        <w:t xml:space="preserve">Allen, F., Carletti, E., Cull, R., Qian, J. Q., Senbet, L., &amp; Valenzuela, P. (2014). The African financial development and financial inclusion gaps. </w:t>
      </w:r>
      <w:r w:rsidRPr="00F752CD">
        <w:rPr>
          <w:i/>
        </w:rPr>
        <w:t>Journal of African Economies, 23</w:t>
      </w:r>
      <w:r w:rsidRPr="00F752CD">
        <w:t xml:space="preserve">(5), 614-642. </w:t>
      </w:r>
    </w:p>
    <w:p w14:paraId="5BF8A116" w14:textId="77777777" w:rsidR="00F752CD" w:rsidRPr="00F752CD" w:rsidRDefault="00F752CD" w:rsidP="00F752CD">
      <w:pPr>
        <w:pStyle w:val="EndNoteBibliography"/>
        <w:spacing w:after="0"/>
        <w:ind w:left="720" w:hanging="720"/>
      </w:pPr>
      <w:r w:rsidRPr="00F752CD">
        <w:t>Awaworyi Churchill, S. (2018). Sustainability and depth of outreach: Evidence from microfinance institutions in sub</w:t>
      </w:r>
      <w:r w:rsidRPr="00F752CD">
        <w:rPr>
          <w:rFonts w:ascii="Times New Roman" w:hAnsi="Times New Roman" w:cs="Times New Roman"/>
        </w:rPr>
        <w:t>‐</w:t>
      </w:r>
      <w:r w:rsidRPr="00F752CD">
        <w:t xml:space="preserve">Saharan Africa. </w:t>
      </w:r>
      <w:r w:rsidRPr="00F752CD">
        <w:rPr>
          <w:i/>
        </w:rPr>
        <w:t>Development Policy Review, 36</w:t>
      </w:r>
      <w:r w:rsidRPr="00F752CD">
        <w:t xml:space="preserve">, O676-O695. </w:t>
      </w:r>
    </w:p>
    <w:p w14:paraId="3CDD318C" w14:textId="77777777" w:rsidR="00F752CD" w:rsidRPr="00F752CD" w:rsidRDefault="00F752CD" w:rsidP="00F752CD">
      <w:pPr>
        <w:pStyle w:val="EndNoteBibliography"/>
        <w:spacing w:after="0"/>
        <w:ind w:left="720" w:hanging="720"/>
      </w:pPr>
      <w:r w:rsidRPr="00F752CD">
        <w:t xml:space="preserve">Baltagi, B. H., Demetriades, P. O., &amp; Law, S. H. (2009). Financial development and openness: Evidence from panel data. </w:t>
      </w:r>
      <w:r w:rsidRPr="00F752CD">
        <w:rPr>
          <w:i/>
        </w:rPr>
        <w:t>Journal of Development Economics, 89</w:t>
      </w:r>
      <w:r w:rsidRPr="00F752CD">
        <w:t xml:space="preserve">(2), 285-296. </w:t>
      </w:r>
    </w:p>
    <w:p w14:paraId="0078EA9B" w14:textId="77777777" w:rsidR="00F752CD" w:rsidRPr="00F752CD" w:rsidRDefault="00F752CD" w:rsidP="00F752CD">
      <w:pPr>
        <w:pStyle w:val="EndNoteBibliography"/>
        <w:spacing w:after="0"/>
        <w:ind w:left="720" w:hanging="720"/>
      </w:pPr>
      <w:r w:rsidRPr="00F752CD">
        <w:t xml:space="preserve">Barclay, M. J., &amp; Smith, C. W. (2005). The capital structure puzzle: The evidence revisited. </w:t>
      </w:r>
      <w:r w:rsidRPr="00F752CD">
        <w:rPr>
          <w:i/>
        </w:rPr>
        <w:t>Journal of Applied Corporate Finance, 17</w:t>
      </w:r>
      <w:r w:rsidRPr="00F752CD">
        <w:t xml:space="preserve">(1), 8-17. </w:t>
      </w:r>
    </w:p>
    <w:p w14:paraId="0562ABD8" w14:textId="77777777" w:rsidR="00F752CD" w:rsidRPr="00F752CD" w:rsidRDefault="00F752CD" w:rsidP="00F752CD">
      <w:pPr>
        <w:pStyle w:val="EndNoteBibliography"/>
        <w:spacing w:after="0"/>
        <w:ind w:left="720" w:hanging="720"/>
      </w:pPr>
      <w:r w:rsidRPr="00F752CD">
        <w:t xml:space="preserve">Bateman, M. (2010). </w:t>
      </w:r>
      <w:r w:rsidRPr="00F752CD">
        <w:rPr>
          <w:i/>
        </w:rPr>
        <w:t>Why doesn't microfinance work?: the destructive rise of local neoliberalism</w:t>
      </w:r>
      <w:r w:rsidRPr="00F752CD">
        <w:t>. London: Zed Books Ltd.</w:t>
      </w:r>
    </w:p>
    <w:p w14:paraId="413E39D2" w14:textId="77777777" w:rsidR="00F752CD" w:rsidRPr="00F752CD" w:rsidRDefault="00F752CD" w:rsidP="00F752CD">
      <w:pPr>
        <w:pStyle w:val="EndNoteBibliography"/>
        <w:spacing w:after="0"/>
        <w:ind w:left="720" w:hanging="720"/>
      </w:pPr>
      <w:r w:rsidRPr="00F752CD">
        <w:t xml:space="preserve">Bayai, I., &amp; Ikhide, S. (2016). Financing and financial sustainability of microfinance institutions (MFIs): A conceptual view. </w:t>
      </w:r>
      <w:r w:rsidRPr="00F752CD">
        <w:rPr>
          <w:i/>
        </w:rPr>
        <w:t>Banks and Bank Systems, 2</w:t>
      </w:r>
      <w:r w:rsidRPr="00F752CD">
        <w:t xml:space="preserve">(2), 21-32. </w:t>
      </w:r>
    </w:p>
    <w:p w14:paraId="37814E6D" w14:textId="77777777" w:rsidR="00F752CD" w:rsidRPr="00F752CD" w:rsidRDefault="00F752CD" w:rsidP="00F752CD">
      <w:pPr>
        <w:pStyle w:val="EndNoteBibliography"/>
        <w:spacing w:after="0"/>
        <w:ind w:left="720" w:hanging="720"/>
      </w:pPr>
      <w:r w:rsidRPr="00F752CD">
        <w:t xml:space="preserve">Berbegal-Mirabent, J., Mas-Machuca, M., &amp; Guix, P. (2019). Impact of mission statement components on social enterprises’ performance. </w:t>
      </w:r>
      <w:r w:rsidRPr="00F752CD">
        <w:rPr>
          <w:i/>
        </w:rPr>
        <w:t>Review of Managerial Science</w:t>
      </w:r>
      <w:r w:rsidRPr="00F752CD">
        <w:t xml:space="preserve">, 1-20. </w:t>
      </w:r>
    </w:p>
    <w:p w14:paraId="0438C91C" w14:textId="77777777" w:rsidR="00F752CD" w:rsidRPr="00F752CD" w:rsidRDefault="00F752CD" w:rsidP="00F752CD">
      <w:pPr>
        <w:pStyle w:val="EndNoteBibliography"/>
        <w:spacing w:after="0"/>
        <w:ind w:left="720" w:hanging="720"/>
      </w:pPr>
      <w:r w:rsidRPr="00F752CD">
        <w:t xml:space="preserve">Breitenlechner, M., Gächter, M., &amp; Sindermann, F. (2015). The finance–growth nexus in crisis. </w:t>
      </w:r>
      <w:r w:rsidRPr="00F752CD">
        <w:rPr>
          <w:i/>
        </w:rPr>
        <w:t>Economics Letters, 132</w:t>
      </w:r>
      <w:r w:rsidRPr="00F752CD">
        <w:t xml:space="preserve">, 31-33. </w:t>
      </w:r>
    </w:p>
    <w:p w14:paraId="0EB9D045" w14:textId="77777777" w:rsidR="00F752CD" w:rsidRPr="00F752CD" w:rsidRDefault="00F752CD" w:rsidP="00F752CD">
      <w:pPr>
        <w:pStyle w:val="EndNoteBibliography"/>
        <w:spacing w:after="0"/>
        <w:ind w:left="720" w:hanging="720"/>
      </w:pPr>
      <w:r w:rsidRPr="00F752CD">
        <w:t xml:space="preserve">Campion, A., &amp; White, V. (1999). </w:t>
      </w:r>
      <w:r w:rsidRPr="00F752CD">
        <w:rPr>
          <w:i/>
        </w:rPr>
        <w:t>Institutional metamorphosis: Transformation of microfinance NGOs into regulated financial institutions</w:t>
      </w:r>
      <w:r w:rsidRPr="00F752CD">
        <w:t>. New York: MicroFinance Network.</w:t>
      </w:r>
    </w:p>
    <w:p w14:paraId="6D055347" w14:textId="77777777" w:rsidR="00F752CD" w:rsidRPr="00F752CD" w:rsidRDefault="00F752CD" w:rsidP="00F752CD">
      <w:pPr>
        <w:pStyle w:val="EndNoteBibliography"/>
        <w:spacing w:after="0"/>
        <w:ind w:left="720" w:hanging="720"/>
      </w:pPr>
      <w:r w:rsidRPr="00F752CD">
        <w:t xml:space="preserve">Chahine, S., &amp; Tannir, L. (2010). On the social and financial effects of the transformation of microfinance NGOs. </w:t>
      </w:r>
      <w:r w:rsidRPr="00F752CD">
        <w:rPr>
          <w:i/>
        </w:rPr>
        <w:t>Voluntas: International Journal of Voluntary and Nonprofit Organizations, 21</w:t>
      </w:r>
      <w:r w:rsidRPr="00F752CD">
        <w:t xml:space="preserve">(3), 440-461. </w:t>
      </w:r>
    </w:p>
    <w:p w14:paraId="66F24717" w14:textId="77777777" w:rsidR="00F752CD" w:rsidRPr="00F752CD" w:rsidRDefault="00F752CD" w:rsidP="00F752CD">
      <w:pPr>
        <w:pStyle w:val="EndNoteBibliography"/>
        <w:spacing w:after="0"/>
        <w:ind w:left="720" w:hanging="720"/>
      </w:pPr>
      <w:r w:rsidRPr="00F752CD">
        <w:t xml:space="preserve">Christen, R. P., &amp; Cook, T. (2001). </w:t>
      </w:r>
      <w:r w:rsidRPr="00F752CD">
        <w:rPr>
          <w:i/>
        </w:rPr>
        <w:t>Commercialization and mission drift: The transformation of microfinance in Latin America</w:t>
      </w:r>
      <w:r w:rsidRPr="00F752CD">
        <w:t>. New York: Consultative Group to Assist the Poorest (CGAP).</w:t>
      </w:r>
    </w:p>
    <w:p w14:paraId="2FD8156A" w14:textId="77777777" w:rsidR="00F752CD" w:rsidRPr="00F752CD" w:rsidRDefault="00F752CD" w:rsidP="00F752CD">
      <w:pPr>
        <w:pStyle w:val="EndNoteBibliography"/>
        <w:spacing w:after="0"/>
        <w:ind w:left="720" w:hanging="720"/>
      </w:pPr>
      <w:r w:rsidRPr="00F752CD">
        <w:t xml:space="preserve">Claessens, S., &amp; Laeven, L. (2003). Financial development, property rights, and growth. </w:t>
      </w:r>
      <w:r w:rsidRPr="00F752CD">
        <w:rPr>
          <w:i/>
        </w:rPr>
        <w:t>The Journal of finance, 58</w:t>
      </w:r>
      <w:r w:rsidRPr="00F752CD">
        <w:t xml:space="preserve">(6), 2401-2436. </w:t>
      </w:r>
    </w:p>
    <w:p w14:paraId="77D33C95" w14:textId="77777777" w:rsidR="00F752CD" w:rsidRPr="00F752CD" w:rsidRDefault="00F752CD" w:rsidP="00F752CD">
      <w:pPr>
        <w:pStyle w:val="EndNoteBibliography"/>
        <w:spacing w:after="0"/>
        <w:ind w:left="720" w:hanging="720"/>
      </w:pPr>
      <w:r w:rsidRPr="00F752CD">
        <w:t xml:space="preserve">Creedy, J., &amp; Hoang, H. T. (2018). Types of microfinance organisation: A taxonomy. </w:t>
      </w:r>
      <w:r w:rsidRPr="00F752CD">
        <w:rPr>
          <w:i/>
        </w:rPr>
        <w:t>Third Sector Review, 24</w:t>
      </w:r>
      <w:r w:rsidRPr="00F752CD">
        <w:t xml:space="preserve">(2), 105. </w:t>
      </w:r>
    </w:p>
    <w:p w14:paraId="68EDD014" w14:textId="77777777" w:rsidR="00F752CD" w:rsidRPr="00F752CD" w:rsidRDefault="00F752CD" w:rsidP="00F752CD">
      <w:pPr>
        <w:pStyle w:val="EndNoteBibliography"/>
        <w:spacing w:after="0"/>
        <w:ind w:left="720" w:hanging="720"/>
      </w:pPr>
      <w:r w:rsidRPr="00F752CD">
        <w:t xml:space="preserve">D’Espallier, B., Goedecke, J., Hudon, M., &amp; Mersland, R. (2017). From NGOs to banks: Does institutional transformation alter the business model of microfinance institutions? </w:t>
      </w:r>
      <w:r w:rsidRPr="00F752CD">
        <w:rPr>
          <w:i/>
        </w:rPr>
        <w:t>World Development, 89</w:t>
      </w:r>
      <w:r w:rsidRPr="00F752CD">
        <w:t xml:space="preserve">, 19-33. </w:t>
      </w:r>
    </w:p>
    <w:p w14:paraId="4BA4721F" w14:textId="77777777" w:rsidR="00F752CD" w:rsidRPr="00F752CD" w:rsidRDefault="00F752CD" w:rsidP="00F752CD">
      <w:pPr>
        <w:pStyle w:val="EndNoteBibliography"/>
        <w:spacing w:after="0"/>
        <w:ind w:left="720" w:hanging="720"/>
      </w:pPr>
      <w:r w:rsidRPr="00F752CD">
        <w:t xml:space="preserve">D’Espallier, B., Hudon, M., &amp; Szafarz, A. (2013). Unsubsidized microfinance institutions. </w:t>
      </w:r>
      <w:r w:rsidRPr="00F752CD">
        <w:rPr>
          <w:i/>
        </w:rPr>
        <w:t>Economics Letters, 120</w:t>
      </w:r>
      <w:r w:rsidRPr="00F752CD">
        <w:t xml:space="preserve">(2), 174-176. </w:t>
      </w:r>
    </w:p>
    <w:p w14:paraId="62B2E5F2" w14:textId="77777777" w:rsidR="00F752CD" w:rsidRPr="00F752CD" w:rsidRDefault="00F752CD" w:rsidP="00F752CD">
      <w:pPr>
        <w:pStyle w:val="EndNoteBibliography"/>
        <w:spacing w:after="0"/>
        <w:ind w:left="720" w:hanging="720"/>
      </w:pPr>
      <w:r w:rsidRPr="00F752CD">
        <w:lastRenderedPageBreak/>
        <w:t xml:space="preserve">D’Espallier, B., Hudon, M., &amp; Szafarz, A. (2017). Aid volatility and social performance in microfinance. </w:t>
      </w:r>
      <w:r w:rsidRPr="00F752CD">
        <w:rPr>
          <w:i/>
        </w:rPr>
        <w:t>Nonprofit and Voluntary Sector Quarterly, 46</w:t>
      </w:r>
      <w:r w:rsidRPr="00F752CD">
        <w:t xml:space="preserve">(1), 116-140. </w:t>
      </w:r>
    </w:p>
    <w:p w14:paraId="4FC2F6A9" w14:textId="77777777" w:rsidR="00F752CD" w:rsidRPr="00F752CD" w:rsidRDefault="00F752CD" w:rsidP="00F752CD">
      <w:pPr>
        <w:pStyle w:val="EndNoteBibliography"/>
        <w:spacing w:after="0"/>
        <w:ind w:left="720" w:hanging="720"/>
      </w:pPr>
      <w:r w:rsidRPr="00F752CD">
        <w:t xml:space="preserve">Demirguc-Kunt, A., Klapper, L., Singer, D., Ansar, S., &amp; Hess, J. (2018). </w:t>
      </w:r>
      <w:r w:rsidRPr="00F752CD">
        <w:rPr>
          <w:i/>
        </w:rPr>
        <w:t>The Global Findex Database 2017: Measuring Financial Inclusion and the Fintech Revolution</w:t>
      </w:r>
      <w:r w:rsidRPr="00F752CD">
        <w:t>. New York: The World Bank.</w:t>
      </w:r>
    </w:p>
    <w:p w14:paraId="6C598231" w14:textId="77777777" w:rsidR="00F752CD" w:rsidRPr="00F752CD" w:rsidRDefault="00F752CD" w:rsidP="00F752CD">
      <w:pPr>
        <w:pStyle w:val="EndNoteBibliography"/>
        <w:spacing w:after="0"/>
        <w:ind w:left="720" w:hanging="720"/>
      </w:pPr>
      <w:r w:rsidRPr="00F752CD">
        <w:t xml:space="preserve">DiMaggio, P., &amp; Powell, W. (1991). Introduction. In </w:t>
      </w:r>
      <w:r w:rsidRPr="00F752CD">
        <w:rPr>
          <w:i/>
        </w:rPr>
        <w:t>The new institutionalism and organizational analysis</w:t>
      </w:r>
      <w:r w:rsidRPr="00F752CD">
        <w:t xml:space="preserve"> (pp. 1-38). Chicago: University of Chicago Press.</w:t>
      </w:r>
    </w:p>
    <w:p w14:paraId="1C463C2A" w14:textId="77777777" w:rsidR="00F752CD" w:rsidRPr="00F752CD" w:rsidRDefault="00F752CD" w:rsidP="00F752CD">
      <w:pPr>
        <w:pStyle w:val="EndNoteBibliography"/>
        <w:spacing w:after="0"/>
        <w:ind w:left="720" w:hanging="720"/>
      </w:pPr>
      <w:r w:rsidRPr="00F752CD">
        <w:t xml:space="preserve">Fernando, N. A. (2004). </w:t>
      </w:r>
      <w:r w:rsidRPr="00F752CD">
        <w:rPr>
          <w:i/>
        </w:rPr>
        <w:t>Micro success story?: transformation of nongovernment organizations into regulated financial institutions</w:t>
      </w:r>
      <w:r w:rsidRPr="00F752CD">
        <w:t>. Mandaluyong, The Philippines: Asian Development Bank.</w:t>
      </w:r>
    </w:p>
    <w:p w14:paraId="1E80EBB1" w14:textId="77777777" w:rsidR="00F752CD" w:rsidRPr="00F752CD" w:rsidRDefault="00F752CD" w:rsidP="00F752CD">
      <w:pPr>
        <w:pStyle w:val="EndNoteBibliography"/>
        <w:spacing w:after="0"/>
        <w:ind w:left="720" w:hanging="720"/>
      </w:pPr>
      <w:r w:rsidRPr="00F752CD">
        <w:t xml:space="preserve">Forkusam, A. N. (2014). Does financial globalization affect microfinance mission drift? In R. Mersland &amp; R. Ø. Strøm (Eds.), </w:t>
      </w:r>
      <w:r w:rsidRPr="00F752CD">
        <w:rPr>
          <w:i/>
        </w:rPr>
        <w:t>Microfinance institutions: Financial and social performance</w:t>
      </w:r>
      <w:r w:rsidRPr="00F752CD">
        <w:t xml:space="preserve"> (pp. 79-98). London: Palgrave Macmillan UK.</w:t>
      </w:r>
    </w:p>
    <w:p w14:paraId="5724491B" w14:textId="77777777" w:rsidR="00F752CD" w:rsidRPr="00F752CD" w:rsidRDefault="00F752CD" w:rsidP="00F752CD">
      <w:pPr>
        <w:pStyle w:val="EndNoteBibliography"/>
        <w:spacing w:after="0"/>
        <w:ind w:left="720" w:hanging="720"/>
      </w:pPr>
      <w:r w:rsidRPr="00F752CD">
        <w:t xml:space="preserve">Garmaise, M. J., &amp; Natividad, G. (2013). Cheap credit, lending operations, and international politics: The case of global microfinance. </w:t>
      </w:r>
      <w:r w:rsidRPr="00F752CD">
        <w:rPr>
          <w:i/>
        </w:rPr>
        <w:t>The Journal of finance, 68</w:t>
      </w:r>
      <w:r w:rsidRPr="00F752CD">
        <w:t xml:space="preserve">(4), 1551-1576. </w:t>
      </w:r>
    </w:p>
    <w:p w14:paraId="07A7EB02" w14:textId="77777777" w:rsidR="00F752CD" w:rsidRPr="00F752CD" w:rsidRDefault="00F752CD" w:rsidP="00F752CD">
      <w:pPr>
        <w:pStyle w:val="EndNoteBibliography"/>
        <w:spacing w:after="0"/>
        <w:ind w:left="720" w:hanging="720"/>
      </w:pPr>
      <w:r w:rsidRPr="00F752CD">
        <w:t xml:space="preserve">Gutiérrez-Nieto, B., &amp; Serrano-Cinca, C. (2019). 20 years of research in microfinance: An information management approach. </w:t>
      </w:r>
      <w:r w:rsidRPr="00F752CD">
        <w:rPr>
          <w:i/>
        </w:rPr>
        <w:t>International Journal of Information Management, 47</w:t>
      </w:r>
      <w:r w:rsidRPr="00F752CD">
        <w:t xml:space="preserve">, 183-197. </w:t>
      </w:r>
    </w:p>
    <w:p w14:paraId="2E2C93AA" w14:textId="77777777" w:rsidR="00F752CD" w:rsidRPr="00F752CD" w:rsidRDefault="00F752CD" w:rsidP="00F752CD">
      <w:pPr>
        <w:pStyle w:val="EndNoteBibliography"/>
        <w:spacing w:after="0"/>
        <w:ind w:left="720" w:hanging="720"/>
      </w:pPr>
      <w:r w:rsidRPr="00F752CD">
        <w:t xml:space="preserve">Gwatidzo, T., &amp; Ojah, K. (2009). Corporate capital structure determinants: evidence for five African countries. </w:t>
      </w:r>
      <w:r w:rsidRPr="00F752CD">
        <w:rPr>
          <w:i/>
        </w:rPr>
        <w:t>African Finance Journal, 11</w:t>
      </w:r>
      <w:r w:rsidRPr="00F752CD">
        <w:t xml:space="preserve">(1), 1-23. </w:t>
      </w:r>
    </w:p>
    <w:p w14:paraId="745C5A18" w14:textId="77777777" w:rsidR="00F752CD" w:rsidRPr="00F752CD" w:rsidRDefault="00F752CD" w:rsidP="00F752CD">
      <w:pPr>
        <w:pStyle w:val="EndNoteBibliography"/>
        <w:spacing w:after="0"/>
        <w:ind w:left="720" w:hanging="720"/>
      </w:pPr>
      <w:r w:rsidRPr="00F752CD">
        <w:t xml:space="preserve">Hishigsuren, G. (2006). Transformation of Micro-finance Operations from NGO to Regulated MFI. </w:t>
      </w:r>
      <w:r w:rsidRPr="00F752CD">
        <w:rPr>
          <w:i/>
        </w:rPr>
        <w:t>IDEAS, USA, 2</w:t>
      </w:r>
      <w:r w:rsidRPr="00F752CD">
        <w:t xml:space="preserve">(1), 15-31. </w:t>
      </w:r>
    </w:p>
    <w:p w14:paraId="1909827B" w14:textId="77777777" w:rsidR="00F752CD" w:rsidRPr="00F752CD" w:rsidRDefault="00F752CD" w:rsidP="00F752CD">
      <w:pPr>
        <w:pStyle w:val="EndNoteBibliography"/>
        <w:spacing w:after="0"/>
        <w:ind w:left="720" w:hanging="720"/>
      </w:pPr>
      <w:r w:rsidRPr="00F752CD">
        <w:t xml:space="preserve">Ito, H., &amp; Kawai, M. (2018). Quantity and Quality Measures of Financial Development: Implications for Macroeconomic Performance. </w:t>
      </w:r>
      <w:r w:rsidRPr="00F752CD">
        <w:rPr>
          <w:i/>
        </w:rPr>
        <w:t>Public Policy Review, 14</w:t>
      </w:r>
      <w:r w:rsidRPr="00F752CD">
        <w:t xml:space="preserve">(5), 803-834. </w:t>
      </w:r>
    </w:p>
    <w:p w14:paraId="55AD5460" w14:textId="77777777" w:rsidR="00F752CD" w:rsidRPr="00F752CD" w:rsidRDefault="00F752CD" w:rsidP="00F752CD">
      <w:pPr>
        <w:pStyle w:val="EndNoteBibliography"/>
        <w:spacing w:after="0"/>
        <w:ind w:left="720" w:hanging="720"/>
      </w:pPr>
      <w:r w:rsidRPr="00F752CD">
        <w:t xml:space="preserve">Jarotschkin, A. (2013). Microfinance in Africa. In T. Beck &amp; S. Munzele (Eds.), </w:t>
      </w:r>
      <w:r w:rsidRPr="00F752CD">
        <w:rPr>
          <w:i/>
        </w:rPr>
        <w:t>Financial Sector Development in Africa</w:t>
      </w:r>
      <w:r w:rsidRPr="00F752CD">
        <w:t xml:space="preserve"> (pp. 7-40). New York: The World bank.</w:t>
      </w:r>
    </w:p>
    <w:p w14:paraId="55B14226" w14:textId="77777777" w:rsidR="00F752CD" w:rsidRPr="00F752CD" w:rsidRDefault="00F752CD" w:rsidP="00F752CD">
      <w:pPr>
        <w:pStyle w:val="EndNoteBibliography"/>
        <w:spacing w:after="0"/>
        <w:ind w:left="720" w:hanging="720"/>
      </w:pPr>
      <w:r w:rsidRPr="00F752CD">
        <w:t xml:space="preserve">Jia, X., Cull, R., Guo, P., &amp; Ma, T. (2016). Commercialization and mission drift: Evidence from a large Chinese microfinance institution. </w:t>
      </w:r>
      <w:r w:rsidRPr="00F752CD">
        <w:rPr>
          <w:i/>
        </w:rPr>
        <w:t>China Economic Review, 40</w:t>
      </w:r>
      <w:r w:rsidRPr="00F752CD">
        <w:t xml:space="preserve">, 17-32. </w:t>
      </w:r>
    </w:p>
    <w:p w14:paraId="16FA6AA4" w14:textId="77777777" w:rsidR="00F752CD" w:rsidRPr="00F752CD" w:rsidRDefault="00F752CD" w:rsidP="00F752CD">
      <w:pPr>
        <w:pStyle w:val="EndNoteBibliography"/>
        <w:spacing w:after="0"/>
        <w:ind w:left="720" w:hanging="720"/>
      </w:pPr>
      <w:r w:rsidRPr="00F752CD">
        <w:t xml:space="preserve">Johnson, S., McMillan, J., &amp; Woodruff, C. (2002). Property rights and finance. </w:t>
      </w:r>
      <w:r w:rsidRPr="00F752CD">
        <w:rPr>
          <w:i/>
        </w:rPr>
        <w:t>American Economic Review, 92</w:t>
      </w:r>
      <w:r w:rsidRPr="00F752CD">
        <w:t xml:space="preserve">(5), 1335-1356. </w:t>
      </w:r>
    </w:p>
    <w:p w14:paraId="66AEBDB1" w14:textId="77777777" w:rsidR="00F752CD" w:rsidRPr="00F752CD" w:rsidRDefault="00F752CD" w:rsidP="00F752CD">
      <w:pPr>
        <w:pStyle w:val="EndNoteBibliography"/>
        <w:spacing w:after="0"/>
        <w:ind w:left="720" w:hanging="720"/>
      </w:pPr>
      <w:r w:rsidRPr="00F752CD">
        <w:t xml:space="preserve">Klapper, L., &amp; Singer, D. (2014). The role of informal financial services in Africa. </w:t>
      </w:r>
      <w:r w:rsidRPr="00F752CD">
        <w:rPr>
          <w:i/>
        </w:rPr>
        <w:t>Journal of African Economies, 24</w:t>
      </w:r>
      <w:r w:rsidRPr="00F752CD">
        <w:t xml:space="preserve">(suppl_1), i12-i31. </w:t>
      </w:r>
    </w:p>
    <w:p w14:paraId="79FE864A" w14:textId="77777777" w:rsidR="00F752CD" w:rsidRPr="00F752CD" w:rsidRDefault="00F752CD" w:rsidP="00F752CD">
      <w:pPr>
        <w:pStyle w:val="EndNoteBibliography"/>
        <w:spacing w:after="0"/>
        <w:ind w:left="720" w:hanging="720"/>
      </w:pPr>
      <w:r w:rsidRPr="00F752CD">
        <w:t xml:space="preserve">Kodongo, O., &amp; Kendi, L. G. (2013). Individual lending versus group lending: An evaluation with Kenya's microfinance data. </w:t>
      </w:r>
      <w:r w:rsidRPr="00F752CD">
        <w:rPr>
          <w:i/>
        </w:rPr>
        <w:t>Review of Development Finance, 3</w:t>
      </w:r>
      <w:r w:rsidRPr="00F752CD">
        <w:t xml:space="preserve">(2), 99-108. </w:t>
      </w:r>
    </w:p>
    <w:p w14:paraId="6A3B8358" w14:textId="77777777" w:rsidR="00F752CD" w:rsidRPr="00F752CD" w:rsidRDefault="00F752CD" w:rsidP="00F752CD">
      <w:pPr>
        <w:pStyle w:val="EndNoteBibliography"/>
        <w:spacing w:after="0"/>
        <w:ind w:left="720" w:hanging="720"/>
      </w:pPr>
      <w:r w:rsidRPr="00F752CD">
        <w:t xml:space="preserve">Kota, I. (2007). Microfinance: Banking for the poor. </w:t>
      </w:r>
      <w:r w:rsidRPr="00F752CD">
        <w:rPr>
          <w:i/>
        </w:rPr>
        <w:t>Finance and Development, 44</w:t>
      </w:r>
      <w:r w:rsidRPr="00F752CD">
        <w:t xml:space="preserve">(2), 44. </w:t>
      </w:r>
    </w:p>
    <w:p w14:paraId="0956F864" w14:textId="77777777" w:rsidR="00F752CD" w:rsidRPr="00F752CD" w:rsidRDefault="00F752CD" w:rsidP="00F752CD">
      <w:pPr>
        <w:pStyle w:val="EndNoteBibliography"/>
        <w:spacing w:after="0"/>
        <w:ind w:left="720" w:hanging="720"/>
      </w:pPr>
      <w:r w:rsidRPr="00F752CD">
        <w:t xml:space="preserve">La Porta, R., Lopez-de-Silanes, F., &amp; Shleifer, A. (2013). Law and finance after a decade  of research. In G. M. Constantinides, M. Harris, &amp; R. M. Stulz (Eds.), </w:t>
      </w:r>
      <w:r w:rsidRPr="00F752CD">
        <w:rPr>
          <w:i/>
        </w:rPr>
        <w:t xml:space="preserve">Handbook of the Economics of Finance </w:t>
      </w:r>
      <w:r w:rsidRPr="00F752CD">
        <w:t>(Vol. 2A, pp. 426-470). Amsterdam: North Holland.</w:t>
      </w:r>
    </w:p>
    <w:p w14:paraId="259758DA" w14:textId="77777777" w:rsidR="00F752CD" w:rsidRPr="00F752CD" w:rsidRDefault="00F752CD" w:rsidP="00F752CD">
      <w:pPr>
        <w:pStyle w:val="EndNoteBibliography"/>
        <w:spacing w:after="0"/>
        <w:ind w:left="720" w:hanging="720"/>
      </w:pPr>
      <w:r w:rsidRPr="00F752CD">
        <w:t xml:space="preserve">Ledgerwood, J., &amp; White, V. (2006). </w:t>
      </w:r>
      <w:r w:rsidRPr="00F752CD">
        <w:rPr>
          <w:i/>
        </w:rPr>
        <w:t>Transforming microfinance institutions: providing full financial services to the poor</w:t>
      </w:r>
      <w:r w:rsidRPr="00F752CD">
        <w:t>. New York: World Bank Publications.</w:t>
      </w:r>
    </w:p>
    <w:p w14:paraId="1A6FC6C5" w14:textId="77777777" w:rsidR="00F752CD" w:rsidRPr="00F752CD" w:rsidRDefault="00F752CD" w:rsidP="00F752CD">
      <w:pPr>
        <w:pStyle w:val="EndNoteBibliography"/>
        <w:spacing w:after="0"/>
        <w:ind w:left="720" w:hanging="720"/>
      </w:pPr>
      <w:r w:rsidRPr="00F752CD">
        <w:t xml:space="preserve">Mader, P. (2015). The financialization of poverty. In </w:t>
      </w:r>
      <w:r w:rsidRPr="00F752CD">
        <w:rPr>
          <w:i/>
        </w:rPr>
        <w:t>The Political Economy of Microfinance</w:t>
      </w:r>
      <w:r w:rsidRPr="00F752CD">
        <w:t xml:space="preserve"> (pp. 78-120): Springer.</w:t>
      </w:r>
    </w:p>
    <w:p w14:paraId="10D12AB3" w14:textId="77777777" w:rsidR="00F752CD" w:rsidRPr="00F752CD" w:rsidRDefault="00F752CD" w:rsidP="00F752CD">
      <w:pPr>
        <w:pStyle w:val="EndNoteBibliography"/>
        <w:spacing w:after="0"/>
        <w:ind w:left="720" w:hanging="720"/>
      </w:pPr>
      <w:r w:rsidRPr="00F752CD">
        <w:lastRenderedPageBreak/>
        <w:t xml:space="preserve">Martínez-Ferrero, J., &amp; García-Sánchez, I.-M. (2017). Coercive, normative and mimetic isomorphism as determinants of the voluntary assurance of sustainability reports. </w:t>
      </w:r>
      <w:r w:rsidRPr="00F752CD">
        <w:rPr>
          <w:i/>
        </w:rPr>
        <w:t>International Business Review, 26</w:t>
      </w:r>
      <w:r w:rsidRPr="00F752CD">
        <w:t xml:space="preserve">(1), 102-118. </w:t>
      </w:r>
    </w:p>
    <w:p w14:paraId="3F69F5FA" w14:textId="77777777" w:rsidR="00F752CD" w:rsidRPr="00F752CD" w:rsidRDefault="00F752CD" w:rsidP="00F752CD">
      <w:pPr>
        <w:pStyle w:val="EndNoteBibliography"/>
        <w:spacing w:after="0"/>
        <w:ind w:left="720" w:hanging="720"/>
      </w:pPr>
      <w:r w:rsidRPr="00F752CD">
        <w:t xml:space="preserve">Matias, F., &amp; Serrasqueiro, Z. (2017). Are there reliable determinant factors of capital structure decisions? Empirical study of SMEs in different regions of Portugal. </w:t>
      </w:r>
      <w:r w:rsidRPr="00F752CD">
        <w:rPr>
          <w:i/>
        </w:rPr>
        <w:t>Research in International Business and Finance, 40</w:t>
      </w:r>
      <w:r w:rsidRPr="00F752CD">
        <w:t xml:space="preserve">, 19-33. </w:t>
      </w:r>
    </w:p>
    <w:p w14:paraId="40999203" w14:textId="77777777" w:rsidR="00F752CD" w:rsidRPr="00F752CD" w:rsidRDefault="00F752CD" w:rsidP="00F752CD">
      <w:pPr>
        <w:pStyle w:val="EndNoteBibliography"/>
        <w:spacing w:after="0"/>
        <w:ind w:left="720" w:hanging="720"/>
      </w:pPr>
      <w:r w:rsidRPr="00F752CD">
        <w:t xml:space="preserve">Mersland, R., &amp; Strøm, R. Ø. (2010). Microfinance mission drift? </w:t>
      </w:r>
      <w:r w:rsidRPr="00F752CD">
        <w:rPr>
          <w:i/>
        </w:rPr>
        <w:t>World Development, 38</w:t>
      </w:r>
      <w:r w:rsidRPr="00F752CD">
        <w:t xml:space="preserve">, 28-36. </w:t>
      </w:r>
    </w:p>
    <w:p w14:paraId="7A502C86" w14:textId="77777777" w:rsidR="00F752CD" w:rsidRPr="00F752CD" w:rsidRDefault="00F752CD" w:rsidP="00F752CD">
      <w:pPr>
        <w:pStyle w:val="EndNoteBibliography"/>
        <w:spacing w:after="0"/>
        <w:ind w:left="720" w:hanging="720"/>
      </w:pPr>
      <w:r w:rsidRPr="00F752CD">
        <w:t xml:space="preserve">Mia, M. A., &amp; Lee, H.-A. (2017). Mission drift and ethical crisis in microfinance institutions: What matters? </w:t>
      </w:r>
      <w:r w:rsidRPr="00F752CD">
        <w:rPr>
          <w:i/>
        </w:rPr>
        <w:t>Journal of Cleaner Production, 164</w:t>
      </w:r>
      <w:r w:rsidRPr="00F752CD">
        <w:t xml:space="preserve">, 102-114. </w:t>
      </w:r>
    </w:p>
    <w:p w14:paraId="0AB30F36" w14:textId="60D15640" w:rsidR="00F752CD" w:rsidRPr="00F752CD" w:rsidRDefault="00F752CD" w:rsidP="00F752CD">
      <w:pPr>
        <w:pStyle w:val="EndNoteBibliography"/>
        <w:spacing w:after="0"/>
        <w:ind w:left="720" w:hanging="720"/>
      </w:pPr>
      <w:r w:rsidRPr="00F752CD">
        <w:t xml:space="preserve">Microfinance Information Exchange (MIX). (2019). </w:t>
      </w:r>
      <w:r w:rsidRPr="00F752CD">
        <w:rPr>
          <w:i/>
        </w:rPr>
        <w:t>Global Outreach &amp; Financial Performance Benchmark Report - 2017-2018</w:t>
      </w:r>
      <w:r w:rsidRPr="00F752CD">
        <w:t xml:space="preserve">. Retrieved from New York: </w:t>
      </w:r>
      <w:hyperlink r:id="rId29" w:history="1">
        <w:r w:rsidRPr="00F752CD">
          <w:rPr>
            <w:rStyle w:val="Hyperlink"/>
          </w:rPr>
          <w:t>https://www.themix.org/sites/default/files/mix_market_global_outreach_financial_benchmark_report_2017-2018.pdf</w:t>
        </w:r>
      </w:hyperlink>
    </w:p>
    <w:p w14:paraId="531EDCBB" w14:textId="77777777" w:rsidR="00F752CD" w:rsidRPr="00F752CD" w:rsidRDefault="00F752CD" w:rsidP="00F752CD">
      <w:pPr>
        <w:pStyle w:val="EndNoteBibliography"/>
        <w:spacing w:after="0"/>
        <w:ind w:left="720" w:hanging="720"/>
      </w:pPr>
      <w:r w:rsidRPr="00F752CD">
        <w:t xml:space="preserve">Morduch, J. (1999). The microfinance promise. </w:t>
      </w:r>
      <w:r w:rsidRPr="00F752CD">
        <w:rPr>
          <w:i/>
        </w:rPr>
        <w:t>Journal of Economic Literature, 37</w:t>
      </w:r>
      <w:r w:rsidRPr="00F752CD">
        <w:t xml:space="preserve">(4), 1569-1614. </w:t>
      </w:r>
    </w:p>
    <w:p w14:paraId="3D8FD0E4" w14:textId="77777777" w:rsidR="00F752CD" w:rsidRPr="00F752CD" w:rsidRDefault="00F752CD" w:rsidP="00F752CD">
      <w:pPr>
        <w:pStyle w:val="EndNoteBibliography"/>
        <w:spacing w:after="0"/>
        <w:ind w:left="720" w:hanging="720"/>
      </w:pPr>
      <w:r w:rsidRPr="00F752CD">
        <w:t xml:space="preserve">Morduch, J. (2000). The microfinance schism. </w:t>
      </w:r>
      <w:r w:rsidRPr="00F752CD">
        <w:rPr>
          <w:i/>
        </w:rPr>
        <w:t>World Development, 28</w:t>
      </w:r>
      <w:r w:rsidRPr="00F752CD">
        <w:t xml:space="preserve">(4), 617-629. </w:t>
      </w:r>
    </w:p>
    <w:p w14:paraId="0FF9B012" w14:textId="77777777" w:rsidR="00F752CD" w:rsidRPr="00F752CD" w:rsidRDefault="00F752CD" w:rsidP="00F752CD">
      <w:pPr>
        <w:pStyle w:val="EndNoteBibliography"/>
        <w:spacing w:after="0"/>
        <w:ind w:left="720" w:hanging="720"/>
      </w:pPr>
      <w:r w:rsidRPr="00F752CD">
        <w:t xml:space="preserve">Nason, R. S., Bacq, S., &amp; Gras, D. (2018). A Behavioral Theory of Social Performance: Social Identity and Stakeholder Expectations. </w:t>
      </w:r>
      <w:r w:rsidRPr="00F752CD">
        <w:rPr>
          <w:i/>
        </w:rPr>
        <w:t>Academy of Management Review, 43</w:t>
      </w:r>
      <w:r w:rsidRPr="00F752CD">
        <w:t xml:space="preserve">(2), 259-283. </w:t>
      </w:r>
    </w:p>
    <w:p w14:paraId="31134EBC" w14:textId="77777777" w:rsidR="00F752CD" w:rsidRPr="00F752CD" w:rsidRDefault="00F752CD" w:rsidP="00F752CD">
      <w:pPr>
        <w:pStyle w:val="EndNoteBibliography"/>
        <w:spacing w:after="0"/>
        <w:ind w:left="720" w:hanging="720"/>
      </w:pPr>
      <w:r w:rsidRPr="00F752CD">
        <w:t xml:space="preserve">Nurmakhanova, M., Kretzschmar, G., &amp; Fedhila, H. (2015). Trade-off between financial sustainability and outreach of microfinance institutions. </w:t>
      </w:r>
      <w:r w:rsidRPr="00F752CD">
        <w:rPr>
          <w:i/>
        </w:rPr>
        <w:t>Eurasian Economic Review, 5</w:t>
      </w:r>
      <w:r w:rsidRPr="00F752CD">
        <w:t xml:space="preserve">(2), 231-250. </w:t>
      </w:r>
    </w:p>
    <w:p w14:paraId="06ECA6CF" w14:textId="77777777" w:rsidR="00F752CD" w:rsidRPr="00F752CD" w:rsidRDefault="00F752CD" w:rsidP="00F752CD">
      <w:pPr>
        <w:pStyle w:val="EndNoteBibliography"/>
        <w:spacing w:after="0"/>
        <w:ind w:left="720" w:hanging="720"/>
      </w:pPr>
      <w:r w:rsidRPr="00F752CD">
        <w:t xml:space="preserve">O’Malley, T., &amp; Burke, J. (2017). A systematic review of microfinance and women’s health literature: Directions for future research. </w:t>
      </w:r>
      <w:r w:rsidRPr="00F752CD">
        <w:rPr>
          <w:i/>
        </w:rPr>
        <w:t>Global Public Health, 12</w:t>
      </w:r>
      <w:r w:rsidRPr="00F752CD">
        <w:t xml:space="preserve">(11), 1433-1460. </w:t>
      </w:r>
    </w:p>
    <w:p w14:paraId="0E3DAB3F" w14:textId="77777777" w:rsidR="00F752CD" w:rsidRPr="00F752CD" w:rsidRDefault="00F752CD" w:rsidP="00F752CD">
      <w:pPr>
        <w:pStyle w:val="EndNoteBibliography"/>
        <w:spacing w:after="0"/>
        <w:ind w:left="720" w:hanging="720"/>
      </w:pPr>
      <w:r w:rsidRPr="00F752CD">
        <w:t xml:space="preserve">Ojah, K., &amp; Ombati, S. (2016). Effects of financing and institutional constraints on capital structure of firms in select African countries. </w:t>
      </w:r>
      <w:r w:rsidRPr="00F752CD">
        <w:rPr>
          <w:i/>
        </w:rPr>
        <w:t>African Finance Journal, 18</w:t>
      </w:r>
      <w:r w:rsidRPr="00F752CD">
        <w:t xml:space="preserve">(2), 1-44. </w:t>
      </w:r>
    </w:p>
    <w:p w14:paraId="051424E0" w14:textId="77777777" w:rsidR="00F752CD" w:rsidRPr="00F752CD" w:rsidRDefault="00F752CD" w:rsidP="00F752CD">
      <w:pPr>
        <w:pStyle w:val="EndNoteBibliography"/>
        <w:spacing w:after="0"/>
        <w:ind w:left="720" w:hanging="720"/>
      </w:pPr>
      <w:r w:rsidRPr="00F752CD">
        <w:t xml:space="preserve">Ostry, J., Loungani, P., &amp; Furceri, D. (2017). Neoliberalism: Oversold? </w:t>
      </w:r>
      <w:r w:rsidRPr="00F752CD">
        <w:rPr>
          <w:i/>
        </w:rPr>
        <w:t>Finance and Development, 2</w:t>
      </w:r>
      <w:r w:rsidRPr="00F752CD">
        <w:t xml:space="preserve">(2017), 38-41. </w:t>
      </w:r>
    </w:p>
    <w:p w14:paraId="2B10C922" w14:textId="77777777" w:rsidR="00F752CD" w:rsidRPr="00F752CD" w:rsidRDefault="00F752CD" w:rsidP="00F752CD">
      <w:pPr>
        <w:pStyle w:val="EndNoteBibliography"/>
        <w:spacing w:after="0"/>
        <w:ind w:left="720" w:hanging="720"/>
      </w:pPr>
      <w:r w:rsidRPr="00F752CD">
        <w:t xml:space="preserve">Oto-Peralías, D., &amp; Romero-Ávila, D. (2014). The distribution of legal traditions around the world: a contribution to the legal-origins theory. </w:t>
      </w:r>
      <w:r w:rsidRPr="00F752CD">
        <w:rPr>
          <w:i/>
        </w:rPr>
        <w:t>The Journal of Law and Economics, 57</w:t>
      </w:r>
      <w:r w:rsidRPr="00F752CD">
        <w:t xml:space="preserve">(3), 561-628. </w:t>
      </w:r>
    </w:p>
    <w:p w14:paraId="5D0EB4A2" w14:textId="77777777" w:rsidR="00F752CD" w:rsidRPr="00F752CD" w:rsidRDefault="00F752CD" w:rsidP="00F752CD">
      <w:pPr>
        <w:pStyle w:val="EndNoteBibliography"/>
        <w:spacing w:after="0"/>
        <w:ind w:left="720" w:hanging="720"/>
      </w:pPr>
      <w:r w:rsidRPr="00F752CD">
        <w:t xml:space="preserve">Pashkova, N., Trujillo-Barrera, A., Apostolakis, G., Van Dijk, G., Drakos, P., &amp; Baourakis, G. (2016). Business management models of microfinance institutions (MFIs) in Africa: A study into their enabling environments. </w:t>
      </w:r>
      <w:r w:rsidRPr="00F752CD">
        <w:rPr>
          <w:i/>
        </w:rPr>
        <w:t>International Journal of Food and Beverage Manufacturing and Business Models 2</w:t>
      </w:r>
      <w:r w:rsidRPr="00F752CD">
        <w:t xml:space="preserve">(2), 63-82. </w:t>
      </w:r>
    </w:p>
    <w:p w14:paraId="31011E4C" w14:textId="77777777" w:rsidR="00F752CD" w:rsidRPr="00F752CD" w:rsidRDefault="00F752CD" w:rsidP="00F752CD">
      <w:pPr>
        <w:pStyle w:val="EndNoteBibliography"/>
        <w:spacing w:after="0"/>
        <w:ind w:left="720" w:hanging="720"/>
      </w:pPr>
      <w:r w:rsidRPr="00F752CD">
        <w:t xml:space="preserve">Qian, M., &amp; Yeung, B. Y. (2015). Bank financing and corporate governance. </w:t>
      </w:r>
      <w:r w:rsidRPr="00F752CD">
        <w:rPr>
          <w:i/>
        </w:rPr>
        <w:t>Journal of Corporate Finance, 32</w:t>
      </w:r>
      <w:r w:rsidRPr="00F752CD">
        <w:t xml:space="preserve">, 258-270. </w:t>
      </w:r>
    </w:p>
    <w:p w14:paraId="39C1B2CE" w14:textId="77777777" w:rsidR="00F752CD" w:rsidRPr="00F752CD" w:rsidRDefault="00F752CD" w:rsidP="00F752CD">
      <w:pPr>
        <w:pStyle w:val="EndNoteBibliography"/>
        <w:spacing w:after="0"/>
        <w:ind w:left="720" w:hanging="720"/>
      </w:pPr>
      <w:r w:rsidRPr="00F752CD">
        <w:t xml:space="preserve">Rajan, R., &amp; Zingales, L. (1998). Financial development and growth. </w:t>
      </w:r>
      <w:r w:rsidRPr="00F752CD">
        <w:rPr>
          <w:i/>
        </w:rPr>
        <w:t>American Economic Review, 88</w:t>
      </w:r>
      <w:r w:rsidRPr="00F752CD">
        <w:t xml:space="preserve">(3), 559-586. </w:t>
      </w:r>
    </w:p>
    <w:p w14:paraId="640B22A0" w14:textId="77777777" w:rsidR="00F752CD" w:rsidRPr="00F752CD" w:rsidRDefault="00F752CD" w:rsidP="00F752CD">
      <w:pPr>
        <w:pStyle w:val="EndNoteBibliography"/>
        <w:spacing w:after="0"/>
        <w:ind w:left="720" w:hanging="720"/>
      </w:pPr>
      <w:r w:rsidRPr="00F752CD">
        <w:t xml:space="preserve">Ramus, T., &amp; Vaccaro, A. (2017). Stakeholders matter: How social enterprises address mission drift. </w:t>
      </w:r>
      <w:r w:rsidRPr="00F752CD">
        <w:rPr>
          <w:i/>
        </w:rPr>
        <w:t>Journal of Business Ethics, 143</w:t>
      </w:r>
      <w:r w:rsidRPr="00F752CD">
        <w:t>(2), 307-322. doi:10.1007/s10551-014-2353-y</w:t>
      </w:r>
    </w:p>
    <w:p w14:paraId="13379D56" w14:textId="77777777" w:rsidR="00F752CD" w:rsidRPr="00F752CD" w:rsidRDefault="00F752CD" w:rsidP="00F752CD">
      <w:pPr>
        <w:pStyle w:val="EndNoteBibliography"/>
        <w:spacing w:after="0"/>
        <w:ind w:left="720" w:hanging="720"/>
      </w:pPr>
      <w:r w:rsidRPr="00F752CD">
        <w:lastRenderedPageBreak/>
        <w:t xml:space="preserve">Scott, W. (2004). Institutional theory. In </w:t>
      </w:r>
      <w:r w:rsidRPr="00F752CD">
        <w:rPr>
          <w:i/>
        </w:rPr>
        <w:t>Encyclopaedia of social theory</w:t>
      </w:r>
      <w:r w:rsidRPr="00F752CD">
        <w:t xml:space="preserve"> (pp. 408-414). Thousand Oaks, CA.: Sage.</w:t>
      </w:r>
    </w:p>
    <w:p w14:paraId="0F434310" w14:textId="77777777" w:rsidR="00F752CD" w:rsidRPr="00F752CD" w:rsidRDefault="00F752CD" w:rsidP="00F752CD">
      <w:pPr>
        <w:pStyle w:val="EndNoteBibliography"/>
        <w:spacing w:after="0"/>
        <w:ind w:left="720" w:hanging="720"/>
      </w:pPr>
      <w:r w:rsidRPr="00F752CD">
        <w:t xml:space="preserve">Shahriar, A. Z. M., &amp; Garg, M. (2017). Lender–entrepreneur relationships and credit risk: A global analysis of microfinance institutions. </w:t>
      </w:r>
      <w:r w:rsidRPr="00F752CD">
        <w:rPr>
          <w:i/>
        </w:rPr>
        <w:t>International Small Business Journal, 35</w:t>
      </w:r>
      <w:r w:rsidRPr="00F752CD">
        <w:t xml:space="preserve">(7), 829-854. </w:t>
      </w:r>
    </w:p>
    <w:p w14:paraId="51A45584" w14:textId="77777777" w:rsidR="00F752CD" w:rsidRPr="00F752CD" w:rsidRDefault="00F752CD" w:rsidP="00F752CD">
      <w:pPr>
        <w:pStyle w:val="EndNoteBibliography"/>
        <w:spacing w:after="0"/>
        <w:ind w:left="720" w:hanging="720"/>
      </w:pPr>
      <w:r w:rsidRPr="00F752CD">
        <w:t xml:space="preserve">Silva, P. (2018). Neoliberalism, democratization, and the rise of technocrats. In </w:t>
      </w:r>
      <w:r w:rsidRPr="00F752CD">
        <w:rPr>
          <w:i/>
        </w:rPr>
        <w:t>The Changing Role of the State in Latin America</w:t>
      </w:r>
      <w:r w:rsidRPr="00F752CD">
        <w:t xml:space="preserve"> (pp. 75-92): Routledge.</w:t>
      </w:r>
    </w:p>
    <w:p w14:paraId="27FDDD0A" w14:textId="77777777" w:rsidR="00F752CD" w:rsidRPr="00F752CD" w:rsidRDefault="00F752CD" w:rsidP="00F752CD">
      <w:pPr>
        <w:pStyle w:val="EndNoteBibliography"/>
        <w:spacing w:after="0"/>
        <w:ind w:left="720" w:hanging="720"/>
      </w:pPr>
      <w:r w:rsidRPr="00F752CD">
        <w:t xml:space="preserve">Soedarmono, W., Hasan, I., &amp; Arsyad, N. (2017). Non-linearity in the finance-growth nexus: Evidence from Indonesia. </w:t>
      </w:r>
      <w:r w:rsidRPr="00F752CD">
        <w:rPr>
          <w:i/>
        </w:rPr>
        <w:t>International Economics, 150</w:t>
      </w:r>
      <w:r w:rsidRPr="00F752CD">
        <w:t xml:space="preserve">, 19-35. </w:t>
      </w:r>
    </w:p>
    <w:p w14:paraId="5FAB62B4" w14:textId="77777777" w:rsidR="00F752CD" w:rsidRPr="00F752CD" w:rsidRDefault="00F752CD" w:rsidP="00F752CD">
      <w:pPr>
        <w:pStyle w:val="EndNoteBibliography"/>
        <w:spacing w:after="0"/>
        <w:ind w:left="720" w:hanging="720"/>
      </w:pPr>
      <w:r w:rsidRPr="00F752CD">
        <w:t xml:space="preserve">Vercammen, J. A. (1995). Credit bureau policy and sustainable reputation effects in credit markets. </w:t>
      </w:r>
      <w:r w:rsidRPr="00F752CD">
        <w:rPr>
          <w:i/>
        </w:rPr>
        <w:t>Economica, 62</w:t>
      </w:r>
      <w:r w:rsidRPr="00F752CD">
        <w:t xml:space="preserve">, 461-478. </w:t>
      </w:r>
    </w:p>
    <w:p w14:paraId="6B9A595E" w14:textId="77777777" w:rsidR="00F752CD" w:rsidRPr="00F752CD" w:rsidRDefault="00F752CD" w:rsidP="00F752CD">
      <w:pPr>
        <w:pStyle w:val="EndNoteBibliography"/>
        <w:spacing w:after="0"/>
        <w:ind w:left="720" w:hanging="720"/>
      </w:pPr>
      <w:r w:rsidRPr="00F752CD">
        <w:t xml:space="preserve">Wagner, C., &amp; Winkler, A. (2013). The vulnerability of microfinance to financial turmoil–evidence from the global financial crisis. </w:t>
      </w:r>
      <w:r w:rsidRPr="00F752CD">
        <w:rPr>
          <w:i/>
        </w:rPr>
        <w:t>World Development, 51</w:t>
      </w:r>
      <w:r w:rsidRPr="00F752CD">
        <w:t xml:space="preserve">, 71-90. </w:t>
      </w:r>
    </w:p>
    <w:p w14:paraId="5053AADB" w14:textId="77777777" w:rsidR="00F752CD" w:rsidRPr="00F752CD" w:rsidRDefault="00F752CD" w:rsidP="00F752CD">
      <w:pPr>
        <w:pStyle w:val="EndNoteBibliography"/>
        <w:spacing w:after="0"/>
        <w:ind w:left="720" w:hanging="720"/>
      </w:pPr>
      <w:r w:rsidRPr="00F752CD">
        <w:t>Wang, K., &amp; Shailer, G. (2015). Ownership concentration and firm performance in emerging markets: a meta</w:t>
      </w:r>
      <w:r w:rsidRPr="00F752CD">
        <w:rPr>
          <w:rFonts w:ascii="Times New Roman" w:hAnsi="Times New Roman" w:cs="Times New Roman"/>
        </w:rPr>
        <w:t>‐</w:t>
      </w:r>
      <w:r w:rsidRPr="00F752CD">
        <w:t xml:space="preserve">analysis. </w:t>
      </w:r>
      <w:r w:rsidRPr="00F752CD">
        <w:rPr>
          <w:i/>
        </w:rPr>
        <w:t>Journal of Economic Surveys, 29</w:t>
      </w:r>
      <w:r w:rsidRPr="00F752CD">
        <w:t xml:space="preserve">(2), 199-229. </w:t>
      </w:r>
    </w:p>
    <w:p w14:paraId="0CCD4CC3" w14:textId="77777777" w:rsidR="00F752CD" w:rsidRPr="00F752CD" w:rsidRDefault="00F752CD" w:rsidP="00F752CD">
      <w:pPr>
        <w:pStyle w:val="EndNoteBibliography"/>
        <w:spacing w:after="0"/>
        <w:ind w:left="720" w:hanging="720"/>
      </w:pPr>
      <w:r w:rsidRPr="00F752CD">
        <w:t xml:space="preserve">Williams, R. (2012). Using the margins command to estimate and interpret adjusted predictions and marginal effects. </w:t>
      </w:r>
      <w:r w:rsidRPr="00F752CD">
        <w:rPr>
          <w:i/>
        </w:rPr>
        <w:t>The Stata Journal, 12</w:t>
      </w:r>
      <w:r w:rsidRPr="00F752CD">
        <w:t xml:space="preserve">(2), 308-331. </w:t>
      </w:r>
    </w:p>
    <w:p w14:paraId="0388EA09" w14:textId="77777777" w:rsidR="00F752CD" w:rsidRPr="00F752CD" w:rsidRDefault="00F752CD" w:rsidP="00F752CD">
      <w:pPr>
        <w:pStyle w:val="EndNoteBibliography"/>
        <w:ind w:left="720" w:hanging="720"/>
      </w:pPr>
      <w:r w:rsidRPr="00F752CD">
        <w:t xml:space="preserve">Zaby, S. (2019). Science Mapping of the Global Knowledge Base on Microfinance: Influential Authors and Documents, 1989–2019. </w:t>
      </w:r>
      <w:r w:rsidRPr="00F752CD">
        <w:rPr>
          <w:i/>
        </w:rPr>
        <w:t>Sustainability, 11</w:t>
      </w:r>
      <w:r w:rsidRPr="00F752CD">
        <w:t xml:space="preserve">(14), 3883. </w:t>
      </w:r>
    </w:p>
    <w:p w14:paraId="56B0D5EE" w14:textId="3B0680D3" w:rsidR="00634EC3" w:rsidRDefault="000A2BE3" w:rsidP="0056219E">
      <w:pPr>
        <w:tabs>
          <w:tab w:val="left" w:pos="1309"/>
        </w:tabs>
        <w:spacing w:line="360" w:lineRule="auto"/>
      </w:pPr>
      <w:r>
        <w:fldChar w:fldCharType="end"/>
      </w:r>
    </w:p>
    <w:p w14:paraId="47385DA4" w14:textId="77777777" w:rsidR="0056219E" w:rsidRDefault="0056219E" w:rsidP="0056219E">
      <w:pPr>
        <w:tabs>
          <w:tab w:val="left" w:pos="1309"/>
        </w:tabs>
        <w:spacing w:line="360" w:lineRule="auto"/>
      </w:pPr>
    </w:p>
    <w:p w14:paraId="586D26FB" w14:textId="77777777" w:rsidR="0056219E" w:rsidRDefault="0056219E" w:rsidP="0056219E">
      <w:pPr>
        <w:tabs>
          <w:tab w:val="left" w:pos="1309"/>
        </w:tabs>
        <w:spacing w:line="360" w:lineRule="auto"/>
      </w:pPr>
    </w:p>
    <w:p w14:paraId="6E7D532E" w14:textId="77777777" w:rsidR="0056219E" w:rsidRDefault="0056219E" w:rsidP="0056219E">
      <w:pPr>
        <w:tabs>
          <w:tab w:val="left" w:pos="1309"/>
        </w:tabs>
        <w:spacing w:line="360" w:lineRule="auto"/>
      </w:pPr>
    </w:p>
    <w:p w14:paraId="58ED1068" w14:textId="77777777" w:rsidR="0056219E" w:rsidRDefault="0056219E" w:rsidP="0056219E">
      <w:pPr>
        <w:tabs>
          <w:tab w:val="left" w:pos="1309"/>
        </w:tabs>
        <w:spacing w:line="360" w:lineRule="auto"/>
      </w:pPr>
    </w:p>
    <w:p w14:paraId="199B59FF" w14:textId="77777777" w:rsidR="0056219E" w:rsidRDefault="0056219E" w:rsidP="0056219E">
      <w:pPr>
        <w:tabs>
          <w:tab w:val="left" w:pos="1309"/>
        </w:tabs>
        <w:spacing w:line="360" w:lineRule="auto"/>
      </w:pPr>
    </w:p>
    <w:p w14:paraId="381CC602" w14:textId="77777777" w:rsidR="006F54D0" w:rsidRDefault="006F54D0" w:rsidP="0056219E">
      <w:pPr>
        <w:tabs>
          <w:tab w:val="left" w:pos="1309"/>
        </w:tabs>
        <w:spacing w:line="360" w:lineRule="auto"/>
      </w:pPr>
    </w:p>
    <w:p w14:paraId="42E5117E" w14:textId="77777777" w:rsidR="006F54D0" w:rsidRDefault="006F54D0" w:rsidP="0056219E">
      <w:pPr>
        <w:tabs>
          <w:tab w:val="left" w:pos="1309"/>
        </w:tabs>
        <w:spacing w:line="360" w:lineRule="auto"/>
      </w:pPr>
    </w:p>
    <w:p w14:paraId="68DCF5A6" w14:textId="77777777" w:rsidR="006F54D0" w:rsidRDefault="006F54D0" w:rsidP="0056219E">
      <w:pPr>
        <w:tabs>
          <w:tab w:val="left" w:pos="1309"/>
        </w:tabs>
        <w:spacing w:line="360" w:lineRule="auto"/>
      </w:pPr>
    </w:p>
    <w:p w14:paraId="7FC8CA33" w14:textId="77777777" w:rsidR="006F54D0" w:rsidRDefault="006F54D0" w:rsidP="0056219E">
      <w:pPr>
        <w:tabs>
          <w:tab w:val="left" w:pos="1309"/>
        </w:tabs>
        <w:spacing w:line="360" w:lineRule="auto"/>
      </w:pPr>
    </w:p>
    <w:p w14:paraId="5502121E" w14:textId="77777777" w:rsidR="006F54D0" w:rsidRDefault="006F54D0" w:rsidP="0056219E">
      <w:pPr>
        <w:tabs>
          <w:tab w:val="left" w:pos="1309"/>
        </w:tabs>
        <w:spacing w:line="360" w:lineRule="auto"/>
      </w:pPr>
    </w:p>
    <w:p w14:paraId="4B7DF206" w14:textId="77777777" w:rsidR="006F54D0" w:rsidRDefault="006F54D0" w:rsidP="0056219E">
      <w:pPr>
        <w:tabs>
          <w:tab w:val="left" w:pos="1309"/>
        </w:tabs>
        <w:spacing w:line="360" w:lineRule="auto"/>
      </w:pPr>
    </w:p>
    <w:p w14:paraId="157EFF4C" w14:textId="297AA90E" w:rsidR="0056219E" w:rsidRPr="0056219E" w:rsidRDefault="0056219E" w:rsidP="002D21F3">
      <w:pPr>
        <w:tabs>
          <w:tab w:val="left" w:pos="1309"/>
        </w:tabs>
        <w:spacing w:line="360" w:lineRule="auto"/>
        <w:rPr>
          <w:rFonts w:ascii="Maiandra GD" w:hAnsi="Maiandra GD"/>
          <w:b/>
          <w:bCs/>
          <w:szCs w:val="24"/>
        </w:rPr>
      </w:pPr>
    </w:p>
    <w:p w14:paraId="590BEB5E" w14:textId="4C3CBB11" w:rsidR="00634EC3" w:rsidRPr="00DC78E6" w:rsidRDefault="00634EC3" w:rsidP="002F1DF7">
      <w:pPr>
        <w:pStyle w:val="Heading2"/>
      </w:pPr>
      <w:r w:rsidRPr="00DC78E6">
        <w:lastRenderedPageBreak/>
        <w:t>Appendices</w:t>
      </w:r>
    </w:p>
    <w:p w14:paraId="50E1577D" w14:textId="3678A40A" w:rsidR="00634EC3" w:rsidRPr="00FD13B2" w:rsidRDefault="00634EC3" w:rsidP="00DC78E6">
      <w:pPr>
        <w:pStyle w:val="Heading3"/>
        <w:rPr>
          <w:b w:val="0"/>
        </w:rPr>
      </w:pPr>
      <w:r w:rsidRPr="00FD13B2">
        <w:rPr>
          <w:b w:val="0"/>
        </w:rPr>
        <w:t>Appendix 1: Summary Statistics for Panel dataset (Extended)</w:t>
      </w:r>
    </w:p>
    <w:tbl>
      <w:tblPr>
        <w:tblStyle w:val="PlainTable5"/>
        <w:tblW w:w="5000" w:type="pct"/>
        <w:tblLook w:val="04A0" w:firstRow="1" w:lastRow="0" w:firstColumn="1" w:lastColumn="0" w:noHBand="0" w:noVBand="1"/>
      </w:tblPr>
      <w:tblGrid>
        <w:gridCol w:w="1783"/>
        <w:gridCol w:w="1060"/>
        <w:gridCol w:w="1087"/>
        <w:gridCol w:w="1248"/>
        <w:gridCol w:w="1087"/>
        <w:gridCol w:w="1008"/>
        <w:gridCol w:w="1744"/>
      </w:tblGrid>
      <w:tr w:rsidR="007D4874" w:rsidRPr="00983A81" w14:paraId="00A3D7AB" w14:textId="77777777" w:rsidTr="00DC21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pct"/>
            <w:tcBorders>
              <w:top w:val="single" w:sz="4" w:space="0" w:color="auto"/>
              <w:left w:val="single" w:sz="4" w:space="0" w:color="auto"/>
            </w:tcBorders>
            <w:shd w:val="clear" w:color="auto" w:fill="auto"/>
          </w:tcPr>
          <w:p w14:paraId="5DBC7739" w14:textId="77777777" w:rsidR="00634EC3" w:rsidRPr="00983A81" w:rsidRDefault="00634EC3" w:rsidP="003E0E0F">
            <w:pPr>
              <w:spacing w:line="276" w:lineRule="auto"/>
              <w:rPr>
                <w:b/>
                <w:szCs w:val="24"/>
              </w:rPr>
            </w:pPr>
            <w:r w:rsidRPr="00983A81">
              <w:rPr>
                <w:b/>
                <w:szCs w:val="24"/>
              </w:rPr>
              <w:t>Variable</w:t>
            </w:r>
          </w:p>
        </w:tc>
        <w:tc>
          <w:tcPr>
            <w:tcW w:w="587" w:type="pct"/>
            <w:tcBorders>
              <w:top w:val="single" w:sz="4" w:space="0" w:color="auto"/>
            </w:tcBorders>
            <w:shd w:val="clear" w:color="auto" w:fill="auto"/>
          </w:tcPr>
          <w:p w14:paraId="2236AC96" w14:textId="77777777" w:rsidR="00634EC3" w:rsidRPr="00983A81" w:rsidRDefault="00634EC3" w:rsidP="003E0E0F">
            <w:pPr>
              <w:spacing w:line="276" w:lineRule="auto"/>
              <w:cnfStyle w:val="100000000000" w:firstRow="1" w:lastRow="0" w:firstColumn="0" w:lastColumn="0" w:oddVBand="0" w:evenVBand="0" w:oddHBand="0" w:evenHBand="0" w:firstRowFirstColumn="0" w:firstRowLastColumn="0" w:lastRowFirstColumn="0" w:lastRowLastColumn="0"/>
              <w:rPr>
                <w:b/>
                <w:szCs w:val="24"/>
              </w:rPr>
            </w:pPr>
          </w:p>
        </w:tc>
        <w:tc>
          <w:tcPr>
            <w:tcW w:w="603" w:type="pct"/>
            <w:tcBorders>
              <w:top w:val="single" w:sz="4" w:space="0" w:color="auto"/>
            </w:tcBorders>
            <w:shd w:val="clear" w:color="auto" w:fill="auto"/>
          </w:tcPr>
          <w:p w14:paraId="2687B908" w14:textId="77777777" w:rsidR="00634EC3" w:rsidRPr="00983A81" w:rsidRDefault="00634EC3" w:rsidP="003E0E0F">
            <w:pPr>
              <w:spacing w:line="276" w:lineRule="auto"/>
              <w:cnfStyle w:val="100000000000" w:firstRow="1" w:lastRow="0" w:firstColumn="0" w:lastColumn="0" w:oddVBand="0" w:evenVBand="0" w:oddHBand="0" w:evenHBand="0" w:firstRowFirstColumn="0" w:firstRowLastColumn="0" w:lastRowFirstColumn="0" w:lastRowLastColumn="0"/>
              <w:rPr>
                <w:b/>
                <w:szCs w:val="24"/>
              </w:rPr>
            </w:pPr>
            <w:r w:rsidRPr="00983A81">
              <w:rPr>
                <w:b/>
                <w:szCs w:val="24"/>
              </w:rPr>
              <w:t>Mean</w:t>
            </w:r>
          </w:p>
        </w:tc>
        <w:tc>
          <w:tcPr>
            <w:tcW w:w="692" w:type="pct"/>
            <w:tcBorders>
              <w:top w:val="single" w:sz="4" w:space="0" w:color="auto"/>
            </w:tcBorders>
            <w:shd w:val="clear" w:color="auto" w:fill="auto"/>
          </w:tcPr>
          <w:p w14:paraId="3FD226C5" w14:textId="77777777" w:rsidR="00634EC3" w:rsidRPr="00983A81" w:rsidRDefault="00634EC3" w:rsidP="003E0E0F">
            <w:pPr>
              <w:spacing w:line="276" w:lineRule="auto"/>
              <w:cnfStyle w:val="100000000000" w:firstRow="1" w:lastRow="0" w:firstColumn="0" w:lastColumn="0" w:oddVBand="0" w:evenVBand="0" w:oddHBand="0" w:evenHBand="0" w:firstRowFirstColumn="0" w:firstRowLastColumn="0" w:lastRowFirstColumn="0" w:lastRowLastColumn="0"/>
              <w:rPr>
                <w:b/>
                <w:szCs w:val="24"/>
              </w:rPr>
            </w:pPr>
            <w:r w:rsidRPr="00983A81">
              <w:rPr>
                <w:b/>
                <w:szCs w:val="24"/>
              </w:rPr>
              <w:t>Std. Dev.</w:t>
            </w:r>
          </w:p>
        </w:tc>
        <w:tc>
          <w:tcPr>
            <w:tcW w:w="603" w:type="pct"/>
            <w:tcBorders>
              <w:top w:val="single" w:sz="4" w:space="0" w:color="auto"/>
            </w:tcBorders>
            <w:shd w:val="clear" w:color="auto" w:fill="auto"/>
          </w:tcPr>
          <w:p w14:paraId="7C263C9D" w14:textId="77777777" w:rsidR="00634EC3" w:rsidRPr="00983A81" w:rsidRDefault="00634EC3" w:rsidP="003E0E0F">
            <w:pPr>
              <w:spacing w:line="276" w:lineRule="auto"/>
              <w:cnfStyle w:val="100000000000" w:firstRow="1" w:lastRow="0" w:firstColumn="0" w:lastColumn="0" w:oddVBand="0" w:evenVBand="0" w:oddHBand="0" w:evenHBand="0" w:firstRowFirstColumn="0" w:firstRowLastColumn="0" w:lastRowFirstColumn="0" w:lastRowLastColumn="0"/>
              <w:rPr>
                <w:b/>
                <w:szCs w:val="24"/>
              </w:rPr>
            </w:pPr>
            <w:r w:rsidRPr="00983A81">
              <w:rPr>
                <w:b/>
                <w:szCs w:val="24"/>
              </w:rPr>
              <w:t>Min</w:t>
            </w:r>
          </w:p>
        </w:tc>
        <w:tc>
          <w:tcPr>
            <w:tcW w:w="559" w:type="pct"/>
            <w:tcBorders>
              <w:top w:val="single" w:sz="4" w:space="0" w:color="auto"/>
            </w:tcBorders>
            <w:shd w:val="clear" w:color="auto" w:fill="auto"/>
          </w:tcPr>
          <w:p w14:paraId="61F04633" w14:textId="77777777" w:rsidR="00634EC3" w:rsidRPr="00983A81" w:rsidRDefault="00634EC3" w:rsidP="003E0E0F">
            <w:pPr>
              <w:spacing w:line="276" w:lineRule="auto"/>
              <w:cnfStyle w:val="100000000000" w:firstRow="1" w:lastRow="0" w:firstColumn="0" w:lastColumn="0" w:oddVBand="0" w:evenVBand="0" w:oddHBand="0" w:evenHBand="0" w:firstRowFirstColumn="0" w:firstRowLastColumn="0" w:lastRowFirstColumn="0" w:lastRowLastColumn="0"/>
              <w:rPr>
                <w:b/>
                <w:szCs w:val="24"/>
              </w:rPr>
            </w:pPr>
            <w:r w:rsidRPr="00983A81">
              <w:rPr>
                <w:b/>
                <w:szCs w:val="24"/>
              </w:rPr>
              <w:t>Max</w:t>
            </w:r>
          </w:p>
        </w:tc>
        <w:tc>
          <w:tcPr>
            <w:tcW w:w="967" w:type="pct"/>
            <w:tcBorders>
              <w:top w:val="single" w:sz="4" w:space="0" w:color="auto"/>
              <w:right w:val="single" w:sz="4" w:space="0" w:color="auto"/>
            </w:tcBorders>
            <w:shd w:val="clear" w:color="auto" w:fill="auto"/>
          </w:tcPr>
          <w:p w14:paraId="59C1F369" w14:textId="77777777" w:rsidR="00634EC3" w:rsidRPr="00983A81" w:rsidRDefault="00634EC3" w:rsidP="003E0E0F">
            <w:pPr>
              <w:spacing w:line="276" w:lineRule="auto"/>
              <w:cnfStyle w:val="100000000000" w:firstRow="1" w:lastRow="0" w:firstColumn="0" w:lastColumn="0" w:oddVBand="0" w:evenVBand="0" w:oddHBand="0" w:evenHBand="0" w:firstRowFirstColumn="0" w:firstRowLastColumn="0" w:lastRowFirstColumn="0" w:lastRowLastColumn="0"/>
              <w:rPr>
                <w:b/>
                <w:szCs w:val="24"/>
              </w:rPr>
            </w:pPr>
            <w:r w:rsidRPr="00983A81">
              <w:rPr>
                <w:b/>
                <w:szCs w:val="24"/>
              </w:rPr>
              <w:t>Observations</w:t>
            </w:r>
          </w:p>
        </w:tc>
      </w:tr>
      <w:tr w:rsidR="007D4874" w:rsidRPr="00983A81" w14:paraId="5510994D"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28956A67" w14:textId="77777777" w:rsidR="00634EC3" w:rsidRPr="00983A81" w:rsidRDefault="00634EC3" w:rsidP="003E0E0F">
            <w:pPr>
              <w:spacing w:line="276" w:lineRule="auto"/>
              <w:rPr>
                <w:szCs w:val="24"/>
              </w:rPr>
            </w:pPr>
          </w:p>
        </w:tc>
        <w:tc>
          <w:tcPr>
            <w:tcW w:w="587" w:type="pct"/>
            <w:shd w:val="clear" w:color="auto" w:fill="auto"/>
          </w:tcPr>
          <w:p w14:paraId="071FBC8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678F39A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7CA29D6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057C8A2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15CBB91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43880AB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1D199160"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8D5F1FD" w14:textId="77777777" w:rsidR="00634EC3" w:rsidRPr="00983A81" w:rsidRDefault="00634EC3" w:rsidP="003E0E0F">
            <w:pPr>
              <w:spacing w:line="276" w:lineRule="auto"/>
              <w:rPr>
                <w:szCs w:val="24"/>
              </w:rPr>
            </w:pPr>
            <w:r w:rsidRPr="00983A81">
              <w:rPr>
                <w:szCs w:val="24"/>
              </w:rPr>
              <w:t>Current Legal</w:t>
            </w:r>
          </w:p>
        </w:tc>
        <w:tc>
          <w:tcPr>
            <w:tcW w:w="587" w:type="pct"/>
            <w:shd w:val="clear" w:color="auto" w:fill="auto"/>
          </w:tcPr>
          <w:p w14:paraId="42B1810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2EAED43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0.7198</w:t>
            </w:r>
          </w:p>
        </w:tc>
        <w:tc>
          <w:tcPr>
            <w:tcW w:w="692" w:type="pct"/>
            <w:shd w:val="clear" w:color="auto" w:fill="auto"/>
          </w:tcPr>
          <w:p w14:paraId="040FF51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0.4491</w:t>
            </w:r>
          </w:p>
        </w:tc>
        <w:tc>
          <w:tcPr>
            <w:tcW w:w="603" w:type="pct"/>
            <w:shd w:val="clear" w:color="auto" w:fill="auto"/>
          </w:tcPr>
          <w:p w14:paraId="7339FBD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w:t>
            </w:r>
          </w:p>
        </w:tc>
        <w:tc>
          <w:tcPr>
            <w:tcW w:w="559" w:type="pct"/>
            <w:shd w:val="clear" w:color="auto" w:fill="auto"/>
          </w:tcPr>
          <w:p w14:paraId="127E954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w:t>
            </w:r>
          </w:p>
        </w:tc>
        <w:tc>
          <w:tcPr>
            <w:tcW w:w="967" w:type="pct"/>
            <w:tcBorders>
              <w:right w:val="single" w:sz="4" w:space="0" w:color="auto"/>
            </w:tcBorders>
            <w:shd w:val="clear" w:color="auto" w:fill="auto"/>
          </w:tcPr>
          <w:p w14:paraId="1D31DDE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4918</w:t>
            </w:r>
          </w:p>
        </w:tc>
      </w:tr>
      <w:tr w:rsidR="007D4874" w:rsidRPr="00983A81" w14:paraId="68EB84EA"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8EACFC9" w14:textId="77777777" w:rsidR="00634EC3" w:rsidRPr="00983A81" w:rsidRDefault="00634EC3" w:rsidP="003E0E0F">
            <w:pPr>
              <w:spacing w:line="276" w:lineRule="auto"/>
              <w:rPr>
                <w:szCs w:val="24"/>
              </w:rPr>
            </w:pPr>
            <w:r w:rsidRPr="00983A81">
              <w:rPr>
                <w:szCs w:val="24"/>
              </w:rPr>
              <w:t xml:space="preserve">Status </w:t>
            </w:r>
            <w:r>
              <w:rPr>
                <w:szCs w:val="24"/>
              </w:rPr>
              <w:t>(</w:t>
            </w:r>
            <w:r w:rsidRPr="00983A81">
              <w:rPr>
                <w:szCs w:val="24"/>
              </w:rPr>
              <w:t>Dummy</w:t>
            </w:r>
            <w:r>
              <w:rPr>
                <w:szCs w:val="24"/>
              </w:rPr>
              <w:t>)</w:t>
            </w:r>
          </w:p>
        </w:tc>
        <w:tc>
          <w:tcPr>
            <w:tcW w:w="587" w:type="pct"/>
            <w:shd w:val="clear" w:color="auto" w:fill="auto"/>
          </w:tcPr>
          <w:p w14:paraId="63324FE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1C300A6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7A0B5E0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0.4080</w:t>
            </w:r>
          </w:p>
        </w:tc>
        <w:tc>
          <w:tcPr>
            <w:tcW w:w="603" w:type="pct"/>
            <w:shd w:val="clear" w:color="auto" w:fill="auto"/>
          </w:tcPr>
          <w:p w14:paraId="2122A86E"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w:t>
            </w:r>
          </w:p>
        </w:tc>
        <w:tc>
          <w:tcPr>
            <w:tcW w:w="559" w:type="pct"/>
            <w:shd w:val="clear" w:color="auto" w:fill="auto"/>
          </w:tcPr>
          <w:p w14:paraId="49A449DE"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w:t>
            </w:r>
          </w:p>
        </w:tc>
        <w:tc>
          <w:tcPr>
            <w:tcW w:w="967" w:type="pct"/>
            <w:tcBorders>
              <w:right w:val="single" w:sz="4" w:space="0" w:color="auto"/>
            </w:tcBorders>
            <w:shd w:val="clear" w:color="auto" w:fill="auto"/>
          </w:tcPr>
          <w:p w14:paraId="3EB2B58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911</w:t>
            </w:r>
          </w:p>
        </w:tc>
      </w:tr>
      <w:tr w:rsidR="007D4874" w:rsidRPr="00983A81" w14:paraId="1774DF4A"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2E56E2AB" w14:textId="77777777" w:rsidR="00634EC3" w:rsidRPr="00983A81" w:rsidRDefault="00634EC3" w:rsidP="003E0E0F">
            <w:pPr>
              <w:spacing w:line="276" w:lineRule="auto"/>
              <w:rPr>
                <w:szCs w:val="24"/>
              </w:rPr>
            </w:pPr>
          </w:p>
        </w:tc>
        <w:tc>
          <w:tcPr>
            <w:tcW w:w="587" w:type="pct"/>
            <w:shd w:val="clear" w:color="auto" w:fill="auto"/>
          </w:tcPr>
          <w:p w14:paraId="564295E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537DD2A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1D08182F"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0.0130</w:t>
            </w:r>
          </w:p>
        </w:tc>
        <w:tc>
          <w:tcPr>
            <w:tcW w:w="603" w:type="pct"/>
            <w:shd w:val="clear" w:color="auto" w:fill="auto"/>
          </w:tcPr>
          <w:p w14:paraId="5A9474A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-0.1135</w:t>
            </w:r>
          </w:p>
        </w:tc>
        <w:tc>
          <w:tcPr>
            <w:tcW w:w="559" w:type="pct"/>
            <w:shd w:val="clear" w:color="auto" w:fill="auto"/>
          </w:tcPr>
          <w:p w14:paraId="0C4CF42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0.8865</w:t>
            </w:r>
          </w:p>
        </w:tc>
        <w:tc>
          <w:tcPr>
            <w:tcW w:w="967" w:type="pct"/>
            <w:tcBorders>
              <w:right w:val="single" w:sz="4" w:space="0" w:color="auto"/>
            </w:tcBorders>
            <w:shd w:val="clear" w:color="auto" w:fill="auto"/>
          </w:tcPr>
          <w:p w14:paraId="7F3E635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5.3985</w:t>
            </w:r>
          </w:p>
        </w:tc>
      </w:tr>
      <w:tr w:rsidR="007D4874" w:rsidRPr="00983A81" w14:paraId="59D08CAF"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9A6CAA8" w14:textId="77777777" w:rsidR="00634EC3" w:rsidRPr="00983A81" w:rsidRDefault="00634EC3" w:rsidP="003E0E0F">
            <w:pPr>
              <w:spacing w:line="276" w:lineRule="auto"/>
              <w:rPr>
                <w:szCs w:val="24"/>
              </w:rPr>
            </w:pPr>
          </w:p>
        </w:tc>
        <w:tc>
          <w:tcPr>
            <w:tcW w:w="587" w:type="pct"/>
            <w:shd w:val="clear" w:color="auto" w:fill="auto"/>
          </w:tcPr>
          <w:p w14:paraId="0EB998C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0125D23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22FD96D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7590854E"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4456E67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54D3BB98"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01A4A0F6"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30B206F1" w14:textId="77777777" w:rsidR="00634EC3" w:rsidRPr="00983A81" w:rsidRDefault="00634EC3" w:rsidP="003E0E0F">
            <w:pPr>
              <w:spacing w:line="276" w:lineRule="auto"/>
              <w:rPr>
                <w:szCs w:val="24"/>
              </w:rPr>
            </w:pPr>
            <w:r w:rsidRPr="00983A81">
              <w:rPr>
                <w:szCs w:val="24"/>
              </w:rPr>
              <w:t xml:space="preserve">Age </w:t>
            </w:r>
            <w:r>
              <w:rPr>
                <w:szCs w:val="24"/>
              </w:rPr>
              <w:t>(</w:t>
            </w:r>
            <w:r w:rsidRPr="00983A81">
              <w:rPr>
                <w:szCs w:val="24"/>
              </w:rPr>
              <w:t>Dummy</w:t>
            </w:r>
            <w:r>
              <w:rPr>
                <w:szCs w:val="24"/>
              </w:rPr>
              <w:t>)</w:t>
            </w:r>
          </w:p>
        </w:tc>
        <w:tc>
          <w:tcPr>
            <w:tcW w:w="587" w:type="pct"/>
            <w:shd w:val="clear" w:color="auto" w:fill="auto"/>
          </w:tcPr>
          <w:p w14:paraId="38C11E9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63BEAAC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1.6987</w:t>
            </w:r>
          </w:p>
        </w:tc>
        <w:tc>
          <w:tcPr>
            <w:tcW w:w="692" w:type="pct"/>
            <w:shd w:val="clear" w:color="auto" w:fill="auto"/>
          </w:tcPr>
          <w:p w14:paraId="24AA185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0.8327</w:t>
            </w:r>
          </w:p>
        </w:tc>
        <w:tc>
          <w:tcPr>
            <w:tcW w:w="603" w:type="pct"/>
            <w:shd w:val="clear" w:color="auto" w:fill="auto"/>
          </w:tcPr>
          <w:p w14:paraId="2C74941A"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w:t>
            </w:r>
          </w:p>
        </w:tc>
        <w:tc>
          <w:tcPr>
            <w:tcW w:w="559" w:type="pct"/>
            <w:shd w:val="clear" w:color="auto" w:fill="auto"/>
          </w:tcPr>
          <w:p w14:paraId="0F6282C3"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w:t>
            </w:r>
          </w:p>
        </w:tc>
        <w:tc>
          <w:tcPr>
            <w:tcW w:w="967" w:type="pct"/>
            <w:tcBorders>
              <w:right w:val="single" w:sz="4" w:space="0" w:color="auto"/>
            </w:tcBorders>
            <w:shd w:val="clear" w:color="auto" w:fill="auto"/>
          </w:tcPr>
          <w:p w14:paraId="513F3A1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4918</w:t>
            </w:r>
          </w:p>
        </w:tc>
      </w:tr>
      <w:tr w:rsidR="007D4874" w:rsidRPr="00983A81" w14:paraId="6647D5A4"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23BFA29C" w14:textId="77777777" w:rsidR="00634EC3" w:rsidRPr="00983A81" w:rsidRDefault="00634EC3" w:rsidP="003E0E0F">
            <w:pPr>
              <w:spacing w:line="276" w:lineRule="auto"/>
              <w:rPr>
                <w:szCs w:val="24"/>
              </w:rPr>
            </w:pPr>
          </w:p>
        </w:tc>
        <w:tc>
          <w:tcPr>
            <w:tcW w:w="587" w:type="pct"/>
            <w:shd w:val="clear" w:color="auto" w:fill="auto"/>
          </w:tcPr>
          <w:p w14:paraId="09CDF8B8"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3DCB52BE"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3C32257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0.6703</w:t>
            </w:r>
          </w:p>
        </w:tc>
        <w:tc>
          <w:tcPr>
            <w:tcW w:w="603" w:type="pct"/>
            <w:shd w:val="clear" w:color="auto" w:fill="auto"/>
          </w:tcPr>
          <w:p w14:paraId="6AD33D1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w:t>
            </w:r>
          </w:p>
        </w:tc>
        <w:tc>
          <w:tcPr>
            <w:tcW w:w="559" w:type="pct"/>
            <w:shd w:val="clear" w:color="auto" w:fill="auto"/>
          </w:tcPr>
          <w:p w14:paraId="44DC4BF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3</w:t>
            </w:r>
          </w:p>
        </w:tc>
        <w:tc>
          <w:tcPr>
            <w:tcW w:w="967" w:type="pct"/>
            <w:tcBorders>
              <w:right w:val="single" w:sz="4" w:space="0" w:color="auto"/>
            </w:tcBorders>
            <w:shd w:val="clear" w:color="auto" w:fill="auto"/>
          </w:tcPr>
          <w:p w14:paraId="525A1E4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911</w:t>
            </w:r>
          </w:p>
        </w:tc>
      </w:tr>
      <w:tr w:rsidR="007D4874" w:rsidRPr="00983A81" w14:paraId="5017A3B3"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6CDBE498" w14:textId="77777777" w:rsidR="00634EC3" w:rsidRPr="00983A81" w:rsidRDefault="00634EC3" w:rsidP="003E0E0F">
            <w:pPr>
              <w:spacing w:line="276" w:lineRule="auto"/>
              <w:rPr>
                <w:szCs w:val="24"/>
              </w:rPr>
            </w:pPr>
          </w:p>
        </w:tc>
        <w:tc>
          <w:tcPr>
            <w:tcW w:w="587" w:type="pct"/>
            <w:shd w:val="clear" w:color="auto" w:fill="auto"/>
          </w:tcPr>
          <w:p w14:paraId="4ADD8A43"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300E0DAC"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262F577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0.5743</w:t>
            </w:r>
          </w:p>
        </w:tc>
        <w:tc>
          <w:tcPr>
            <w:tcW w:w="603" w:type="pct"/>
            <w:shd w:val="clear" w:color="auto" w:fill="auto"/>
          </w:tcPr>
          <w:p w14:paraId="013ABA1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0.0987</w:t>
            </w:r>
          </w:p>
        </w:tc>
        <w:tc>
          <w:tcPr>
            <w:tcW w:w="559" w:type="pct"/>
            <w:shd w:val="clear" w:color="auto" w:fill="auto"/>
          </w:tcPr>
          <w:p w14:paraId="45009EC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3.5934</w:t>
            </w:r>
          </w:p>
        </w:tc>
        <w:tc>
          <w:tcPr>
            <w:tcW w:w="967" w:type="pct"/>
            <w:tcBorders>
              <w:right w:val="single" w:sz="4" w:space="0" w:color="auto"/>
            </w:tcBorders>
            <w:shd w:val="clear" w:color="auto" w:fill="auto"/>
          </w:tcPr>
          <w:p w14:paraId="43D7FD2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5.3985</w:t>
            </w:r>
          </w:p>
        </w:tc>
      </w:tr>
      <w:tr w:rsidR="007D4874" w:rsidRPr="00983A81" w14:paraId="6377113A"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35EFDE66" w14:textId="77777777" w:rsidR="00634EC3" w:rsidRPr="00983A81" w:rsidRDefault="00634EC3" w:rsidP="003E0E0F">
            <w:pPr>
              <w:spacing w:line="276" w:lineRule="auto"/>
              <w:rPr>
                <w:szCs w:val="24"/>
              </w:rPr>
            </w:pPr>
          </w:p>
        </w:tc>
        <w:tc>
          <w:tcPr>
            <w:tcW w:w="587" w:type="pct"/>
            <w:shd w:val="clear" w:color="auto" w:fill="auto"/>
          </w:tcPr>
          <w:p w14:paraId="4E33B6C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30F72A29"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1519402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04BE3F0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1183DD5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0ACFDDA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75F4FE46"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69DCDBCC" w14:textId="77777777" w:rsidR="00634EC3" w:rsidRPr="00983A81" w:rsidRDefault="00634EC3" w:rsidP="003E0E0F">
            <w:pPr>
              <w:spacing w:line="276" w:lineRule="auto"/>
              <w:rPr>
                <w:szCs w:val="24"/>
              </w:rPr>
            </w:pPr>
            <w:r w:rsidRPr="00983A81">
              <w:rPr>
                <w:szCs w:val="24"/>
              </w:rPr>
              <w:t xml:space="preserve">Region </w:t>
            </w:r>
            <w:r>
              <w:rPr>
                <w:szCs w:val="24"/>
              </w:rPr>
              <w:t>(</w:t>
            </w:r>
            <w:r w:rsidRPr="00983A81">
              <w:rPr>
                <w:szCs w:val="24"/>
              </w:rPr>
              <w:t>Dummy</w:t>
            </w:r>
            <w:r>
              <w:rPr>
                <w:szCs w:val="24"/>
              </w:rPr>
              <w:t>)</w:t>
            </w:r>
          </w:p>
        </w:tc>
        <w:tc>
          <w:tcPr>
            <w:tcW w:w="587" w:type="pct"/>
            <w:shd w:val="clear" w:color="auto" w:fill="auto"/>
          </w:tcPr>
          <w:p w14:paraId="58E9195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017F197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3.5043</w:t>
            </w:r>
          </w:p>
        </w:tc>
        <w:tc>
          <w:tcPr>
            <w:tcW w:w="692" w:type="pct"/>
            <w:shd w:val="clear" w:color="auto" w:fill="auto"/>
          </w:tcPr>
          <w:p w14:paraId="03FFEC4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1.5450</w:t>
            </w:r>
          </w:p>
        </w:tc>
        <w:tc>
          <w:tcPr>
            <w:tcW w:w="603" w:type="pct"/>
            <w:shd w:val="clear" w:color="auto" w:fill="auto"/>
          </w:tcPr>
          <w:p w14:paraId="0C182CA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w:t>
            </w:r>
          </w:p>
        </w:tc>
        <w:tc>
          <w:tcPr>
            <w:tcW w:w="559" w:type="pct"/>
            <w:shd w:val="clear" w:color="auto" w:fill="auto"/>
          </w:tcPr>
          <w:p w14:paraId="16768F65"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5</w:t>
            </w:r>
          </w:p>
        </w:tc>
        <w:tc>
          <w:tcPr>
            <w:tcW w:w="967" w:type="pct"/>
            <w:tcBorders>
              <w:right w:val="single" w:sz="4" w:space="0" w:color="auto"/>
            </w:tcBorders>
            <w:shd w:val="clear" w:color="auto" w:fill="auto"/>
          </w:tcPr>
          <w:p w14:paraId="5D67E625"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4918</w:t>
            </w:r>
          </w:p>
        </w:tc>
      </w:tr>
      <w:tr w:rsidR="007D4874" w:rsidRPr="00983A81" w14:paraId="43D459D1"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52CBB7DE" w14:textId="77777777" w:rsidR="00634EC3" w:rsidRPr="00983A81" w:rsidRDefault="00634EC3" w:rsidP="003E0E0F">
            <w:pPr>
              <w:spacing w:line="276" w:lineRule="auto"/>
              <w:rPr>
                <w:szCs w:val="24"/>
              </w:rPr>
            </w:pPr>
          </w:p>
        </w:tc>
        <w:tc>
          <w:tcPr>
            <w:tcW w:w="587" w:type="pct"/>
            <w:shd w:val="clear" w:color="auto" w:fill="auto"/>
          </w:tcPr>
          <w:p w14:paraId="6C59A3F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45F48FF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524441D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1.5677</w:t>
            </w:r>
          </w:p>
        </w:tc>
        <w:tc>
          <w:tcPr>
            <w:tcW w:w="603" w:type="pct"/>
            <w:shd w:val="clear" w:color="auto" w:fill="auto"/>
          </w:tcPr>
          <w:p w14:paraId="1F9F7F2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w:t>
            </w:r>
          </w:p>
        </w:tc>
        <w:tc>
          <w:tcPr>
            <w:tcW w:w="559" w:type="pct"/>
            <w:shd w:val="clear" w:color="auto" w:fill="auto"/>
          </w:tcPr>
          <w:p w14:paraId="44DE843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5</w:t>
            </w:r>
          </w:p>
        </w:tc>
        <w:tc>
          <w:tcPr>
            <w:tcW w:w="967" w:type="pct"/>
            <w:tcBorders>
              <w:right w:val="single" w:sz="4" w:space="0" w:color="auto"/>
            </w:tcBorders>
            <w:shd w:val="clear" w:color="auto" w:fill="auto"/>
          </w:tcPr>
          <w:p w14:paraId="27821109"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911</w:t>
            </w:r>
          </w:p>
        </w:tc>
      </w:tr>
      <w:tr w:rsidR="007D4874" w:rsidRPr="00983A81" w14:paraId="738042CB"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44866EB5" w14:textId="77777777" w:rsidR="00634EC3" w:rsidRPr="00983A81" w:rsidRDefault="00634EC3" w:rsidP="003E0E0F">
            <w:pPr>
              <w:spacing w:line="276" w:lineRule="auto"/>
              <w:rPr>
                <w:szCs w:val="24"/>
              </w:rPr>
            </w:pPr>
          </w:p>
        </w:tc>
        <w:tc>
          <w:tcPr>
            <w:tcW w:w="587" w:type="pct"/>
            <w:shd w:val="clear" w:color="auto" w:fill="auto"/>
          </w:tcPr>
          <w:p w14:paraId="7451F00A"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0672AB1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781B5E8F"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w:t>
            </w:r>
          </w:p>
        </w:tc>
        <w:tc>
          <w:tcPr>
            <w:tcW w:w="603" w:type="pct"/>
            <w:shd w:val="clear" w:color="auto" w:fill="auto"/>
          </w:tcPr>
          <w:p w14:paraId="4D078AC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3.5043</w:t>
            </w:r>
          </w:p>
        </w:tc>
        <w:tc>
          <w:tcPr>
            <w:tcW w:w="559" w:type="pct"/>
            <w:shd w:val="clear" w:color="auto" w:fill="auto"/>
          </w:tcPr>
          <w:p w14:paraId="35641E2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3.5043</w:t>
            </w:r>
          </w:p>
        </w:tc>
        <w:tc>
          <w:tcPr>
            <w:tcW w:w="967" w:type="pct"/>
            <w:tcBorders>
              <w:right w:val="single" w:sz="4" w:space="0" w:color="auto"/>
            </w:tcBorders>
            <w:shd w:val="clear" w:color="auto" w:fill="auto"/>
          </w:tcPr>
          <w:p w14:paraId="5CE5B5E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5.3985</w:t>
            </w:r>
          </w:p>
        </w:tc>
      </w:tr>
      <w:tr w:rsidR="007D4874" w:rsidRPr="00983A81" w14:paraId="3BA46F57"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1A8F6AD2" w14:textId="77777777" w:rsidR="00634EC3" w:rsidRPr="00983A81" w:rsidRDefault="00634EC3" w:rsidP="003E0E0F">
            <w:pPr>
              <w:spacing w:line="276" w:lineRule="auto"/>
              <w:rPr>
                <w:szCs w:val="24"/>
              </w:rPr>
            </w:pPr>
          </w:p>
        </w:tc>
        <w:tc>
          <w:tcPr>
            <w:tcW w:w="587" w:type="pct"/>
            <w:shd w:val="clear" w:color="auto" w:fill="auto"/>
          </w:tcPr>
          <w:p w14:paraId="0B01C48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5DDDE28F"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24496E8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3021FE1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231CC7E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222D370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6FAAFAC2"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2E50431C" w14:textId="77777777" w:rsidR="00634EC3" w:rsidRPr="00983A81" w:rsidRDefault="00634EC3" w:rsidP="003E0E0F">
            <w:pPr>
              <w:spacing w:line="276" w:lineRule="auto"/>
              <w:rPr>
                <w:szCs w:val="24"/>
              </w:rPr>
            </w:pPr>
            <w:r w:rsidRPr="00983A81">
              <w:rPr>
                <w:szCs w:val="24"/>
              </w:rPr>
              <w:t>Size (</w:t>
            </w:r>
            <w:proofErr w:type="spellStart"/>
            <w:r w:rsidRPr="00983A81">
              <w:rPr>
                <w:szCs w:val="24"/>
              </w:rPr>
              <w:t>lassets</w:t>
            </w:r>
            <w:proofErr w:type="spellEnd"/>
            <w:r w:rsidRPr="00983A81">
              <w:rPr>
                <w:szCs w:val="24"/>
              </w:rPr>
              <w:t>)</w:t>
            </w:r>
          </w:p>
        </w:tc>
        <w:tc>
          <w:tcPr>
            <w:tcW w:w="587" w:type="pct"/>
            <w:shd w:val="clear" w:color="auto" w:fill="auto"/>
          </w:tcPr>
          <w:p w14:paraId="582B4F3B"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108B5DE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14.8748</w:t>
            </w:r>
          </w:p>
        </w:tc>
        <w:tc>
          <w:tcPr>
            <w:tcW w:w="692" w:type="pct"/>
            <w:shd w:val="clear" w:color="auto" w:fill="auto"/>
          </w:tcPr>
          <w:p w14:paraId="4D9E4E1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2.2571</w:t>
            </w:r>
          </w:p>
        </w:tc>
        <w:tc>
          <w:tcPr>
            <w:tcW w:w="603" w:type="pct"/>
            <w:shd w:val="clear" w:color="auto" w:fill="auto"/>
          </w:tcPr>
          <w:p w14:paraId="4D26CD2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0.1398</w:t>
            </w:r>
          </w:p>
        </w:tc>
        <w:tc>
          <w:tcPr>
            <w:tcW w:w="559" w:type="pct"/>
            <w:shd w:val="clear" w:color="auto" w:fill="auto"/>
          </w:tcPr>
          <w:p w14:paraId="64983FBB"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22.9786</w:t>
            </w:r>
          </w:p>
        </w:tc>
        <w:tc>
          <w:tcPr>
            <w:tcW w:w="967" w:type="pct"/>
            <w:tcBorders>
              <w:right w:val="single" w:sz="4" w:space="0" w:color="auto"/>
            </w:tcBorders>
            <w:shd w:val="clear" w:color="auto" w:fill="auto"/>
          </w:tcPr>
          <w:p w14:paraId="3FD1D37B"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4738</w:t>
            </w:r>
          </w:p>
        </w:tc>
      </w:tr>
      <w:tr w:rsidR="007D4874" w:rsidRPr="00983A81" w14:paraId="28A91D60"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0D62E5F5" w14:textId="77777777" w:rsidR="00634EC3" w:rsidRPr="00983A81" w:rsidRDefault="00634EC3" w:rsidP="003E0E0F">
            <w:pPr>
              <w:spacing w:line="276" w:lineRule="auto"/>
              <w:rPr>
                <w:szCs w:val="24"/>
              </w:rPr>
            </w:pPr>
          </w:p>
        </w:tc>
        <w:tc>
          <w:tcPr>
            <w:tcW w:w="587" w:type="pct"/>
            <w:shd w:val="clear" w:color="auto" w:fill="auto"/>
          </w:tcPr>
          <w:p w14:paraId="261C96B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31CD97A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373EF67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2.2082</w:t>
            </w:r>
          </w:p>
        </w:tc>
        <w:tc>
          <w:tcPr>
            <w:tcW w:w="603" w:type="pct"/>
            <w:shd w:val="clear" w:color="auto" w:fill="auto"/>
          </w:tcPr>
          <w:p w14:paraId="05815008"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3.0067</w:t>
            </w:r>
          </w:p>
        </w:tc>
        <w:tc>
          <w:tcPr>
            <w:tcW w:w="559" w:type="pct"/>
            <w:shd w:val="clear" w:color="auto" w:fill="auto"/>
          </w:tcPr>
          <w:p w14:paraId="4CE7E38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22.6132</w:t>
            </w:r>
          </w:p>
        </w:tc>
        <w:tc>
          <w:tcPr>
            <w:tcW w:w="967" w:type="pct"/>
            <w:tcBorders>
              <w:right w:val="single" w:sz="4" w:space="0" w:color="auto"/>
            </w:tcBorders>
            <w:shd w:val="clear" w:color="auto" w:fill="auto"/>
          </w:tcPr>
          <w:p w14:paraId="770F7FD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841</w:t>
            </w:r>
          </w:p>
        </w:tc>
      </w:tr>
      <w:tr w:rsidR="007D4874" w:rsidRPr="00983A81" w14:paraId="29F30ED1"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AD8A87D" w14:textId="77777777" w:rsidR="00634EC3" w:rsidRPr="00983A81" w:rsidRDefault="00634EC3" w:rsidP="003E0E0F">
            <w:pPr>
              <w:spacing w:line="276" w:lineRule="auto"/>
              <w:rPr>
                <w:szCs w:val="24"/>
              </w:rPr>
            </w:pPr>
          </w:p>
        </w:tc>
        <w:tc>
          <w:tcPr>
            <w:tcW w:w="587" w:type="pct"/>
            <w:shd w:val="clear" w:color="auto" w:fill="auto"/>
          </w:tcPr>
          <w:p w14:paraId="64C4C19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6B43933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1A72E11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0.8051</w:t>
            </w:r>
          </w:p>
        </w:tc>
        <w:tc>
          <w:tcPr>
            <w:tcW w:w="603" w:type="pct"/>
            <w:shd w:val="clear" w:color="auto" w:fill="auto"/>
          </w:tcPr>
          <w:p w14:paraId="4432405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9.5202</w:t>
            </w:r>
          </w:p>
        </w:tc>
        <w:tc>
          <w:tcPr>
            <w:tcW w:w="559" w:type="pct"/>
            <w:shd w:val="clear" w:color="auto" w:fill="auto"/>
          </w:tcPr>
          <w:p w14:paraId="56DB35A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19.3762</w:t>
            </w:r>
          </w:p>
        </w:tc>
        <w:tc>
          <w:tcPr>
            <w:tcW w:w="967" w:type="pct"/>
            <w:tcBorders>
              <w:right w:val="single" w:sz="4" w:space="0" w:color="auto"/>
            </w:tcBorders>
            <w:shd w:val="clear" w:color="auto" w:fill="auto"/>
          </w:tcPr>
          <w:p w14:paraId="32A61EA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5.6338</w:t>
            </w:r>
          </w:p>
        </w:tc>
      </w:tr>
      <w:tr w:rsidR="007D4874" w:rsidRPr="00983A81" w14:paraId="55FCAD4E"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6C8C1E19" w14:textId="77777777" w:rsidR="00634EC3" w:rsidRPr="00983A81" w:rsidRDefault="00634EC3" w:rsidP="003E0E0F">
            <w:pPr>
              <w:spacing w:line="276" w:lineRule="auto"/>
              <w:rPr>
                <w:szCs w:val="24"/>
              </w:rPr>
            </w:pPr>
          </w:p>
        </w:tc>
        <w:tc>
          <w:tcPr>
            <w:tcW w:w="587" w:type="pct"/>
            <w:shd w:val="clear" w:color="auto" w:fill="auto"/>
          </w:tcPr>
          <w:p w14:paraId="566B8B6F"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76D0FFF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4AF843A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31483C0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3B32C02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2501ED6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1FE36E41"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599167F8" w14:textId="77777777" w:rsidR="00634EC3" w:rsidRPr="00983A81" w:rsidRDefault="00634EC3" w:rsidP="003E0E0F">
            <w:pPr>
              <w:spacing w:line="276" w:lineRule="auto"/>
              <w:rPr>
                <w:szCs w:val="24"/>
              </w:rPr>
            </w:pPr>
            <w:r w:rsidRPr="00983A81">
              <w:rPr>
                <w:szCs w:val="24"/>
              </w:rPr>
              <w:t>GDP Growth</w:t>
            </w:r>
          </w:p>
        </w:tc>
        <w:tc>
          <w:tcPr>
            <w:tcW w:w="587" w:type="pct"/>
            <w:shd w:val="clear" w:color="auto" w:fill="auto"/>
          </w:tcPr>
          <w:p w14:paraId="3A4E7EB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70611D35"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5.3030</w:t>
            </w:r>
          </w:p>
        </w:tc>
        <w:tc>
          <w:tcPr>
            <w:tcW w:w="692" w:type="pct"/>
            <w:shd w:val="clear" w:color="auto" w:fill="auto"/>
          </w:tcPr>
          <w:p w14:paraId="58AA607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3.8446</w:t>
            </w:r>
          </w:p>
        </w:tc>
        <w:tc>
          <w:tcPr>
            <w:tcW w:w="603" w:type="pct"/>
            <w:shd w:val="clear" w:color="auto" w:fill="auto"/>
          </w:tcPr>
          <w:p w14:paraId="1B43390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-52.4275</w:t>
            </w:r>
          </w:p>
        </w:tc>
        <w:tc>
          <w:tcPr>
            <w:tcW w:w="559" w:type="pct"/>
            <w:shd w:val="clear" w:color="auto" w:fill="auto"/>
          </w:tcPr>
          <w:p w14:paraId="7CF08BAC"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33.6294</w:t>
            </w:r>
          </w:p>
        </w:tc>
        <w:tc>
          <w:tcPr>
            <w:tcW w:w="967" w:type="pct"/>
            <w:tcBorders>
              <w:right w:val="single" w:sz="4" w:space="0" w:color="auto"/>
            </w:tcBorders>
            <w:shd w:val="clear" w:color="auto" w:fill="auto"/>
          </w:tcPr>
          <w:p w14:paraId="332B518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4918</w:t>
            </w:r>
          </w:p>
        </w:tc>
      </w:tr>
      <w:tr w:rsidR="007D4874" w:rsidRPr="00983A81" w14:paraId="57399794"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3096EA7" w14:textId="77777777" w:rsidR="00634EC3" w:rsidRPr="00983A81" w:rsidRDefault="00634EC3" w:rsidP="003E0E0F">
            <w:pPr>
              <w:spacing w:line="276" w:lineRule="auto"/>
              <w:rPr>
                <w:szCs w:val="24"/>
              </w:rPr>
            </w:pPr>
          </w:p>
        </w:tc>
        <w:tc>
          <w:tcPr>
            <w:tcW w:w="587" w:type="pct"/>
            <w:shd w:val="clear" w:color="auto" w:fill="auto"/>
          </w:tcPr>
          <w:p w14:paraId="4BE701F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78433FF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46F9BB6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2.3382</w:t>
            </w:r>
          </w:p>
        </w:tc>
        <w:tc>
          <w:tcPr>
            <w:tcW w:w="603" w:type="pct"/>
            <w:shd w:val="clear" w:color="auto" w:fill="auto"/>
          </w:tcPr>
          <w:p w14:paraId="75971BC8"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-12.9446</w:t>
            </w:r>
          </w:p>
        </w:tc>
        <w:tc>
          <w:tcPr>
            <w:tcW w:w="559" w:type="pct"/>
            <w:shd w:val="clear" w:color="auto" w:fill="auto"/>
          </w:tcPr>
          <w:p w14:paraId="4111BECB"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14.0471</w:t>
            </w:r>
          </w:p>
        </w:tc>
        <w:tc>
          <w:tcPr>
            <w:tcW w:w="967" w:type="pct"/>
            <w:tcBorders>
              <w:right w:val="single" w:sz="4" w:space="0" w:color="auto"/>
            </w:tcBorders>
            <w:shd w:val="clear" w:color="auto" w:fill="auto"/>
          </w:tcPr>
          <w:p w14:paraId="60D1446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911</w:t>
            </w:r>
          </w:p>
        </w:tc>
      </w:tr>
      <w:tr w:rsidR="007D4874" w:rsidRPr="00983A81" w14:paraId="20291794"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5778EE24" w14:textId="77777777" w:rsidR="00634EC3" w:rsidRPr="00983A81" w:rsidRDefault="00634EC3" w:rsidP="003E0E0F">
            <w:pPr>
              <w:spacing w:line="276" w:lineRule="auto"/>
              <w:rPr>
                <w:szCs w:val="24"/>
              </w:rPr>
            </w:pPr>
          </w:p>
        </w:tc>
        <w:tc>
          <w:tcPr>
            <w:tcW w:w="587" w:type="pct"/>
            <w:shd w:val="clear" w:color="auto" w:fill="auto"/>
          </w:tcPr>
          <w:p w14:paraId="5554D21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320B9AB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023BFFDC"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3.2785</w:t>
            </w:r>
          </w:p>
        </w:tc>
        <w:tc>
          <w:tcPr>
            <w:tcW w:w="603" w:type="pct"/>
            <w:shd w:val="clear" w:color="auto" w:fill="auto"/>
          </w:tcPr>
          <w:p w14:paraId="52D33B1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-46.5989</w:t>
            </w:r>
          </w:p>
        </w:tc>
        <w:tc>
          <w:tcPr>
            <w:tcW w:w="559" w:type="pct"/>
            <w:shd w:val="clear" w:color="auto" w:fill="auto"/>
          </w:tcPr>
          <w:p w14:paraId="0C8DD21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41.3544</w:t>
            </w:r>
          </w:p>
        </w:tc>
        <w:tc>
          <w:tcPr>
            <w:tcW w:w="967" w:type="pct"/>
            <w:tcBorders>
              <w:right w:val="single" w:sz="4" w:space="0" w:color="auto"/>
            </w:tcBorders>
            <w:shd w:val="clear" w:color="auto" w:fill="auto"/>
          </w:tcPr>
          <w:p w14:paraId="37C1C82C"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5.3985</w:t>
            </w:r>
          </w:p>
        </w:tc>
      </w:tr>
      <w:tr w:rsidR="007D4874" w:rsidRPr="00983A81" w14:paraId="0228FC10"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637A4934" w14:textId="77777777" w:rsidR="00634EC3" w:rsidRPr="00983A81" w:rsidRDefault="00634EC3" w:rsidP="003E0E0F">
            <w:pPr>
              <w:spacing w:line="276" w:lineRule="auto"/>
              <w:rPr>
                <w:szCs w:val="24"/>
              </w:rPr>
            </w:pPr>
          </w:p>
        </w:tc>
        <w:tc>
          <w:tcPr>
            <w:tcW w:w="587" w:type="pct"/>
            <w:shd w:val="clear" w:color="auto" w:fill="auto"/>
          </w:tcPr>
          <w:p w14:paraId="655731D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5D1F2EA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104D0BE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76CDFA2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5702793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14F12519"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5F71FA52"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95AAC54" w14:textId="5C6E250A" w:rsidR="00634EC3" w:rsidRPr="00983A81" w:rsidRDefault="000F067F" w:rsidP="003E0E0F">
            <w:pPr>
              <w:spacing w:line="276" w:lineRule="auto"/>
              <w:rPr>
                <w:szCs w:val="24"/>
              </w:rPr>
            </w:pPr>
            <w:r w:rsidRPr="00983A81">
              <w:rPr>
                <w:szCs w:val="24"/>
              </w:rPr>
              <w:t>Institutional</w:t>
            </w:r>
            <w:r w:rsidR="00634EC3" w:rsidRPr="00983A81">
              <w:rPr>
                <w:szCs w:val="24"/>
              </w:rPr>
              <w:t xml:space="preserve"> </w:t>
            </w:r>
          </w:p>
        </w:tc>
        <w:tc>
          <w:tcPr>
            <w:tcW w:w="587" w:type="pct"/>
            <w:shd w:val="clear" w:color="auto" w:fill="auto"/>
          </w:tcPr>
          <w:p w14:paraId="26920D6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4C18EEC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-0.02013</w:t>
            </w:r>
          </w:p>
        </w:tc>
        <w:tc>
          <w:tcPr>
            <w:tcW w:w="692" w:type="pct"/>
            <w:shd w:val="clear" w:color="auto" w:fill="auto"/>
          </w:tcPr>
          <w:p w14:paraId="738D1145"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0.1908</w:t>
            </w:r>
          </w:p>
        </w:tc>
        <w:tc>
          <w:tcPr>
            <w:tcW w:w="603" w:type="pct"/>
            <w:shd w:val="clear" w:color="auto" w:fill="auto"/>
          </w:tcPr>
          <w:p w14:paraId="05DC812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-0.9316</w:t>
            </w:r>
          </w:p>
        </w:tc>
        <w:tc>
          <w:tcPr>
            <w:tcW w:w="559" w:type="pct"/>
            <w:shd w:val="clear" w:color="auto" w:fill="auto"/>
          </w:tcPr>
          <w:p w14:paraId="7752623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1.0440</w:t>
            </w:r>
          </w:p>
        </w:tc>
        <w:tc>
          <w:tcPr>
            <w:tcW w:w="967" w:type="pct"/>
            <w:tcBorders>
              <w:right w:val="single" w:sz="4" w:space="0" w:color="auto"/>
            </w:tcBorders>
            <w:shd w:val="clear" w:color="auto" w:fill="auto"/>
          </w:tcPr>
          <w:p w14:paraId="2E8FD88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3788</w:t>
            </w:r>
          </w:p>
        </w:tc>
      </w:tr>
      <w:tr w:rsidR="007D4874" w:rsidRPr="00983A81" w14:paraId="4EBA4201"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329D08BC" w14:textId="77777777" w:rsidR="00634EC3" w:rsidRPr="00983A81" w:rsidRDefault="00634EC3" w:rsidP="003E0E0F">
            <w:pPr>
              <w:spacing w:line="276" w:lineRule="auto"/>
              <w:rPr>
                <w:szCs w:val="24"/>
              </w:rPr>
            </w:pPr>
            <w:r w:rsidRPr="00983A81">
              <w:rPr>
                <w:szCs w:val="24"/>
              </w:rPr>
              <w:t xml:space="preserve">Quality </w:t>
            </w:r>
            <w:proofErr w:type="spellStart"/>
            <w:r w:rsidRPr="00983A81">
              <w:rPr>
                <w:szCs w:val="24"/>
              </w:rPr>
              <w:t>dkkm</w:t>
            </w:r>
            <w:proofErr w:type="spellEnd"/>
          </w:p>
        </w:tc>
        <w:tc>
          <w:tcPr>
            <w:tcW w:w="587" w:type="pct"/>
            <w:shd w:val="clear" w:color="auto" w:fill="auto"/>
          </w:tcPr>
          <w:p w14:paraId="4D64F22E"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34ABBF6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3BDAB37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0.1174</w:t>
            </w:r>
          </w:p>
        </w:tc>
        <w:tc>
          <w:tcPr>
            <w:tcW w:w="603" w:type="pct"/>
            <w:shd w:val="clear" w:color="auto" w:fill="auto"/>
          </w:tcPr>
          <w:p w14:paraId="5023253C"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-0.7585</w:t>
            </w:r>
          </w:p>
        </w:tc>
        <w:tc>
          <w:tcPr>
            <w:tcW w:w="559" w:type="pct"/>
            <w:shd w:val="clear" w:color="auto" w:fill="auto"/>
          </w:tcPr>
          <w:p w14:paraId="6F583C3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0.4112</w:t>
            </w:r>
          </w:p>
        </w:tc>
        <w:tc>
          <w:tcPr>
            <w:tcW w:w="967" w:type="pct"/>
            <w:tcBorders>
              <w:right w:val="single" w:sz="4" w:space="0" w:color="auto"/>
            </w:tcBorders>
            <w:shd w:val="clear" w:color="auto" w:fill="auto"/>
          </w:tcPr>
          <w:p w14:paraId="270A3C5B"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778</w:t>
            </w:r>
          </w:p>
        </w:tc>
      </w:tr>
      <w:tr w:rsidR="007D4874" w:rsidRPr="00983A81" w14:paraId="0F4AF78C"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5A82FD20" w14:textId="77777777" w:rsidR="00634EC3" w:rsidRPr="00983A81" w:rsidRDefault="00634EC3" w:rsidP="003E0E0F">
            <w:pPr>
              <w:spacing w:line="276" w:lineRule="auto"/>
              <w:rPr>
                <w:szCs w:val="24"/>
              </w:rPr>
            </w:pPr>
          </w:p>
        </w:tc>
        <w:tc>
          <w:tcPr>
            <w:tcW w:w="587" w:type="pct"/>
            <w:shd w:val="clear" w:color="auto" w:fill="auto"/>
          </w:tcPr>
          <w:p w14:paraId="6E35898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16E9857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17B0F68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0.1732</w:t>
            </w:r>
          </w:p>
        </w:tc>
        <w:tc>
          <w:tcPr>
            <w:tcW w:w="603" w:type="pct"/>
            <w:shd w:val="clear" w:color="auto" w:fill="auto"/>
          </w:tcPr>
          <w:p w14:paraId="7AEE4E8A"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-0.8930</w:t>
            </w:r>
          </w:p>
        </w:tc>
        <w:tc>
          <w:tcPr>
            <w:tcW w:w="559" w:type="pct"/>
            <w:shd w:val="clear" w:color="auto" w:fill="auto"/>
          </w:tcPr>
          <w:p w14:paraId="2347F88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0.9177</w:t>
            </w:r>
          </w:p>
        </w:tc>
        <w:tc>
          <w:tcPr>
            <w:tcW w:w="967" w:type="pct"/>
            <w:tcBorders>
              <w:right w:val="single" w:sz="4" w:space="0" w:color="auto"/>
            </w:tcBorders>
            <w:shd w:val="clear" w:color="auto" w:fill="auto"/>
          </w:tcPr>
          <w:p w14:paraId="1B14FD6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4.8689</w:t>
            </w:r>
          </w:p>
        </w:tc>
      </w:tr>
      <w:tr w:rsidR="007D4874" w:rsidRPr="00983A81" w14:paraId="3085919E"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4A076B22" w14:textId="77777777" w:rsidR="00634EC3" w:rsidRPr="00983A81" w:rsidRDefault="00634EC3" w:rsidP="003E0E0F">
            <w:pPr>
              <w:spacing w:line="276" w:lineRule="auto"/>
              <w:rPr>
                <w:szCs w:val="24"/>
              </w:rPr>
            </w:pPr>
          </w:p>
        </w:tc>
        <w:tc>
          <w:tcPr>
            <w:tcW w:w="587" w:type="pct"/>
            <w:shd w:val="clear" w:color="auto" w:fill="auto"/>
          </w:tcPr>
          <w:p w14:paraId="19A5D6D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0A2EACC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3BA6FF2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109718C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0F9DE76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37C2355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59272972"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0F301EA9" w14:textId="77777777" w:rsidR="00634EC3" w:rsidRPr="00983A81" w:rsidRDefault="00634EC3" w:rsidP="003E0E0F">
            <w:pPr>
              <w:spacing w:line="276" w:lineRule="auto"/>
              <w:rPr>
                <w:szCs w:val="24"/>
              </w:rPr>
            </w:pPr>
            <w:r w:rsidRPr="00983A81">
              <w:rPr>
                <w:szCs w:val="24"/>
              </w:rPr>
              <w:t>Education (</w:t>
            </w:r>
            <w:proofErr w:type="spellStart"/>
            <w:r w:rsidRPr="00983A81">
              <w:rPr>
                <w:szCs w:val="24"/>
              </w:rPr>
              <w:t>deduc</w:t>
            </w:r>
            <w:proofErr w:type="spellEnd"/>
            <w:r w:rsidRPr="00983A81">
              <w:rPr>
                <w:szCs w:val="24"/>
              </w:rPr>
              <w:t>)</w:t>
            </w:r>
          </w:p>
        </w:tc>
        <w:tc>
          <w:tcPr>
            <w:tcW w:w="587" w:type="pct"/>
            <w:shd w:val="clear" w:color="auto" w:fill="auto"/>
          </w:tcPr>
          <w:p w14:paraId="4414FF1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748A794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0.0099</w:t>
            </w:r>
          </w:p>
        </w:tc>
        <w:tc>
          <w:tcPr>
            <w:tcW w:w="692" w:type="pct"/>
            <w:shd w:val="clear" w:color="auto" w:fill="auto"/>
          </w:tcPr>
          <w:p w14:paraId="7F5AAE6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0.0328</w:t>
            </w:r>
          </w:p>
        </w:tc>
        <w:tc>
          <w:tcPr>
            <w:tcW w:w="603" w:type="pct"/>
            <w:shd w:val="clear" w:color="auto" w:fill="auto"/>
          </w:tcPr>
          <w:p w14:paraId="54E1353A"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-0.2966</w:t>
            </w:r>
          </w:p>
        </w:tc>
        <w:tc>
          <w:tcPr>
            <w:tcW w:w="559" w:type="pct"/>
            <w:shd w:val="clear" w:color="auto" w:fill="auto"/>
          </w:tcPr>
          <w:p w14:paraId="5EC3D87F"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0.2685</w:t>
            </w:r>
          </w:p>
        </w:tc>
        <w:tc>
          <w:tcPr>
            <w:tcW w:w="967" w:type="pct"/>
            <w:tcBorders>
              <w:right w:val="single" w:sz="4" w:space="0" w:color="auto"/>
            </w:tcBorders>
            <w:shd w:val="clear" w:color="auto" w:fill="auto"/>
          </w:tcPr>
          <w:p w14:paraId="1A55659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3786</w:t>
            </w:r>
          </w:p>
        </w:tc>
      </w:tr>
      <w:tr w:rsidR="007D4874" w:rsidRPr="00983A81" w14:paraId="708A816F"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4E6DE137" w14:textId="77777777" w:rsidR="00634EC3" w:rsidRPr="00983A81" w:rsidRDefault="00634EC3" w:rsidP="003E0E0F">
            <w:pPr>
              <w:spacing w:line="276" w:lineRule="auto"/>
              <w:rPr>
                <w:szCs w:val="24"/>
              </w:rPr>
            </w:pPr>
          </w:p>
        </w:tc>
        <w:tc>
          <w:tcPr>
            <w:tcW w:w="587" w:type="pct"/>
            <w:shd w:val="clear" w:color="auto" w:fill="auto"/>
          </w:tcPr>
          <w:p w14:paraId="6865DCE9"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26D8BFFF"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644A5BF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0.0192</w:t>
            </w:r>
          </w:p>
        </w:tc>
        <w:tc>
          <w:tcPr>
            <w:tcW w:w="603" w:type="pct"/>
            <w:shd w:val="clear" w:color="auto" w:fill="auto"/>
          </w:tcPr>
          <w:p w14:paraId="13B6499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-0.1014</w:t>
            </w:r>
          </w:p>
        </w:tc>
        <w:tc>
          <w:tcPr>
            <w:tcW w:w="559" w:type="pct"/>
            <w:shd w:val="clear" w:color="auto" w:fill="auto"/>
          </w:tcPr>
          <w:p w14:paraId="533267FE"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0.0946</w:t>
            </w:r>
          </w:p>
        </w:tc>
        <w:tc>
          <w:tcPr>
            <w:tcW w:w="967" w:type="pct"/>
            <w:tcBorders>
              <w:right w:val="single" w:sz="4" w:space="0" w:color="auto"/>
            </w:tcBorders>
            <w:shd w:val="clear" w:color="auto" w:fill="auto"/>
          </w:tcPr>
          <w:p w14:paraId="4FCC6D5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777</w:t>
            </w:r>
          </w:p>
        </w:tc>
      </w:tr>
      <w:tr w:rsidR="007D4874" w:rsidRPr="00983A81" w14:paraId="28BF1965"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0C946455" w14:textId="77777777" w:rsidR="00634EC3" w:rsidRPr="00983A81" w:rsidRDefault="00634EC3" w:rsidP="003E0E0F">
            <w:pPr>
              <w:spacing w:line="276" w:lineRule="auto"/>
              <w:rPr>
                <w:szCs w:val="24"/>
              </w:rPr>
            </w:pPr>
          </w:p>
        </w:tc>
        <w:tc>
          <w:tcPr>
            <w:tcW w:w="587" w:type="pct"/>
            <w:shd w:val="clear" w:color="auto" w:fill="auto"/>
          </w:tcPr>
          <w:p w14:paraId="33D9BEA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4374328F"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5BC477A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0.0296</w:t>
            </w:r>
          </w:p>
        </w:tc>
        <w:tc>
          <w:tcPr>
            <w:tcW w:w="603" w:type="pct"/>
            <w:shd w:val="clear" w:color="auto" w:fill="auto"/>
          </w:tcPr>
          <w:p w14:paraId="1B2E59F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-0.2830</w:t>
            </w:r>
          </w:p>
        </w:tc>
        <w:tc>
          <w:tcPr>
            <w:tcW w:w="559" w:type="pct"/>
            <w:shd w:val="clear" w:color="auto" w:fill="auto"/>
          </w:tcPr>
          <w:p w14:paraId="5C3E49F2"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0.2821</w:t>
            </w:r>
          </w:p>
        </w:tc>
        <w:tc>
          <w:tcPr>
            <w:tcW w:w="967" w:type="pct"/>
            <w:tcBorders>
              <w:right w:val="single" w:sz="4" w:space="0" w:color="auto"/>
            </w:tcBorders>
            <w:shd w:val="clear" w:color="auto" w:fill="auto"/>
          </w:tcPr>
          <w:p w14:paraId="5CA7B45C"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4.8726</w:t>
            </w:r>
          </w:p>
        </w:tc>
      </w:tr>
      <w:tr w:rsidR="007D4874" w:rsidRPr="00983A81" w14:paraId="676B18A2"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463E07B7" w14:textId="77777777" w:rsidR="00634EC3" w:rsidRPr="00983A81" w:rsidRDefault="00634EC3" w:rsidP="003E0E0F">
            <w:pPr>
              <w:spacing w:line="276" w:lineRule="auto"/>
              <w:rPr>
                <w:szCs w:val="24"/>
              </w:rPr>
            </w:pPr>
          </w:p>
        </w:tc>
        <w:tc>
          <w:tcPr>
            <w:tcW w:w="587" w:type="pct"/>
            <w:shd w:val="clear" w:color="auto" w:fill="auto"/>
          </w:tcPr>
          <w:p w14:paraId="54BAD10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1DF188FB"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5620C8B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42C0216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5FCDD32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762AEA4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71186565"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129CF385" w14:textId="77777777" w:rsidR="00634EC3" w:rsidRPr="00983A81" w:rsidRDefault="00634EC3" w:rsidP="003E0E0F">
            <w:pPr>
              <w:spacing w:line="276" w:lineRule="auto"/>
              <w:rPr>
                <w:szCs w:val="24"/>
              </w:rPr>
            </w:pPr>
            <w:r w:rsidRPr="00983A81">
              <w:rPr>
                <w:szCs w:val="24"/>
              </w:rPr>
              <w:t xml:space="preserve">Financial </w:t>
            </w:r>
          </w:p>
        </w:tc>
        <w:tc>
          <w:tcPr>
            <w:tcW w:w="587" w:type="pct"/>
            <w:shd w:val="clear" w:color="auto" w:fill="auto"/>
          </w:tcPr>
          <w:p w14:paraId="2A36E1A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167C71B5"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-0.09070</w:t>
            </w:r>
          </w:p>
        </w:tc>
        <w:tc>
          <w:tcPr>
            <w:tcW w:w="692" w:type="pct"/>
            <w:shd w:val="clear" w:color="auto" w:fill="auto"/>
          </w:tcPr>
          <w:p w14:paraId="3F22E7A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0.7303</w:t>
            </w:r>
          </w:p>
        </w:tc>
        <w:tc>
          <w:tcPr>
            <w:tcW w:w="603" w:type="pct"/>
            <w:shd w:val="clear" w:color="auto" w:fill="auto"/>
          </w:tcPr>
          <w:p w14:paraId="391D9C4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-0.4081</w:t>
            </w:r>
          </w:p>
        </w:tc>
        <w:tc>
          <w:tcPr>
            <w:tcW w:w="559" w:type="pct"/>
            <w:shd w:val="clear" w:color="auto" w:fill="auto"/>
          </w:tcPr>
          <w:p w14:paraId="40021D6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7.9411</w:t>
            </w:r>
          </w:p>
        </w:tc>
        <w:tc>
          <w:tcPr>
            <w:tcW w:w="967" w:type="pct"/>
            <w:tcBorders>
              <w:right w:val="single" w:sz="4" w:space="0" w:color="auto"/>
            </w:tcBorders>
            <w:shd w:val="clear" w:color="auto" w:fill="auto"/>
          </w:tcPr>
          <w:p w14:paraId="2C2DB8D4"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4918</w:t>
            </w:r>
          </w:p>
        </w:tc>
      </w:tr>
      <w:tr w:rsidR="007D4874" w:rsidRPr="00983A81" w14:paraId="5860E56A"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4FF6BF5D" w14:textId="77777777" w:rsidR="00634EC3" w:rsidRPr="00983A81" w:rsidRDefault="00634EC3" w:rsidP="003E0E0F">
            <w:pPr>
              <w:spacing w:line="276" w:lineRule="auto"/>
              <w:rPr>
                <w:szCs w:val="24"/>
              </w:rPr>
            </w:pPr>
            <w:r w:rsidRPr="00983A81">
              <w:rPr>
                <w:szCs w:val="24"/>
              </w:rPr>
              <w:t>development</w:t>
            </w:r>
          </w:p>
        </w:tc>
        <w:tc>
          <w:tcPr>
            <w:tcW w:w="587" w:type="pct"/>
            <w:shd w:val="clear" w:color="auto" w:fill="auto"/>
          </w:tcPr>
          <w:p w14:paraId="48182D6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62918680"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03E1D969"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0.8393</w:t>
            </w:r>
          </w:p>
        </w:tc>
        <w:tc>
          <w:tcPr>
            <w:tcW w:w="603" w:type="pct"/>
            <w:shd w:val="clear" w:color="auto" w:fill="auto"/>
          </w:tcPr>
          <w:p w14:paraId="0A5E3CC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-0.4081</w:t>
            </w:r>
          </w:p>
        </w:tc>
        <w:tc>
          <w:tcPr>
            <w:tcW w:w="559" w:type="pct"/>
            <w:shd w:val="clear" w:color="auto" w:fill="auto"/>
          </w:tcPr>
          <w:p w14:paraId="5C4D8703"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7.9411</w:t>
            </w:r>
          </w:p>
        </w:tc>
        <w:tc>
          <w:tcPr>
            <w:tcW w:w="967" w:type="pct"/>
            <w:tcBorders>
              <w:right w:val="single" w:sz="4" w:space="0" w:color="auto"/>
            </w:tcBorders>
            <w:shd w:val="clear" w:color="auto" w:fill="auto"/>
          </w:tcPr>
          <w:p w14:paraId="2541623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911</w:t>
            </w:r>
          </w:p>
        </w:tc>
      </w:tr>
      <w:tr w:rsidR="007D4874" w:rsidRPr="00983A81" w14:paraId="081A2F45"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184DF7C4" w14:textId="77777777" w:rsidR="00634EC3" w:rsidRPr="00983A81" w:rsidRDefault="00634EC3" w:rsidP="003E0E0F">
            <w:pPr>
              <w:spacing w:line="276" w:lineRule="auto"/>
              <w:rPr>
                <w:szCs w:val="24"/>
              </w:rPr>
            </w:pPr>
            <w:r w:rsidRPr="00983A81">
              <w:rPr>
                <w:szCs w:val="24"/>
              </w:rPr>
              <w:t>(</w:t>
            </w:r>
            <w:proofErr w:type="spellStart"/>
            <w:r w:rsidRPr="00983A81">
              <w:rPr>
                <w:szCs w:val="24"/>
              </w:rPr>
              <w:t>fd_no_mfi</w:t>
            </w:r>
            <w:proofErr w:type="spellEnd"/>
            <w:r w:rsidRPr="00983A81">
              <w:rPr>
                <w:szCs w:val="24"/>
              </w:rPr>
              <w:t>)</w:t>
            </w:r>
          </w:p>
        </w:tc>
        <w:tc>
          <w:tcPr>
            <w:tcW w:w="587" w:type="pct"/>
            <w:shd w:val="clear" w:color="auto" w:fill="auto"/>
          </w:tcPr>
          <w:p w14:paraId="0226CF0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shd w:val="clear" w:color="auto" w:fill="auto"/>
          </w:tcPr>
          <w:p w14:paraId="25E11B8F"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shd w:val="clear" w:color="auto" w:fill="auto"/>
          </w:tcPr>
          <w:p w14:paraId="47EAF28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0.1315</w:t>
            </w:r>
          </w:p>
        </w:tc>
        <w:tc>
          <w:tcPr>
            <w:tcW w:w="603" w:type="pct"/>
            <w:shd w:val="clear" w:color="auto" w:fill="auto"/>
          </w:tcPr>
          <w:p w14:paraId="1B66EAA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-1.4043</w:t>
            </w:r>
          </w:p>
        </w:tc>
        <w:tc>
          <w:tcPr>
            <w:tcW w:w="559" w:type="pct"/>
            <w:shd w:val="clear" w:color="auto" w:fill="auto"/>
          </w:tcPr>
          <w:p w14:paraId="5644D8B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1.1936</w:t>
            </w:r>
          </w:p>
        </w:tc>
        <w:tc>
          <w:tcPr>
            <w:tcW w:w="967" w:type="pct"/>
            <w:tcBorders>
              <w:right w:val="single" w:sz="4" w:space="0" w:color="auto"/>
            </w:tcBorders>
            <w:shd w:val="clear" w:color="auto" w:fill="auto"/>
          </w:tcPr>
          <w:p w14:paraId="2A39D7D7"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5.3985</w:t>
            </w:r>
          </w:p>
        </w:tc>
      </w:tr>
      <w:tr w:rsidR="007D4874" w:rsidRPr="00983A81" w14:paraId="7DCF0C59"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6F942D93" w14:textId="77777777" w:rsidR="00634EC3" w:rsidRPr="00983A81" w:rsidRDefault="00634EC3" w:rsidP="003E0E0F">
            <w:pPr>
              <w:spacing w:line="276" w:lineRule="auto"/>
              <w:rPr>
                <w:szCs w:val="24"/>
              </w:rPr>
            </w:pPr>
          </w:p>
        </w:tc>
        <w:tc>
          <w:tcPr>
            <w:tcW w:w="587" w:type="pct"/>
            <w:shd w:val="clear" w:color="auto" w:fill="auto"/>
          </w:tcPr>
          <w:p w14:paraId="22A5537F"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3B80E29D"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5A8272B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03" w:type="pct"/>
            <w:shd w:val="clear" w:color="auto" w:fill="auto"/>
          </w:tcPr>
          <w:p w14:paraId="59776324"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559" w:type="pct"/>
            <w:shd w:val="clear" w:color="auto" w:fill="auto"/>
          </w:tcPr>
          <w:p w14:paraId="542350AA"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967" w:type="pct"/>
            <w:tcBorders>
              <w:right w:val="single" w:sz="4" w:space="0" w:color="auto"/>
            </w:tcBorders>
            <w:shd w:val="clear" w:color="auto" w:fill="auto"/>
          </w:tcPr>
          <w:p w14:paraId="69DA7BDF"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r>
      <w:tr w:rsidR="007D4874" w:rsidRPr="00983A81" w14:paraId="717A5891"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0B19B995" w14:textId="77777777" w:rsidR="00634EC3" w:rsidRPr="00983A81" w:rsidRDefault="00634EC3" w:rsidP="003E0E0F">
            <w:pPr>
              <w:spacing w:line="276" w:lineRule="auto"/>
              <w:rPr>
                <w:szCs w:val="24"/>
              </w:rPr>
            </w:pPr>
            <w:r w:rsidRPr="00983A81">
              <w:rPr>
                <w:szCs w:val="24"/>
              </w:rPr>
              <w:t>Legal Tradition</w:t>
            </w:r>
          </w:p>
        </w:tc>
        <w:tc>
          <w:tcPr>
            <w:tcW w:w="587" w:type="pct"/>
            <w:shd w:val="clear" w:color="auto" w:fill="auto"/>
          </w:tcPr>
          <w:p w14:paraId="74F1375B"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overall</w:t>
            </w:r>
          </w:p>
        </w:tc>
        <w:tc>
          <w:tcPr>
            <w:tcW w:w="603" w:type="pct"/>
            <w:shd w:val="clear" w:color="auto" w:fill="auto"/>
          </w:tcPr>
          <w:p w14:paraId="64E5A108"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1.7869</w:t>
            </w:r>
          </w:p>
        </w:tc>
        <w:tc>
          <w:tcPr>
            <w:tcW w:w="692" w:type="pct"/>
            <w:shd w:val="clear" w:color="auto" w:fill="auto"/>
          </w:tcPr>
          <w:p w14:paraId="585F9D3A"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0.7539</w:t>
            </w:r>
          </w:p>
        </w:tc>
        <w:tc>
          <w:tcPr>
            <w:tcW w:w="603" w:type="pct"/>
            <w:shd w:val="clear" w:color="auto" w:fill="auto"/>
          </w:tcPr>
          <w:p w14:paraId="671F946F"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w:t>
            </w:r>
          </w:p>
        </w:tc>
        <w:tc>
          <w:tcPr>
            <w:tcW w:w="559" w:type="pct"/>
            <w:shd w:val="clear" w:color="auto" w:fill="auto"/>
          </w:tcPr>
          <w:p w14:paraId="418E4269"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3</w:t>
            </w:r>
          </w:p>
        </w:tc>
        <w:tc>
          <w:tcPr>
            <w:tcW w:w="967" w:type="pct"/>
            <w:tcBorders>
              <w:right w:val="single" w:sz="4" w:space="0" w:color="auto"/>
            </w:tcBorders>
            <w:shd w:val="clear" w:color="auto" w:fill="auto"/>
          </w:tcPr>
          <w:p w14:paraId="0996990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N =    4918</w:t>
            </w:r>
          </w:p>
        </w:tc>
      </w:tr>
      <w:tr w:rsidR="007D4874" w:rsidRPr="00983A81" w14:paraId="3C67AB8A" w14:textId="77777777" w:rsidTr="00DC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tcBorders>
            <w:shd w:val="clear" w:color="auto" w:fill="auto"/>
          </w:tcPr>
          <w:p w14:paraId="7DA4B280" w14:textId="77777777" w:rsidR="00634EC3" w:rsidRPr="00983A81" w:rsidRDefault="00634EC3" w:rsidP="003E0E0F">
            <w:pPr>
              <w:spacing w:line="276" w:lineRule="auto"/>
              <w:rPr>
                <w:szCs w:val="24"/>
              </w:rPr>
            </w:pPr>
          </w:p>
        </w:tc>
        <w:tc>
          <w:tcPr>
            <w:tcW w:w="587" w:type="pct"/>
            <w:shd w:val="clear" w:color="auto" w:fill="auto"/>
          </w:tcPr>
          <w:p w14:paraId="3260D435"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between</w:t>
            </w:r>
          </w:p>
        </w:tc>
        <w:tc>
          <w:tcPr>
            <w:tcW w:w="603" w:type="pct"/>
            <w:shd w:val="clear" w:color="auto" w:fill="auto"/>
          </w:tcPr>
          <w:p w14:paraId="47B9CAE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p>
        </w:tc>
        <w:tc>
          <w:tcPr>
            <w:tcW w:w="692" w:type="pct"/>
            <w:shd w:val="clear" w:color="auto" w:fill="auto"/>
          </w:tcPr>
          <w:p w14:paraId="3DA9A4A2"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0.7326</w:t>
            </w:r>
          </w:p>
        </w:tc>
        <w:tc>
          <w:tcPr>
            <w:tcW w:w="603" w:type="pct"/>
            <w:shd w:val="clear" w:color="auto" w:fill="auto"/>
          </w:tcPr>
          <w:p w14:paraId="301DB4D7"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1</w:t>
            </w:r>
          </w:p>
        </w:tc>
        <w:tc>
          <w:tcPr>
            <w:tcW w:w="559" w:type="pct"/>
            <w:shd w:val="clear" w:color="auto" w:fill="auto"/>
          </w:tcPr>
          <w:p w14:paraId="7EAF7BB6"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3</w:t>
            </w:r>
          </w:p>
        </w:tc>
        <w:tc>
          <w:tcPr>
            <w:tcW w:w="967" w:type="pct"/>
            <w:tcBorders>
              <w:right w:val="single" w:sz="4" w:space="0" w:color="auto"/>
            </w:tcBorders>
            <w:shd w:val="clear" w:color="auto" w:fill="auto"/>
          </w:tcPr>
          <w:p w14:paraId="2D29ECA1" w14:textId="77777777" w:rsidR="00634EC3" w:rsidRPr="00983A81" w:rsidRDefault="00634EC3" w:rsidP="003E0E0F">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83A81">
              <w:rPr>
                <w:szCs w:val="24"/>
              </w:rPr>
              <w:t>n =     911</w:t>
            </w:r>
          </w:p>
        </w:tc>
      </w:tr>
      <w:tr w:rsidR="007D4874" w:rsidRPr="00983A81" w14:paraId="171526A5" w14:textId="77777777" w:rsidTr="00DC21D2">
        <w:tc>
          <w:tcPr>
            <w:cnfStyle w:val="001000000000" w:firstRow="0" w:lastRow="0" w:firstColumn="1" w:lastColumn="0" w:oddVBand="0" w:evenVBand="0" w:oddHBand="0" w:evenHBand="0" w:firstRowFirstColumn="0" w:firstRowLastColumn="0" w:lastRowFirstColumn="0" w:lastRowLastColumn="0"/>
            <w:tcW w:w="988" w:type="pct"/>
            <w:tcBorders>
              <w:left w:val="single" w:sz="4" w:space="0" w:color="auto"/>
              <w:bottom w:val="single" w:sz="4" w:space="0" w:color="auto"/>
            </w:tcBorders>
            <w:shd w:val="clear" w:color="auto" w:fill="auto"/>
          </w:tcPr>
          <w:p w14:paraId="702C98CF" w14:textId="77777777" w:rsidR="00634EC3" w:rsidRPr="00983A81" w:rsidRDefault="00634EC3" w:rsidP="003E0E0F">
            <w:pPr>
              <w:spacing w:line="276" w:lineRule="auto"/>
              <w:rPr>
                <w:szCs w:val="24"/>
              </w:rPr>
            </w:pPr>
          </w:p>
        </w:tc>
        <w:tc>
          <w:tcPr>
            <w:tcW w:w="587" w:type="pct"/>
            <w:tcBorders>
              <w:bottom w:val="single" w:sz="4" w:space="0" w:color="auto"/>
            </w:tcBorders>
            <w:shd w:val="clear" w:color="auto" w:fill="auto"/>
          </w:tcPr>
          <w:p w14:paraId="79EF289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within</w:t>
            </w:r>
          </w:p>
        </w:tc>
        <w:tc>
          <w:tcPr>
            <w:tcW w:w="603" w:type="pct"/>
            <w:tcBorders>
              <w:bottom w:val="single" w:sz="4" w:space="0" w:color="auto"/>
            </w:tcBorders>
            <w:shd w:val="clear" w:color="auto" w:fill="auto"/>
          </w:tcPr>
          <w:p w14:paraId="66F44E1E"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p>
        </w:tc>
        <w:tc>
          <w:tcPr>
            <w:tcW w:w="692" w:type="pct"/>
            <w:tcBorders>
              <w:bottom w:val="single" w:sz="4" w:space="0" w:color="auto"/>
            </w:tcBorders>
            <w:shd w:val="clear" w:color="auto" w:fill="auto"/>
          </w:tcPr>
          <w:p w14:paraId="4565B016"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0</w:t>
            </w:r>
          </w:p>
        </w:tc>
        <w:tc>
          <w:tcPr>
            <w:tcW w:w="603" w:type="pct"/>
            <w:tcBorders>
              <w:bottom w:val="single" w:sz="4" w:space="0" w:color="auto"/>
            </w:tcBorders>
            <w:shd w:val="clear" w:color="auto" w:fill="auto"/>
          </w:tcPr>
          <w:p w14:paraId="69211800"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1.7869</w:t>
            </w:r>
          </w:p>
        </w:tc>
        <w:tc>
          <w:tcPr>
            <w:tcW w:w="559" w:type="pct"/>
            <w:tcBorders>
              <w:bottom w:val="single" w:sz="4" w:space="0" w:color="auto"/>
            </w:tcBorders>
            <w:shd w:val="clear" w:color="auto" w:fill="auto"/>
          </w:tcPr>
          <w:p w14:paraId="35A2BA4D"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1.7869</w:t>
            </w:r>
          </w:p>
        </w:tc>
        <w:tc>
          <w:tcPr>
            <w:tcW w:w="967" w:type="pct"/>
            <w:tcBorders>
              <w:bottom w:val="single" w:sz="4" w:space="0" w:color="auto"/>
              <w:right w:val="single" w:sz="4" w:space="0" w:color="auto"/>
            </w:tcBorders>
            <w:shd w:val="clear" w:color="auto" w:fill="auto"/>
          </w:tcPr>
          <w:p w14:paraId="3ED1F0F1" w14:textId="77777777" w:rsidR="00634EC3" w:rsidRPr="00983A81" w:rsidRDefault="00634EC3" w:rsidP="003E0E0F">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83A81">
              <w:rPr>
                <w:szCs w:val="24"/>
              </w:rPr>
              <w:t>T-bar = 5.3985</w:t>
            </w:r>
          </w:p>
        </w:tc>
      </w:tr>
    </w:tbl>
    <w:p w14:paraId="3210639F" w14:textId="3DDFFDEF" w:rsidR="0056244D" w:rsidRDefault="0056244D" w:rsidP="0056244D">
      <w:pPr>
        <w:tabs>
          <w:tab w:val="left" w:pos="1530"/>
        </w:tabs>
        <w:sectPr w:rsidR="0056244D" w:rsidSect="00600370">
          <w:pgSz w:w="11907" w:h="16839" w:code="9"/>
          <w:pgMar w:top="1440" w:right="1440" w:bottom="1440" w:left="1440" w:header="720" w:footer="720" w:gutter="0"/>
          <w:cols w:space="720"/>
          <w:docGrid w:linePitch="360"/>
        </w:sectPr>
      </w:pPr>
    </w:p>
    <w:p w14:paraId="1E064128" w14:textId="76683AC1" w:rsidR="00AD6729" w:rsidRDefault="00AD6729" w:rsidP="000B1665">
      <w:pPr>
        <w:widowControl w:val="0"/>
        <w:autoSpaceDE w:val="0"/>
        <w:autoSpaceDN w:val="0"/>
        <w:adjustRightInd w:val="0"/>
        <w:spacing w:after="0" w:line="240" w:lineRule="auto"/>
        <w:jc w:val="left"/>
        <w:rPr>
          <w:i/>
        </w:rPr>
      </w:pPr>
    </w:p>
    <w:sectPr w:rsidR="00AD6729" w:rsidSect="00573526">
      <w:pgSz w:w="15840" w:h="12240" w:orient="landscape"/>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3A4FA" w14:textId="77777777" w:rsidR="00E3417C" w:rsidRDefault="00E3417C" w:rsidP="00063B94">
      <w:pPr>
        <w:spacing w:after="0" w:line="240" w:lineRule="auto"/>
      </w:pPr>
      <w:r>
        <w:separator/>
      </w:r>
    </w:p>
  </w:endnote>
  <w:endnote w:type="continuationSeparator" w:id="0">
    <w:p w14:paraId="7B35D07D" w14:textId="77777777" w:rsidR="00E3417C" w:rsidRDefault="00E3417C" w:rsidP="00063B94">
      <w:pPr>
        <w:spacing w:after="0" w:line="240" w:lineRule="auto"/>
      </w:pPr>
      <w:r>
        <w:continuationSeparator/>
      </w:r>
    </w:p>
  </w:endnote>
  <w:endnote w:type="continuationNotice" w:id="1">
    <w:p w14:paraId="50F8F1E8" w14:textId="77777777" w:rsidR="00E3417C" w:rsidRDefault="00E341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5266314"/>
      <w:docPartObj>
        <w:docPartGallery w:val="Page Numbers (Bottom of Page)"/>
        <w:docPartUnique/>
      </w:docPartObj>
    </w:sdtPr>
    <w:sdtEndPr/>
    <w:sdtContent>
      <w:sdt>
        <w:sdtPr>
          <w:id w:val="449598185"/>
          <w:docPartObj>
            <w:docPartGallery w:val="Page Numbers (Top of Page)"/>
            <w:docPartUnique/>
          </w:docPartObj>
        </w:sdtPr>
        <w:sdtEndPr/>
        <w:sdtContent>
          <w:p w14:paraId="34916F40" w14:textId="77777777" w:rsidR="003D1DD0" w:rsidRDefault="003D1DD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57</w:t>
            </w:r>
            <w:r>
              <w:rPr>
                <w:b/>
                <w:bCs/>
                <w:szCs w:val="24"/>
              </w:rPr>
              <w:fldChar w:fldCharType="end"/>
            </w:r>
          </w:p>
        </w:sdtContent>
      </w:sdt>
    </w:sdtContent>
  </w:sdt>
  <w:p w14:paraId="4A65BADF" w14:textId="77777777" w:rsidR="003D1DD0" w:rsidRDefault="003D1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900B9" w14:textId="77777777" w:rsidR="003D1DD0" w:rsidRDefault="003D1D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9536528"/>
      <w:docPartObj>
        <w:docPartGallery w:val="Page Numbers (Bottom of Page)"/>
        <w:docPartUnique/>
      </w:docPartObj>
    </w:sdtPr>
    <w:sdtEndPr/>
    <w:sdtContent>
      <w:sdt>
        <w:sdtPr>
          <w:id w:val="1728636285"/>
          <w:docPartObj>
            <w:docPartGallery w:val="Page Numbers (Top of Page)"/>
            <w:docPartUnique/>
          </w:docPartObj>
        </w:sdtPr>
        <w:sdtEndPr/>
        <w:sdtContent>
          <w:p w14:paraId="1B41E66A" w14:textId="5E743BB8" w:rsidR="003D1DD0" w:rsidRDefault="003D1DD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57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57</w:t>
            </w:r>
            <w:r>
              <w:rPr>
                <w:b/>
                <w:bCs/>
                <w:szCs w:val="24"/>
              </w:rPr>
              <w:fldChar w:fldCharType="end"/>
            </w:r>
          </w:p>
        </w:sdtContent>
      </w:sdt>
    </w:sdtContent>
  </w:sdt>
  <w:p w14:paraId="0098BE83" w14:textId="77777777" w:rsidR="003D1DD0" w:rsidRDefault="003D1D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766D5" w14:textId="77777777" w:rsidR="003D1DD0" w:rsidRDefault="003D1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8D459" w14:textId="77777777" w:rsidR="00E3417C" w:rsidRDefault="00E3417C" w:rsidP="00063B94">
      <w:pPr>
        <w:spacing w:after="0" w:line="240" w:lineRule="auto"/>
      </w:pPr>
      <w:r>
        <w:separator/>
      </w:r>
    </w:p>
  </w:footnote>
  <w:footnote w:type="continuationSeparator" w:id="0">
    <w:p w14:paraId="7997A6EE" w14:textId="77777777" w:rsidR="00E3417C" w:rsidRDefault="00E3417C" w:rsidP="00063B94">
      <w:pPr>
        <w:spacing w:after="0" w:line="240" w:lineRule="auto"/>
      </w:pPr>
      <w:r>
        <w:continuationSeparator/>
      </w:r>
    </w:p>
  </w:footnote>
  <w:footnote w:type="continuationNotice" w:id="1">
    <w:p w14:paraId="7C5C0754" w14:textId="77777777" w:rsidR="00E3417C" w:rsidRDefault="00E341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BF44F" w14:textId="77777777" w:rsidR="003D1DD0" w:rsidRDefault="003D1D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B982B" w14:textId="77777777" w:rsidR="003D1DD0" w:rsidRDefault="003D1D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FA2C3" w14:textId="77777777" w:rsidR="003D1DD0" w:rsidRDefault="003D1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39CC"/>
    <w:multiLevelType w:val="hybridMultilevel"/>
    <w:tmpl w:val="E92498D0"/>
    <w:lvl w:ilvl="0" w:tplc="E53A93CE">
      <w:start w:val="1"/>
      <w:numFmt w:val="bullet"/>
      <w:lvlText w:val="-"/>
      <w:lvlJc w:val="left"/>
      <w:pPr>
        <w:ind w:left="720" w:hanging="360"/>
      </w:pPr>
      <w:rPr>
        <w:rFonts w:ascii="Maiandra GD" w:eastAsiaTheme="minorHAnsi" w:hAnsi="Maiandra G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66BF0"/>
    <w:multiLevelType w:val="hybridMultilevel"/>
    <w:tmpl w:val="64E2B206"/>
    <w:lvl w:ilvl="0" w:tplc="B9CC527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6031B"/>
    <w:multiLevelType w:val="hybridMultilevel"/>
    <w:tmpl w:val="1A70B5DE"/>
    <w:lvl w:ilvl="0" w:tplc="D0EA30A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C474B4"/>
    <w:multiLevelType w:val="multilevel"/>
    <w:tmpl w:val="D512B3F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3B0341"/>
    <w:multiLevelType w:val="hybridMultilevel"/>
    <w:tmpl w:val="A7EA62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9535CF"/>
    <w:multiLevelType w:val="hybridMultilevel"/>
    <w:tmpl w:val="1D825E94"/>
    <w:lvl w:ilvl="0" w:tplc="DADCCD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2130BA"/>
    <w:multiLevelType w:val="multilevel"/>
    <w:tmpl w:val="6ACEDD46"/>
    <w:lvl w:ilvl="0">
      <w:start w:val="1"/>
      <w:numFmt w:val="decimal"/>
      <w:lvlText w:val="%1."/>
      <w:lvlJc w:val="left"/>
      <w:pPr>
        <w:ind w:left="720" w:hanging="36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1F37BD5"/>
    <w:multiLevelType w:val="hybridMultilevel"/>
    <w:tmpl w:val="3B22E002"/>
    <w:lvl w:ilvl="0" w:tplc="71787CE8">
      <w:numFmt w:val="bullet"/>
      <w:lvlText w:val="-"/>
      <w:lvlJc w:val="left"/>
      <w:pPr>
        <w:ind w:left="720" w:hanging="360"/>
      </w:pPr>
      <w:rPr>
        <w:rFonts w:ascii="Maiandra GD" w:eastAsiaTheme="minorHAnsi" w:hAnsi="Maiandra G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CD28FC"/>
    <w:multiLevelType w:val="multilevel"/>
    <w:tmpl w:val="BCF0F678"/>
    <w:lvl w:ilvl="0">
      <w:start w:val="1"/>
      <w:numFmt w:val="decimal"/>
      <w:pStyle w:val="Heading2"/>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EBA38FF"/>
    <w:multiLevelType w:val="hybridMultilevel"/>
    <w:tmpl w:val="B07858CE"/>
    <w:lvl w:ilvl="0" w:tplc="F23A4C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37D470D"/>
    <w:multiLevelType w:val="hybridMultilevel"/>
    <w:tmpl w:val="BCBCE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EB3607"/>
    <w:multiLevelType w:val="hybridMultilevel"/>
    <w:tmpl w:val="F36633F0"/>
    <w:lvl w:ilvl="0" w:tplc="08090017">
      <w:start w:val="1"/>
      <w:numFmt w:val="lowerLetter"/>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4F757A24"/>
    <w:multiLevelType w:val="multilevel"/>
    <w:tmpl w:val="F73C6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0977140"/>
    <w:multiLevelType w:val="hybridMultilevel"/>
    <w:tmpl w:val="56E64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EB5825"/>
    <w:multiLevelType w:val="hybridMultilevel"/>
    <w:tmpl w:val="D4182086"/>
    <w:lvl w:ilvl="0" w:tplc="010C8A6C">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5A8C66B5"/>
    <w:multiLevelType w:val="hybridMultilevel"/>
    <w:tmpl w:val="21F61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D06816"/>
    <w:multiLevelType w:val="hybridMultilevel"/>
    <w:tmpl w:val="73E8276A"/>
    <w:lvl w:ilvl="0" w:tplc="77EE4A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BB4F43"/>
    <w:multiLevelType w:val="hybridMultilevel"/>
    <w:tmpl w:val="E67CEA62"/>
    <w:lvl w:ilvl="0" w:tplc="3426227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8E2303"/>
    <w:multiLevelType w:val="multilevel"/>
    <w:tmpl w:val="A5D6AFF2"/>
    <w:lvl w:ilvl="0">
      <w:start w:val="1"/>
      <w:numFmt w:val="decimal"/>
      <w:lvlText w:val="%1."/>
      <w:lvlJc w:val="left"/>
      <w:pPr>
        <w:ind w:left="720" w:hanging="36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2"/>
  </w:num>
  <w:num w:numId="3">
    <w:abstractNumId w:val="4"/>
  </w:num>
  <w:num w:numId="4">
    <w:abstractNumId w:val="7"/>
  </w:num>
  <w:num w:numId="5">
    <w:abstractNumId w:val="18"/>
  </w:num>
  <w:num w:numId="6">
    <w:abstractNumId w:val="6"/>
  </w:num>
  <w:num w:numId="7">
    <w:abstractNumId w:val="10"/>
  </w:num>
  <w:num w:numId="8">
    <w:abstractNumId w:val="15"/>
  </w:num>
  <w:num w:numId="9">
    <w:abstractNumId w:val="9"/>
  </w:num>
  <w:num w:numId="10">
    <w:abstractNumId w:val="0"/>
  </w:num>
  <w:num w:numId="11">
    <w:abstractNumId w:val="11"/>
  </w:num>
  <w:num w:numId="12">
    <w:abstractNumId w:val="14"/>
  </w:num>
  <w:num w:numId="13">
    <w:abstractNumId w:val="5"/>
  </w:num>
  <w:num w:numId="14">
    <w:abstractNumId w:val="17"/>
  </w:num>
  <w:num w:numId="15">
    <w:abstractNumId w:val="8"/>
  </w:num>
  <w:num w:numId="16">
    <w:abstractNumId w:val="1"/>
  </w:num>
  <w:num w:numId="17">
    <w:abstractNumId w:val="16"/>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wMTIwtjQwNDU3NbVQ0lEKTi0uzszPAykwsawFAE3Z0GstAAAA"/>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Book Antiqu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s9909saar09se5x9txwfw7ax9wfe2ftrt2&quot;&gt;My EndNote Library-Converted&lt;record-ids&gt;&lt;item&gt;18&lt;/item&gt;&lt;item&gt;24&lt;/item&gt;&lt;item&gt;42&lt;/item&gt;&lt;item&gt;43&lt;/item&gt;&lt;item&gt;77&lt;/item&gt;&lt;item&gt;104&lt;/item&gt;&lt;item&gt;117&lt;/item&gt;&lt;item&gt;119&lt;/item&gt;&lt;item&gt;128&lt;/item&gt;&lt;item&gt;155&lt;/item&gt;&lt;item&gt;188&lt;/item&gt;&lt;item&gt;189&lt;/item&gt;&lt;item&gt;241&lt;/item&gt;&lt;item&gt;246&lt;/item&gt;&lt;item&gt;248&lt;/item&gt;&lt;item&gt;250&lt;/item&gt;&lt;item&gt;269&lt;/item&gt;&lt;item&gt;283&lt;/item&gt;&lt;item&gt;302&lt;/item&gt;&lt;item&gt;304&lt;/item&gt;&lt;item&gt;305&lt;/item&gt;&lt;item&gt;307&lt;/item&gt;&lt;item&gt;309&lt;/item&gt;&lt;item&gt;313&lt;/item&gt;&lt;item&gt;319&lt;/item&gt;&lt;item&gt;331&lt;/item&gt;&lt;item&gt;332&lt;/item&gt;&lt;item&gt;344&lt;/item&gt;&lt;item&gt;348&lt;/item&gt;&lt;item&gt;356&lt;/item&gt;&lt;item&gt;376&lt;/item&gt;&lt;item&gt;421&lt;/item&gt;&lt;item&gt;422&lt;/item&gt;&lt;item&gt;424&lt;/item&gt;&lt;item&gt;433&lt;/item&gt;&lt;item&gt;434&lt;/item&gt;&lt;item&gt;435&lt;/item&gt;&lt;item&gt;436&lt;/item&gt;&lt;item&gt;449&lt;/item&gt;&lt;item&gt;465&lt;/item&gt;&lt;item&gt;466&lt;/item&gt;&lt;item&gt;480&lt;/item&gt;&lt;item&gt;482&lt;/item&gt;&lt;item&gt;483&lt;/item&gt;&lt;item&gt;484&lt;/item&gt;&lt;item&gt;485&lt;/item&gt;&lt;item&gt;486&lt;/item&gt;&lt;item&gt;487&lt;/item&gt;&lt;item&gt;488&lt;/item&gt;&lt;item&gt;489&lt;/item&gt;&lt;item&gt;490&lt;/item&gt;&lt;item&gt;491&lt;/item&gt;&lt;item&gt;492&lt;/item&gt;&lt;item&gt;493&lt;/item&gt;&lt;item&gt;494&lt;/item&gt;&lt;item&gt;495&lt;/item&gt;&lt;item&gt;497&lt;/item&gt;&lt;item&gt;498&lt;/item&gt;&lt;item&gt;499&lt;/item&gt;&lt;item&gt;500&lt;/item&gt;&lt;item&gt;501&lt;/item&gt;&lt;item&gt;502&lt;/item&gt;&lt;/record-ids&gt;&lt;/item&gt;&lt;/Libraries&gt;"/>
  </w:docVars>
  <w:rsids>
    <w:rsidRoot w:val="002941EF"/>
    <w:rsid w:val="0000038C"/>
    <w:rsid w:val="00004533"/>
    <w:rsid w:val="00005833"/>
    <w:rsid w:val="00011A3E"/>
    <w:rsid w:val="00013096"/>
    <w:rsid w:val="00014D98"/>
    <w:rsid w:val="0002303A"/>
    <w:rsid w:val="0002757A"/>
    <w:rsid w:val="000303C6"/>
    <w:rsid w:val="00031100"/>
    <w:rsid w:val="00034E52"/>
    <w:rsid w:val="00037073"/>
    <w:rsid w:val="000403EE"/>
    <w:rsid w:val="00044D46"/>
    <w:rsid w:val="00045666"/>
    <w:rsid w:val="00050E6A"/>
    <w:rsid w:val="000516BA"/>
    <w:rsid w:val="00052EDE"/>
    <w:rsid w:val="00053AD2"/>
    <w:rsid w:val="00055CB8"/>
    <w:rsid w:val="00055CBE"/>
    <w:rsid w:val="00056D33"/>
    <w:rsid w:val="00057874"/>
    <w:rsid w:val="00062924"/>
    <w:rsid w:val="00063B94"/>
    <w:rsid w:val="00064021"/>
    <w:rsid w:val="000650E0"/>
    <w:rsid w:val="00067D93"/>
    <w:rsid w:val="00073F56"/>
    <w:rsid w:val="00085EDD"/>
    <w:rsid w:val="00087FA6"/>
    <w:rsid w:val="000919F0"/>
    <w:rsid w:val="000923EC"/>
    <w:rsid w:val="000939A7"/>
    <w:rsid w:val="000968C8"/>
    <w:rsid w:val="00096AD1"/>
    <w:rsid w:val="00096CE5"/>
    <w:rsid w:val="000A1FBF"/>
    <w:rsid w:val="000A2BE3"/>
    <w:rsid w:val="000A30D9"/>
    <w:rsid w:val="000A3154"/>
    <w:rsid w:val="000A453F"/>
    <w:rsid w:val="000A4EF2"/>
    <w:rsid w:val="000A54E1"/>
    <w:rsid w:val="000A5AF2"/>
    <w:rsid w:val="000B037A"/>
    <w:rsid w:val="000B1665"/>
    <w:rsid w:val="000B226D"/>
    <w:rsid w:val="000B5314"/>
    <w:rsid w:val="000B62A6"/>
    <w:rsid w:val="000C0C5D"/>
    <w:rsid w:val="000C1A85"/>
    <w:rsid w:val="000C72CB"/>
    <w:rsid w:val="000D25F4"/>
    <w:rsid w:val="000D31BD"/>
    <w:rsid w:val="000D3836"/>
    <w:rsid w:val="000D4876"/>
    <w:rsid w:val="000D534D"/>
    <w:rsid w:val="000D5D1B"/>
    <w:rsid w:val="000D6022"/>
    <w:rsid w:val="000E4480"/>
    <w:rsid w:val="000E6A91"/>
    <w:rsid w:val="000F067F"/>
    <w:rsid w:val="000F07EA"/>
    <w:rsid w:val="000F1CC9"/>
    <w:rsid w:val="000F569A"/>
    <w:rsid w:val="000F59B7"/>
    <w:rsid w:val="000F6B06"/>
    <w:rsid w:val="000F6D23"/>
    <w:rsid w:val="001014A3"/>
    <w:rsid w:val="001019EE"/>
    <w:rsid w:val="00103178"/>
    <w:rsid w:val="001064A4"/>
    <w:rsid w:val="00106D30"/>
    <w:rsid w:val="00107FF6"/>
    <w:rsid w:val="00117D90"/>
    <w:rsid w:val="001203FE"/>
    <w:rsid w:val="001210C3"/>
    <w:rsid w:val="00121562"/>
    <w:rsid w:val="001239E7"/>
    <w:rsid w:val="00124AC9"/>
    <w:rsid w:val="0012555F"/>
    <w:rsid w:val="00127BEF"/>
    <w:rsid w:val="0013023E"/>
    <w:rsid w:val="00131C3C"/>
    <w:rsid w:val="00136748"/>
    <w:rsid w:val="001371CF"/>
    <w:rsid w:val="00143EF4"/>
    <w:rsid w:val="00145D29"/>
    <w:rsid w:val="00150B44"/>
    <w:rsid w:val="00151500"/>
    <w:rsid w:val="00151FEC"/>
    <w:rsid w:val="001541BA"/>
    <w:rsid w:val="00154F18"/>
    <w:rsid w:val="0015500D"/>
    <w:rsid w:val="0015506F"/>
    <w:rsid w:val="00155446"/>
    <w:rsid w:val="00155AC6"/>
    <w:rsid w:val="00155D81"/>
    <w:rsid w:val="00165E75"/>
    <w:rsid w:val="00166AC3"/>
    <w:rsid w:val="0017243E"/>
    <w:rsid w:val="00172736"/>
    <w:rsid w:val="00174382"/>
    <w:rsid w:val="001775D3"/>
    <w:rsid w:val="001847F0"/>
    <w:rsid w:val="001907EF"/>
    <w:rsid w:val="00192102"/>
    <w:rsid w:val="00194C31"/>
    <w:rsid w:val="001965AD"/>
    <w:rsid w:val="001A2F89"/>
    <w:rsid w:val="001A3D4B"/>
    <w:rsid w:val="001A639A"/>
    <w:rsid w:val="001A6937"/>
    <w:rsid w:val="001A6D73"/>
    <w:rsid w:val="001A76F4"/>
    <w:rsid w:val="001A7ADE"/>
    <w:rsid w:val="001B01D3"/>
    <w:rsid w:val="001B1BF9"/>
    <w:rsid w:val="001B34E2"/>
    <w:rsid w:val="001B5284"/>
    <w:rsid w:val="001B68DC"/>
    <w:rsid w:val="001C1B42"/>
    <w:rsid w:val="001C2E2B"/>
    <w:rsid w:val="001C3718"/>
    <w:rsid w:val="001C400E"/>
    <w:rsid w:val="001C4694"/>
    <w:rsid w:val="001C57D3"/>
    <w:rsid w:val="001C5FD4"/>
    <w:rsid w:val="001C6D3F"/>
    <w:rsid w:val="001C7143"/>
    <w:rsid w:val="001D4C97"/>
    <w:rsid w:val="001D5D3C"/>
    <w:rsid w:val="001D713D"/>
    <w:rsid w:val="001E05B4"/>
    <w:rsid w:val="001E46C1"/>
    <w:rsid w:val="001E632C"/>
    <w:rsid w:val="001F0189"/>
    <w:rsid w:val="001F0626"/>
    <w:rsid w:val="001F151F"/>
    <w:rsid w:val="001F1834"/>
    <w:rsid w:val="001F1CA5"/>
    <w:rsid w:val="001F2ACA"/>
    <w:rsid w:val="001F36D8"/>
    <w:rsid w:val="001F62E4"/>
    <w:rsid w:val="001F649C"/>
    <w:rsid w:val="001F64F8"/>
    <w:rsid w:val="001F73AA"/>
    <w:rsid w:val="0020245F"/>
    <w:rsid w:val="0020719B"/>
    <w:rsid w:val="00207326"/>
    <w:rsid w:val="00212B5C"/>
    <w:rsid w:val="002148D0"/>
    <w:rsid w:val="0021715A"/>
    <w:rsid w:val="002177D3"/>
    <w:rsid w:val="0022131D"/>
    <w:rsid w:val="00221F25"/>
    <w:rsid w:val="00223BC5"/>
    <w:rsid w:val="00224E99"/>
    <w:rsid w:val="00225128"/>
    <w:rsid w:val="002256F2"/>
    <w:rsid w:val="002257F6"/>
    <w:rsid w:val="0022796C"/>
    <w:rsid w:val="00231F91"/>
    <w:rsid w:val="00235C65"/>
    <w:rsid w:val="00236D82"/>
    <w:rsid w:val="0023786D"/>
    <w:rsid w:val="00240234"/>
    <w:rsid w:val="0024253B"/>
    <w:rsid w:val="002430B5"/>
    <w:rsid w:val="00245601"/>
    <w:rsid w:val="002458EB"/>
    <w:rsid w:val="00245FAE"/>
    <w:rsid w:val="0024789F"/>
    <w:rsid w:val="00247D52"/>
    <w:rsid w:val="00251947"/>
    <w:rsid w:val="00251AE4"/>
    <w:rsid w:val="00252BD1"/>
    <w:rsid w:val="002530DE"/>
    <w:rsid w:val="002541E8"/>
    <w:rsid w:val="00254A33"/>
    <w:rsid w:val="0025551B"/>
    <w:rsid w:val="00255CF2"/>
    <w:rsid w:val="0025669D"/>
    <w:rsid w:val="0025743A"/>
    <w:rsid w:val="002629AC"/>
    <w:rsid w:val="00263CCF"/>
    <w:rsid w:val="002648FD"/>
    <w:rsid w:val="00273DFD"/>
    <w:rsid w:val="00274EC0"/>
    <w:rsid w:val="002756E2"/>
    <w:rsid w:val="00276490"/>
    <w:rsid w:val="0027676D"/>
    <w:rsid w:val="00276ADD"/>
    <w:rsid w:val="00284BE0"/>
    <w:rsid w:val="00291801"/>
    <w:rsid w:val="00291B5B"/>
    <w:rsid w:val="0029336A"/>
    <w:rsid w:val="00293506"/>
    <w:rsid w:val="00293DCF"/>
    <w:rsid w:val="00293E2C"/>
    <w:rsid w:val="002941EF"/>
    <w:rsid w:val="00294D1C"/>
    <w:rsid w:val="00296726"/>
    <w:rsid w:val="002975E7"/>
    <w:rsid w:val="002A1444"/>
    <w:rsid w:val="002A281A"/>
    <w:rsid w:val="002A2E55"/>
    <w:rsid w:val="002A430E"/>
    <w:rsid w:val="002A4C53"/>
    <w:rsid w:val="002A50FF"/>
    <w:rsid w:val="002A536A"/>
    <w:rsid w:val="002A627C"/>
    <w:rsid w:val="002B20FB"/>
    <w:rsid w:val="002B3422"/>
    <w:rsid w:val="002B4B69"/>
    <w:rsid w:val="002B5297"/>
    <w:rsid w:val="002C20B1"/>
    <w:rsid w:val="002C4BB4"/>
    <w:rsid w:val="002C6302"/>
    <w:rsid w:val="002C6B97"/>
    <w:rsid w:val="002C7F77"/>
    <w:rsid w:val="002D1274"/>
    <w:rsid w:val="002D1BFF"/>
    <w:rsid w:val="002D1CC1"/>
    <w:rsid w:val="002D1F2D"/>
    <w:rsid w:val="002D21F3"/>
    <w:rsid w:val="002D2667"/>
    <w:rsid w:val="002D27FF"/>
    <w:rsid w:val="002D603D"/>
    <w:rsid w:val="002D62A5"/>
    <w:rsid w:val="002E0083"/>
    <w:rsid w:val="002E2727"/>
    <w:rsid w:val="002E49E0"/>
    <w:rsid w:val="002E6BE6"/>
    <w:rsid w:val="002F1DF7"/>
    <w:rsid w:val="002F2BDA"/>
    <w:rsid w:val="002F2D77"/>
    <w:rsid w:val="002F5E56"/>
    <w:rsid w:val="002F7A46"/>
    <w:rsid w:val="00300E03"/>
    <w:rsid w:val="00305214"/>
    <w:rsid w:val="003052E7"/>
    <w:rsid w:val="003060CB"/>
    <w:rsid w:val="00306B34"/>
    <w:rsid w:val="003107F8"/>
    <w:rsid w:val="003129B3"/>
    <w:rsid w:val="00313721"/>
    <w:rsid w:val="00316522"/>
    <w:rsid w:val="00316D8C"/>
    <w:rsid w:val="0031751E"/>
    <w:rsid w:val="003179F4"/>
    <w:rsid w:val="00324E13"/>
    <w:rsid w:val="00326388"/>
    <w:rsid w:val="003303DC"/>
    <w:rsid w:val="003327C0"/>
    <w:rsid w:val="00337819"/>
    <w:rsid w:val="003452A0"/>
    <w:rsid w:val="00346255"/>
    <w:rsid w:val="00346355"/>
    <w:rsid w:val="00347E12"/>
    <w:rsid w:val="003522A2"/>
    <w:rsid w:val="00352447"/>
    <w:rsid w:val="00355DE5"/>
    <w:rsid w:val="00357928"/>
    <w:rsid w:val="0036030D"/>
    <w:rsid w:val="003618C8"/>
    <w:rsid w:val="00361A8F"/>
    <w:rsid w:val="00362409"/>
    <w:rsid w:val="0036287A"/>
    <w:rsid w:val="0037792C"/>
    <w:rsid w:val="003924D1"/>
    <w:rsid w:val="00392587"/>
    <w:rsid w:val="00393CD1"/>
    <w:rsid w:val="0039425A"/>
    <w:rsid w:val="00396048"/>
    <w:rsid w:val="003A20A0"/>
    <w:rsid w:val="003A3D9E"/>
    <w:rsid w:val="003A6FFB"/>
    <w:rsid w:val="003B02D9"/>
    <w:rsid w:val="003B0C96"/>
    <w:rsid w:val="003B1467"/>
    <w:rsid w:val="003B2064"/>
    <w:rsid w:val="003B27D2"/>
    <w:rsid w:val="003B39AA"/>
    <w:rsid w:val="003B408C"/>
    <w:rsid w:val="003C3177"/>
    <w:rsid w:val="003C3897"/>
    <w:rsid w:val="003C3A5C"/>
    <w:rsid w:val="003C7D33"/>
    <w:rsid w:val="003D1DD0"/>
    <w:rsid w:val="003D3842"/>
    <w:rsid w:val="003D39EB"/>
    <w:rsid w:val="003D455D"/>
    <w:rsid w:val="003D4BA5"/>
    <w:rsid w:val="003D65B5"/>
    <w:rsid w:val="003E0C8F"/>
    <w:rsid w:val="003E0E0F"/>
    <w:rsid w:val="003E31FC"/>
    <w:rsid w:val="003E51A4"/>
    <w:rsid w:val="003F236A"/>
    <w:rsid w:val="003F2D54"/>
    <w:rsid w:val="003F3C5F"/>
    <w:rsid w:val="003F440C"/>
    <w:rsid w:val="003F4B8B"/>
    <w:rsid w:val="003F55AC"/>
    <w:rsid w:val="003F62A0"/>
    <w:rsid w:val="0040263C"/>
    <w:rsid w:val="0040336D"/>
    <w:rsid w:val="00405CDE"/>
    <w:rsid w:val="00406F12"/>
    <w:rsid w:val="00407AF4"/>
    <w:rsid w:val="00416D9D"/>
    <w:rsid w:val="00420614"/>
    <w:rsid w:val="0042790F"/>
    <w:rsid w:val="004315FD"/>
    <w:rsid w:val="00433706"/>
    <w:rsid w:val="00433ADC"/>
    <w:rsid w:val="00433C86"/>
    <w:rsid w:val="00435796"/>
    <w:rsid w:val="00435C25"/>
    <w:rsid w:val="00436547"/>
    <w:rsid w:val="004373D6"/>
    <w:rsid w:val="00437719"/>
    <w:rsid w:val="00441325"/>
    <w:rsid w:val="00441E11"/>
    <w:rsid w:val="00441E93"/>
    <w:rsid w:val="0044389B"/>
    <w:rsid w:val="004439D7"/>
    <w:rsid w:val="0044795C"/>
    <w:rsid w:val="00447C38"/>
    <w:rsid w:val="00456BBC"/>
    <w:rsid w:val="00457FBD"/>
    <w:rsid w:val="00460152"/>
    <w:rsid w:val="004607AE"/>
    <w:rsid w:val="00463A8D"/>
    <w:rsid w:val="00465231"/>
    <w:rsid w:val="0046614A"/>
    <w:rsid w:val="00472F3A"/>
    <w:rsid w:val="00473674"/>
    <w:rsid w:val="004838C2"/>
    <w:rsid w:val="00484DDA"/>
    <w:rsid w:val="00485E98"/>
    <w:rsid w:val="00486548"/>
    <w:rsid w:val="00486639"/>
    <w:rsid w:val="0048723A"/>
    <w:rsid w:val="0049014A"/>
    <w:rsid w:val="0049395E"/>
    <w:rsid w:val="004946DB"/>
    <w:rsid w:val="004949CE"/>
    <w:rsid w:val="00495177"/>
    <w:rsid w:val="004968FC"/>
    <w:rsid w:val="00496F6B"/>
    <w:rsid w:val="004A32D3"/>
    <w:rsid w:val="004A56F8"/>
    <w:rsid w:val="004A652D"/>
    <w:rsid w:val="004B0F03"/>
    <w:rsid w:val="004B5B2F"/>
    <w:rsid w:val="004B6A8D"/>
    <w:rsid w:val="004B6E96"/>
    <w:rsid w:val="004C1649"/>
    <w:rsid w:val="004D254B"/>
    <w:rsid w:val="004D328E"/>
    <w:rsid w:val="004D3306"/>
    <w:rsid w:val="004D3769"/>
    <w:rsid w:val="004D4FFF"/>
    <w:rsid w:val="004D51E9"/>
    <w:rsid w:val="004D5A19"/>
    <w:rsid w:val="004D69CA"/>
    <w:rsid w:val="004D7116"/>
    <w:rsid w:val="004E0D79"/>
    <w:rsid w:val="004E2CD3"/>
    <w:rsid w:val="004E394C"/>
    <w:rsid w:val="004E4E32"/>
    <w:rsid w:val="004E611D"/>
    <w:rsid w:val="004F06AF"/>
    <w:rsid w:val="004F0704"/>
    <w:rsid w:val="004F2AF0"/>
    <w:rsid w:val="004F2FB0"/>
    <w:rsid w:val="004F7541"/>
    <w:rsid w:val="00500EC7"/>
    <w:rsid w:val="00501D19"/>
    <w:rsid w:val="005038D9"/>
    <w:rsid w:val="00504E59"/>
    <w:rsid w:val="00505AF9"/>
    <w:rsid w:val="00506391"/>
    <w:rsid w:val="0051040F"/>
    <w:rsid w:val="005114B8"/>
    <w:rsid w:val="005120A7"/>
    <w:rsid w:val="00512843"/>
    <w:rsid w:val="00512C96"/>
    <w:rsid w:val="00513284"/>
    <w:rsid w:val="00513A58"/>
    <w:rsid w:val="005164E8"/>
    <w:rsid w:val="00516BCC"/>
    <w:rsid w:val="00520BA9"/>
    <w:rsid w:val="0052471E"/>
    <w:rsid w:val="00532C25"/>
    <w:rsid w:val="00533A77"/>
    <w:rsid w:val="005349B8"/>
    <w:rsid w:val="00534B99"/>
    <w:rsid w:val="00535A20"/>
    <w:rsid w:val="00537763"/>
    <w:rsid w:val="00541CE4"/>
    <w:rsid w:val="00542867"/>
    <w:rsid w:val="00544C1D"/>
    <w:rsid w:val="00544DA4"/>
    <w:rsid w:val="00545C76"/>
    <w:rsid w:val="00545D2C"/>
    <w:rsid w:val="00545FFE"/>
    <w:rsid w:val="0054617C"/>
    <w:rsid w:val="005470AA"/>
    <w:rsid w:val="0055010C"/>
    <w:rsid w:val="005503C1"/>
    <w:rsid w:val="00553209"/>
    <w:rsid w:val="00553906"/>
    <w:rsid w:val="00553BFB"/>
    <w:rsid w:val="0056219E"/>
    <w:rsid w:val="0056244D"/>
    <w:rsid w:val="00565674"/>
    <w:rsid w:val="00565DF4"/>
    <w:rsid w:val="00570B10"/>
    <w:rsid w:val="00571EC3"/>
    <w:rsid w:val="005722FB"/>
    <w:rsid w:val="005732AD"/>
    <w:rsid w:val="00573526"/>
    <w:rsid w:val="00573DFC"/>
    <w:rsid w:val="00574104"/>
    <w:rsid w:val="005745A1"/>
    <w:rsid w:val="00575B35"/>
    <w:rsid w:val="00581A67"/>
    <w:rsid w:val="005845AE"/>
    <w:rsid w:val="005855F9"/>
    <w:rsid w:val="00590795"/>
    <w:rsid w:val="00593B7B"/>
    <w:rsid w:val="00596240"/>
    <w:rsid w:val="00596973"/>
    <w:rsid w:val="0059697C"/>
    <w:rsid w:val="00596FB2"/>
    <w:rsid w:val="00597D71"/>
    <w:rsid w:val="005A0323"/>
    <w:rsid w:val="005A0E2D"/>
    <w:rsid w:val="005A3FD5"/>
    <w:rsid w:val="005A5192"/>
    <w:rsid w:val="005B0580"/>
    <w:rsid w:val="005B69F5"/>
    <w:rsid w:val="005B755E"/>
    <w:rsid w:val="005B7F9B"/>
    <w:rsid w:val="005C286D"/>
    <w:rsid w:val="005C366B"/>
    <w:rsid w:val="005C3969"/>
    <w:rsid w:val="005C5DC5"/>
    <w:rsid w:val="005D218A"/>
    <w:rsid w:val="005D2E24"/>
    <w:rsid w:val="005D30CD"/>
    <w:rsid w:val="005D691B"/>
    <w:rsid w:val="005E599C"/>
    <w:rsid w:val="005E641C"/>
    <w:rsid w:val="005E6EAD"/>
    <w:rsid w:val="005E793F"/>
    <w:rsid w:val="005E7E50"/>
    <w:rsid w:val="005F27CE"/>
    <w:rsid w:val="005F4019"/>
    <w:rsid w:val="005F7091"/>
    <w:rsid w:val="005F712E"/>
    <w:rsid w:val="00600370"/>
    <w:rsid w:val="00600D26"/>
    <w:rsid w:val="00602FDE"/>
    <w:rsid w:val="00605229"/>
    <w:rsid w:val="006061E1"/>
    <w:rsid w:val="00611188"/>
    <w:rsid w:val="00611E52"/>
    <w:rsid w:val="0061337C"/>
    <w:rsid w:val="00613868"/>
    <w:rsid w:val="006148AA"/>
    <w:rsid w:val="00615282"/>
    <w:rsid w:val="006157A5"/>
    <w:rsid w:val="00615E37"/>
    <w:rsid w:val="00617E7A"/>
    <w:rsid w:val="00620190"/>
    <w:rsid w:val="00620CEA"/>
    <w:rsid w:val="006210AD"/>
    <w:rsid w:val="00621A46"/>
    <w:rsid w:val="00623D18"/>
    <w:rsid w:val="006268CE"/>
    <w:rsid w:val="00630835"/>
    <w:rsid w:val="0063127C"/>
    <w:rsid w:val="00634E23"/>
    <w:rsid w:val="00634EC3"/>
    <w:rsid w:val="00637253"/>
    <w:rsid w:val="00640E5B"/>
    <w:rsid w:val="00640F87"/>
    <w:rsid w:val="00641220"/>
    <w:rsid w:val="00643981"/>
    <w:rsid w:val="006463EE"/>
    <w:rsid w:val="0064732E"/>
    <w:rsid w:val="006501C2"/>
    <w:rsid w:val="00651115"/>
    <w:rsid w:val="00654E6D"/>
    <w:rsid w:val="00655A72"/>
    <w:rsid w:val="00656557"/>
    <w:rsid w:val="00661F7B"/>
    <w:rsid w:val="00662CEF"/>
    <w:rsid w:val="00663AAA"/>
    <w:rsid w:val="00663C8D"/>
    <w:rsid w:val="0066458E"/>
    <w:rsid w:val="006646E1"/>
    <w:rsid w:val="00665465"/>
    <w:rsid w:val="006714E1"/>
    <w:rsid w:val="00671C2A"/>
    <w:rsid w:val="006735EE"/>
    <w:rsid w:val="00676522"/>
    <w:rsid w:val="00676736"/>
    <w:rsid w:val="006A0B12"/>
    <w:rsid w:val="006A36D5"/>
    <w:rsid w:val="006A4EF7"/>
    <w:rsid w:val="006A5A4E"/>
    <w:rsid w:val="006A6A58"/>
    <w:rsid w:val="006B04CD"/>
    <w:rsid w:val="006B178A"/>
    <w:rsid w:val="006B4E26"/>
    <w:rsid w:val="006B4E5C"/>
    <w:rsid w:val="006B6F7C"/>
    <w:rsid w:val="006B7130"/>
    <w:rsid w:val="006C0D3E"/>
    <w:rsid w:val="006C406C"/>
    <w:rsid w:val="006C7561"/>
    <w:rsid w:val="006D0B1E"/>
    <w:rsid w:val="006D16B8"/>
    <w:rsid w:val="006D2DC6"/>
    <w:rsid w:val="006D3ACC"/>
    <w:rsid w:val="006D3B35"/>
    <w:rsid w:val="006D3E98"/>
    <w:rsid w:val="006D5894"/>
    <w:rsid w:val="006D73A7"/>
    <w:rsid w:val="006E1B1E"/>
    <w:rsid w:val="006E1C2A"/>
    <w:rsid w:val="006E39EA"/>
    <w:rsid w:val="006E4837"/>
    <w:rsid w:val="006E6C09"/>
    <w:rsid w:val="006F0E0F"/>
    <w:rsid w:val="006F1D55"/>
    <w:rsid w:val="006F4E17"/>
    <w:rsid w:val="006F54D0"/>
    <w:rsid w:val="006F5EB9"/>
    <w:rsid w:val="006F648D"/>
    <w:rsid w:val="0070007E"/>
    <w:rsid w:val="0070603E"/>
    <w:rsid w:val="007072B9"/>
    <w:rsid w:val="00710343"/>
    <w:rsid w:val="007168E2"/>
    <w:rsid w:val="00716F4C"/>
    <w:rsid w:val="00720A75"/>
    <w:rsid w:val="007211AD"/>
    <w:rsid w:val="00721DCE"/>
    <w:rsid w:val="00723536"/>
    <w:rsid w:val="00726945"/>
    <w:rsid w:val="007302DA"/>
    <w:rsid w:val="007361A6"/>
    <w:rsid w:val="00741B16"/>
    <w:rsid w:val="00743F80"/>
    <w:rsid w:val="00750060"/>
    <w:rsid w:val="00753546"/>
    <w:rsid w:val="00756C19"/>
    <w:rsid w:val="00761D65"/>
    <w:rsid w:val="00764434"/>
    <w:rsid w:val="007655A4"/>
    <w:rsid w:val="0076561B"/>
    <w:rsid w:val="007661C4"/>
    <w:rsid w:val="0077788E"/>
    <w:rsid w:val="007818AD"/>
    <w:rsid w:val="00781BDA"/>
    <w:rsid w:val="0078394A"/>
    <w:rsid w:val="0078494C"/>
    <w:rsid w:val="00784BDA"/>
    <w:rsid w:val="00785539"/>
    <w:rsid w:val="00790C2B"/>
    <w:rsid w:val="0079119F"/>
    <w:rsid w:val="007922DC"/>
    <w:rsid w:val="007934C6"/>
    <w:rsid w:val="00794901"/>
    <w:rsid w:val="00794964"/>
    <w:rsid w:val="007954F9"/>
    <w:rsid w:val="00797735"/>
    <w:rsid w:val="007A213C"/>
    <w:rsid w:val="007A33B4"/>
    <w:rsid w:val="007A3D61"/>
    <w:rsid w:val="007A53DF"/>
    <w:rsid w:val="007A585D"/>
    <w:rsid w:val="007A642E"/>
    <w:rsid w:val="007A782B"/>
    <w:rsid w:val="007B0BA0"/>
    <w:rsid w:val="007B13BF"/>
    <w:rsid w:val="007B2575"/>
    <w:rsid w:val="007B2640"/>
    <w:rsid w:val="007B2BD5"/>
    <w:rsid w:val="007B47CA"/>
    <w:rsid w:val="007B56E6"/>
    <w:rsid w:val="007B6796"/>
    <w:rsid w:val="007B75AA"/>
    <w:rsid w:val="007C1114"/>
    <w:rsid w:val="007C40E1"/>
    <w:rsid w:val="007D0F79"/>
    <w:rsid w:val="007D1BE1"/>
    <w:rsid w:val="007D3A11"/>
    <w:rsid w:val="007D4414"/>
    <w:rsid w:val="007D4874"/>
    <w:rsid w:val="007D4C6C"/>
    <w:rsid w:val="007E0791"/>
    <w:rsid w:val="007E3119"/>
    <w:rsid w:val="007E37FE"/>
    <w:rsid w:val="007E4135"/>
    <w:rsid w:val="007F4403"/>
    <w:rsid w:val="007F6F17"/>
    <w:rsid w:val="008006E6"/>
    <w:rsid w:val="008050E7"/>
    <w:rsid w:val="00805178"/>
    <w:rsid w:val="00806B76"/>
    <w:rsid w:val="00807AFF"/>
    <w:rsid w:val="00810D42"/>
    <w:rsid w:val="00811354"/>
    <w:rsid w:val="00813968"/>
    <w:rsid w:val="00814CFF"/>
    <w:rsid w:val="00814F74"/>
    <w:rsid w:val="008223D2"/>
    <w:rsid w:val="00824CED"/>
    <w:rsid w:val="008304BB"/>
    <w:rsid w:val="00833424"/>
    <w:rsid w:val="0083618F"/>
    <w:rsid w:val="0083791D"/>
    <w:rsid w:val="00840079"/>
    <w:rsid w:val="008445F6"/>
    <w:rsid w:val="0085367C"/>
    <w:rsid w:val="00856362"/>
    <w:rsid w:val="008608B6"/>
    <w:rsid w:val="0086174F"/>
    <w:rsid w:val="00861D61"/>
    <w:rsid w:val="00862496"/>
    <w:rsid w:val="00862771"/>
    <w:rsid w:val="00862C17"/>
    <w:rsid w:val="00864FC6"/>
    <w:rsid w:val="008661F9"/>
    <w:rsid w:val="008664AA"/>
    <w:rsid w:val="008757FF"/>
    <w:rsid w:val="00881031"/>
    <w:rsid w:val="008827F4"/>
    <w:rsid w:val="0088306F"/>
    <w:rsid w:val="00883F06"/>
    <w:rsid w:val="00884B90"/>
    <w:rsid w:val="00890EBF"/>
    <w:rsid w:val="0089227B"/>
    <w:rsid w:val="0089232C"/>
    <w:rsid w:val="00893A31"/>
    <w:rsid w:val="008948C5"/>
    <w:rsid w:val="00896526"/>
    <w:rsid w:val="008A2060"/>
    <w:rsid w:val="008A293D"/>
    <w:rsid w:val="008A3691"/>
    <w:rsid w:val="008A5848"/>
    <w:rsid w:val="008B0E60"/>
    <w:rsid w:val="008B42F5"/>
    <w:rsid w:val="008B4F82"/>
    <w:rsid w:val="008C0BFA"/>
    <w:rsid w:val="008C3280"/>
    <w:rsid w:val="008C4F03"/>
    <w:rsid w:val="008C4F82"/>
    <w:rsid w:val="008C5385"/>
    <w:rsid w:val="008C5767"/>
    <w:rsid w:val="008C6B66"/>
    <w:rsid w:val="008D1E1C"/>
    <w:rsid w:val="008D1E70"/>
    <w:rsid w:val="008D24EC"/>
    <w:rsid w:val="008D3068"/>
    <w:rsid w:val="008D5EB1"/>
    <w:rsid w:val="008D79E9"/>
    <w:rsid w:val="008D7B88"/>
    <w:rsid w:val="008E18B5"/>
    <w:rsid w:val="008F48E0"/>
    <w:rsid w:val="008F4D59"/>
    <w:rsid w:val="008F53D9"/>
    <w:rsid w:val="008F778F"/>
    <w:rsid w:val="00901791"/>
    <w:rsid w:val="00902A78"/>
    <w:rsid w:val="0090400D"/>
    <w:rsid w:val="0090677A"/>
    <w:rsid w:val="0091282C"/>
    <w:rsid w:val="009140A6"/>
    <w:rsid w:val="00920D4C"/>
    <w:rsid w:val="00920F60"/>
    <w:rsid w:val="00922A32"/>
    <w:rsid w:val="0092615F"/>
    <w:rsid w:val="00930FE5"/>
    <w:rsid w:val="00932E46"/>
    <w:rsid w:val="0093570E"/>
    <w:rsid w:val="00936ACE"/>
    <w:rsid w:val="0094060A"/>
    <w:rsid w:val="00941513"/>
    <w:rsid w:val="00942672"/>
    <w:rsid w:val="00943A85"/>
    <w:rsid w:val="00944B74"/>
    <w:rsid w:val="009475E8"/>
    <w:rsid w:val="00950CCD"/>
    <w:rsid w:val="00955B7C"/>
    <w:rsid w:val="00956BA0"/>
    <w:rsid w:val="009570D6"/>
    <w:rsid w:val="00961905"/>
    <w:rsid w:val="00962680"/>
    <w:rsid w:val="0097352A"/>
    <w:rsid w:val="00974BA5"/>
    <w:rsid w:val="00975AF8"/>
    <w:rsid w:val="00975B45"/>
    <w:rsid w:val="00977076"/>
    <w:rsid w:val="0097738F"/>
    <w:rsid w:val="00977C3B"/>
    <w:rsid w:val="0098139A"/>
    <w:rsid w:val="009837F8"/>
    <w:rsid w:val="00983A81"/>
    <w:rsid w:val="00984DC4"/>
    <w:rsid w:val="00987F8C"/>
    <w:rsid w:val="00994725"/>
    <w:rsid w:val="00996084"/>
    <w:rsid w:val="009A49F8"/>
    <w:rsid w:val="009A54BB"/>
    <w:rsid w:val="009A645C"/>
    <w:rsid w:val="009B07C3"/>
    <w:rsid w:val="009B0F0A"/>
    <w:rsid w:val="009B130A"/>
    <w:rsid w:val="009B1483"/>
    <w:rsid w:val="009B1DD2"/>
    <w:rsid w:val="009C057C"/>
    <w:rsid w:val="009C1814"/>
    <w:rsid w:val="009C3B01"/>
    <w:rsid w:val="009C4095"/>
    <w:rsid w:val="009C4645"/>
    <w:rsid w:val="009C526D"/>
    <w:rsid w:val="009C5843"/>
    <w:rsid w:val="009C5ED5"/>
    <w:rsid w:val="009C6DA4"/>
    <w:rsid w:val="009D1C11"/>
    <w:rsid w:val="009D1EA3"/>
    <w:rsid w:val="009D7341"/>
    <w:rsid w:val="009E0BDF"/>
    <w:rsid w:val="009E296A"/>
    <w:rsid w:val="009E2DDD"/>
    <w:rsid w:val="009E43DF"/>
    <w:rsid w:val="009E7169"/>
    <w:rsid w:val="009F0867"/>
    <w:rsid w:val="009F5BD7"/>
    <w:rsid w:val="009F7787"/>
    <w:rsid w:val="009F7A46"/>
    <w:rsid w:val="00A0270B"/>
    <w:rsid w:val="00A02C1E"/>
    <w:rsid w:val="00A04CEC"/>
    <w:rsid w:val="00A05CC3"/>
    <w:rsid w:val="00A06C57"/>
    <w:rsid w:val="00A11860"/>
    <w:rsid w:val="00A21307"/>
    <w:rsid w:val="00A27349"/>
    <w:rsid w:val="00A27D5D"/>
    <w:rsid w:val="00A30143"/>
    <w:rsid w:val="00A32643"/>
    <w:rsid w:val="00A336E7"/>
    <w:rsid w:val="00A35BC6"/>
    <w:rsid w:val="00A35C40"/>
    <w:rsid w:val="00A37043"/>
    <w:rsid w:val="00A37AC2"/>
    <w:rsid w:val="00A42345"/>
    <w:rsid w:val="00A42D4E"/>
    <w:rsid w:val="00A430FC"/>
    <w:rsid w:val="00A44766"/>
    <w:rsid w:val="00A448DE"/>
    <w:rsid w:val="00A45DD3"/>
    <w:rsid w:val="00A46953"/>
    <w:rsid w:val="00A52306"/>
    <w:rsid w:val="00A53A40"/>
    <w:rsid w:val="00A53AF1"/>
    <w:rsid w:val="00A54B1F"/>
    <w:rsid w:val="00A57DFC"/>
    <w:rsid w:val="00A6658F"/>
    <w:rsid w:val="00A67130"/>
    <w:rsid w:val="00A678FE"/>
    <w:rsid w:val="00A7043A"/>
    <w:rsid w:val="00A710E0"/>
    <w:rsid w:val="00A71CD6"/>
    <w:rsid w:val="00A72F02"/>
    <w:rsid w:val="00A73478"/>
    <w:rsid w:val="00A74C3D"/>
    <w:rsid w:val="00A754D9"/>
    <w:rsid w:val="00A801C5"/>
    <w:rsid w:val="00A82430"/>
    <w:rsid w:val="00A82D04"/>
    <w:rsid w:val="00A83DE2"/>
    <w:rsid w:val="00A84609"/>
    <w:rsid w:val="00A84714"/>
    <w:rsid w:val="00A8471A"/>
    <w:rsid w:val="00A85401"/>
    <w:rsid w:val="00A8699E"/>
    <w:rsid w:val="00A92D40"/>
    <w:rsid w:val="00A939E6"/>
    <w:rsid w:val="00A943E5"/>
    <w:rsid w:val="00AA0106"/>
    <w:rsid w:val="00AB081E"/>
    <w:rsid w:val="00AB3DC7"/>
    <w:rsid w:val="00AB47FC"/>
    <w:rsid w:val="00AB59C5"/>
    <w:rsid w:val="00AB600C"/>
    <w:rsid w:val="00AC78A6"/>
    <w:rsid w:val="00AD0155"/>
    <w:rsid w:val="00AD31DE"/>
    <w:rsid w:val="00AD6729"/>
    <w:rsid w:val="00AD7465"/>
    <w:rsid w:val="00AE6090"/>
    <w:rsid w:val="00AE7478"/>
    <w:rsid w:val="00AF07D1"/>
    <w:rsid w:val="00AF4E05"/>
    <w:rsid w:val="00AF5A13"/>
    <w:rsid w:val="00B00824"/>
    <w:rsid w:val="00B0257B"/>
    <w:rsid w:val="00B034DB"/>
    <w:rsid w:val="00B04D74"/>
    <w:rsid w:val="00B06B93"/>
    <w:rsid w:val="00B06BBC"/>
    <w:rsid w:val="00B107A1"/>
    <w:rsid w:val="00B1125A"/>
    <w:rsid w:val="00B13B0A"/>
    <w:rsid w:val="00B15225"/>
    <w:rsid w:val="00B15ACB"/>
    <w:rsid w:val="00B16C7B"/>
    <w:rsid w:val="00B21FB4"/>
    <w:rsid w:val="00B230AC"/>
    <w:rsid w:val="00B24CA2"/>
    <w:rsid w:val="00B27356"/>
    <w:rsid w:val="00B329BA"/>
    <w:rsid w:val="00B32D0A"/>
    <w:rsid w:val="00B33540"/>
    <w:rsid w:val="00B336EC"/>
    <w:rsid w:val="00B339D8"/>
    <w:rsid w:val="00B34564"/>
    <w:rsid w:val="00B34683"/>
    <w:rsid w:val="00B36D17"/>
    <w:rsid w:val="00B4217C"/>
    <w:rsid w:val="00B42EA9"/>
    <w:rsid w:val="00B46554"/>
    <w:rsid w:val="00B4682B"/>
    <w:rsid w:val="00B46993"/>
    <w:rsid w:val="00B517A2"/>
    <w:rsid w:val="00B5369E"/>
    <w:rsid w:val="00B56876"/>
    <w:rsid w:val="00B5703A"/>
    <w:rsid w:val="00B57DD4"/>
    <w:rsid w:val="00B60045"/>
    <w:rsid w:val="00B601BC"/>
    <w:rsid w:val="00B612DD"/>
    <w:rsid w:val="00B62C70"/>
    <w:rsid w:val="00B63626"/>
    <w:rsid w:val="00B64AE8"/>
    <w:rsid w:val="00B65B6A"/>
    <w:rsid w:val="00B7029B"/>
    <w:rsid w:val="00B7453C"/>
    <w:rsid w:val="00B749C6"/>
    <w:rsid w:val="00B74C09"/>
    <w:rsid w:val="00B77048"/>
    <w:rsid w:val="00B80C11"/>
    <w:rsid w:val="00B81BD2"/>
    <w:rsid w:val="00B83C0D"/>
    <w:rsid w:val="00B83CD1"/>
    <w:rsid w:val="00B86D2C"/>
    <w:rsid w:val="00B86E26"/>
    <w:rsid w:val="00B908D6"/>
    <w:rsid w:val="00B92C32"/>
    <w:rsid w:val="00B934C2"/>
    <w:rsid w:val="00B93955"/>
    <w:rsid w:val="00B968B5"/>
    <w:rsid w:val="00B971B8"/>
    <w:rsid w:val="00B97E66"/>
    <w:rsid w:val="00BA0EDF"/>
    <w:rsid w:val="00BA647A"/>
    <w:rsid w:val="00BB23D5"/>
    <w:rsid w:val="00BB4E3B"/>
    <w:rsid w:val="00BB7F37"/>
    <w:rsid w:val="00BC0C3C"/>
    <w:rsid w:val="00BC10C7"/>
    <w:rsid w:val="00BC27B5"/>
    <w:rsid w:val="00BC2E5F"/>
    <w:rsid w:val="00BC4DF6"/>
    <w:rsid w:val="00BC7708"/>
    <w:rsid w:val="00BD12B5"/>
    <w:rsid w:val="00BD3640"/>
    <w:rsid w:val="00BD4DE2"/>
    <w:rsid w:val="00BD7260"/>
    <w:rsid w:val="00BD736D"/>
    <w:rsid w:val="00BE028B"/>
    <w:rsid w:val="00BE0E66"/>
    <w:rsid w:val="00BE723E"/>
    <w:rsid w:val="00BF07FA"/>
    <w:rsid w:val="00BF316D"/>
    <w:rsid w:val="00BF3897"/>
    <w:rsid w:val="00BF4CF8"/>
    <w:rsid w:val="00BF4ED0"/>
    <w:rsid w:val="00BF74D9"/>
    <w:rsid w:val="00BF7A74"/>
    <w:rsid w:val="00C013AE"/>
    <w:rsid w:val="00C025FE"/>
    <w:rsid w:val="00C029EA"/>
    <w:rsid w:val="00C0306A"/>
    <w:rsid w:val="00C04ECA"/>
    <w:rsid w:val="00C06631"/>
    <w:rsid w:val="00C0695F"/>
    <w:rsid w:val="00C12917"/>
    <w:rsid w:val="00C134D2"/>
    <w:rsid w:val="00C1405D"/>
    <w:rsid w:val="00C15369"/>
    <w:rsid w:val="00C17D11"/>
    <w:rsid w:val="00C2017F"/>
    <w:rsid w:val="00C24614"/>
    <w:rsid w:val="00C259BD"/>
    <w:rsid w:val="00C26B3A"/>
    <w:rsid w:val="00C30212"/>
    <w:rsid w:val="00C30CD8"/>
    <w:rsid w:val="00C336F7"/>
    <w:rsid w:val="00C33AEF"/>
    <w:rsid w:val="00C40DC7"/>
    <w:rsid w:val="00C44FF0"/>
    <w:rsid w:val="00C50EB9"/>
    <w:rsid w:val="00C519CB"/>
    <w:rsid w:val="00C52F19"/>
    <w:rsid w:val="00C545B1"/>
    <w:rsid w:val="00C55ABA"/>
    <w:rsid w:val="00C566F5"/>
    <w:rsid w:val="00C568A9"/>
    <w:rsid w:val="00C578EB"/>
    <w:rsid w:val="00C57A52"/>
    <w:rsid w:val="00C604B1"/>
    <w:rsid w:val="00C64ABA"/>
    <w:rsid w:val="00C660EE"/>
    <w:rsid w:val="00C6712F"/>
    <w:rsid w:val="00C7035F"/>
    <w:rsid w:val="00C744AC"/>
    <w:rsid w:val="00C76334"/>
    <w:rsid w:val="00C765D1"/>
    <w:rsid w:val="00C81AFD"/>
    <w:rsid w:val="00C81E29"/>
    <w:rsid w:val="00C82BED"/>
    <w:rsid w:val="00C847E8"/>
    <w:rsid w:val="00C8544B"/>
    <w:rsid w:val="00C85E1C"/>
    <w:rsid w:val="00C8779D"/>
    <w:rsid w:val="00C9100C"/>
    <w:rsid w:val="00C91894"/>
    <w:rsid w:val="00C92950"/>
    <w:rsid w:val="00C92B78"/>
    <w:rsid w:val="00C95BB7"/>
    <w:rsid w:val="00C96FE4"/>
    <w:rsid w:val="00CA1234"/>
    <w:rsid w:val="00CA1AE0"/>
    <w:rsid w:val="00CA2B4A"/>
    <w:rsid w:val="00CA5EB4"/>
    <w:rsid w:val="00CA6E48"/>
    <w:rsid w:val="00CA7BD9"/>
    <w:rsid w:val="00CA7E97"/>
    <w:rsid w:val="00CB2BF4"/>
    <w:rsid w:val="00CB3AAE"/>
    <w:rsid w:val="00CB4EB0"/>
    <w:rsid w:val="00CB53ED"/>
    <w:rsid w:val="00CB72D7"/>
    <w:rsid w:val="00CC29A4"/>
    <w:rsid w:val="00CC29E3"/>
    <w:rsid w:val="00CC3D88"/>
    <w:rsid w:val="00CC535A"/>
    <w:rsid w:val="00CC694D"/>
    <w:rsid w:val="00CC79AD"/>
    <w:rsid w:val="00CD0215"/>
    <w:rsid w:val="00CD0C42"/>
    <w:rsid w:val="00CD35C4"/>
    <w:rsid w:val="00CD4B44"/>
    <w:rsid w:val="00CD5A09"/>
    <w:rsid w:val="00CE18EC"/>
    <w:rsid w:val="00CE2C42"/>
    <w:rsid w:val="00CE4212"/>
    <w:rsid w:val="00CE7E15"/>
    <w:rsid w:val="00CF0CDF"/>
    <w:rsid w:val="00CF65AB"/>
    <w:rsid w:val="00CF774F"/>
    <w:rsid w:val="00D002F8"/>
    <w:rsid w:val="00D024FD"/>
    <w:rsid w:val="00D03A92"/>
    <w:rsid w:val="00D075C6"/>
    <w:rsid w:val="00D10800"/>
    <w:rsid w:val="00D10F70"/>
    <w:rsid w:val="00D15E11"/>
    <w:rsid w:val="00D24424"/>
    <w:rsid w:val="00D2562D"/>
    <w:rsid w:val="00D27DB9"/>
    <w:rsid w:val="00D322D4"/>
    <w:rsid w:val="00D325F4"/>
    <w:rsid w:val="00D3269B"/>
    <w:rsid w:val="00D33F49"/>
    <w:rsid w:val="00D341A0"/>
    <w:rsid w:val="00D34E66"/>
    <w:rsid w:val="00D40ED3"/>
    <w:rsid w:val="00D4267D"/>
    <w:rsid w:val="00D46989"/>
    <w:rsid w:val="00D5096A"/>
    <w:rsid w:val="00D51496"/>
    <w:rsid w:val="00D521AF"/>
    <w:rsid w:val="00D54E65"/>
    <w:rsid w:val="00D55941"/>
    <w:rsid w:val="00D5774F"/>
    <w:rsid w:val="00D63188"/>
    <w:rsid w:val="00D6796A"/>
    <w:rsid w:val="00D71D36"/>
    <w:rsid w:val="00D72383"/>
    <w:rsid w:val="00D72A4C"/>
    <w:rsid w:val="00D733E0"/>
    <w:rsid w:val="00D74E58"/>
    <w:rsid w:val="00D75B58"/>
    <w:rsid w:val="00D76522"/>
    <w:rsid w:val="00D76C24"/>
    <w:rsid w:val="00D8048E"/>
    <w:rsid w:val="00D81EF8"/>
    <w:rsid w:val="00D83594"/>
    <w:rsid w:val="00D8624E"/>
    <w:rsid w:val="00D8639A"/>
    <w:rsid w:val="00D875F4"/>
    <w:rsid w:val="00D87716"/>
    <w:rsid w:val="00D91E22"/>
    <w:rsid w:val="00D92C39"/>
    <w:rsid w:val="00DA6805"/>
    <w:rsid w:val="00DB0E02"/>
    <w:rsid w:val="00DB2955"/>
    <w:rsid w:val="00DB41A6"/>
    <w:rsid w:val="00DB45E4"/>
    <w:rsid w:val="00DB4880"/>
    <w:rsid w:val="00DB49DE"/>
    <w:rsid w:val="00DB5164"/>
    <w:rsid w:val="00DC09F4"/>
    <w:rsid w:val="00DC13B9"/>
    <w:rsid w:val="00DC20BF"/>
    <w:rsid w:val="00DC21D2"/>
    <w:rsid w:val="00DC630C"/>
    <w:rsid w:val="00DC66FE"/>
    <w:rsid w:val="00DC78E6"/>
    <w:rsid w:val="00DD316F"/>
    <w:rsid w:val="00DD4038"/>
    <w:rsid w:val="00DD4395"/>
    <w:rsid w:val="00DD4530"/>
    <w:rsid w:val="00DD5DD6"/>
    <w:rsid w:val="00DD7086"/>
    <w:rsid w:val="00DD79B3"/>
    <w:rsid w:val="00DE1509"/>
    <w:rsid w:val="00DE270A"/>
    <w:rsid w:val="00DE5849"/>
    <w:rsid w:val="00DF0FE4"/>
    <w:rsid w:val="00DF1A68"/>
    <w:rsid w:val="00DF2065"/>
    <w:rsid w:val="00DF4E3E"/>
    <w:rsid w:val="00E0092D"/>
    <w:rsid w:val="00E00F1A"/>
    <w:rsid w:val="00E021E5"/>
    <w:rsid w:val="00E04157"/>
    <w:rsid w:val="00E04414"/>
    <w:rsid w:val="00E06115"/>
    <w:rsid w:val="00E06F56"/>
    <w:rsid w:val="00E07153"/>
    <w:rsid w:val="00E0756C"/>
    <w:rsid w:val="00E109A9"/>
    <w:rsid w:val="00E11A55"/>
    <w:rsid w:val="00E11D98"/>
    <w:rsid w:val="00E13AC1"/>
    <w:rsid w:val="00E1436C"/>
    <w:rsid w:val="00E1479C"/>
    <w:rsid w:val="00E14EFD"/>
    <w:rsid w:val="00E1526D"/>
    <w:rsid w:val="00E1743E"/>
    <w:rsid w:val="00E20620"/>
    <w:rsid w:val="00E21C66"/>
    <w:rsid w:val="00E24135"/>
    <w:rsid w:val="00E30213"/>
    <w:rsid w:val="00E31E47"/>
    <w:rsid w:val="00E325D9"/>
    <w:rsid w:val="00E3383C"/>
    <w:rsid w:val="00E33B48"/>
    <w:rsid w:val="00E3417C"/>
    <w:rsid w:val="00E350A7"/>
    <w:rsid w:val="00E35E8F"/>
    <w:rsid w:val="00E35FA1"/>
    <w:rsid w:val="00E36561"/>
    <w:rsid w:val="00E36C86"/>
    <w:rsid w:val="00E375E7"/>
    <w:rsid w:val="00E4516B"/>
    <w:rsid w:val="00E45B42"/>
    <w:rsid w:val="00E47188"/>
    <w:rsid w:val="00E515F4"/>
    <w:rsid w:val="00E5276D"/>
    <w:rsid w:val="00E55064"/>
    <w:rsid w:val="00E5524F"/>
    <w:rsid w:val="00E553CE"/>
    <w:rsid w:val="00E5634A"/>
    <w:rsid w:val="00E577C8"/>
    <w:rsid w:val="00E60226"/>
    <w:rsid w:val="00E61061"/>
    <w:rsid w:val="00E61D91"/>
    <w:rsid w:val="00E61F87"/>
    <w:rsid w:val="00E638D6"/>
    <w:rsid w:val="00E6520A"/>
    <w:rsid w:val="00E65AA0"/>
    <w:rsid w:val="00E66746"/>
    <w:rsid w:val="00E7022C"/>
    <w:rsid w:val="00E707D2"/>
    <w:rsid w:val="00E70E99"/>
    <w:rsid w:val="00E71693"/>
    <w:rsid w:val="00E71AD4"/>
    <w:rsid w:val="00E730D3"/>
    <w:rsid w:val="00E74DDD"/>
    <w:rsid w:val="00E82A79"/>
    <w:rsid w:val="00E82BF0"/>
    <w:rsid w:val="00E82E05"/>
    <w:rsid w:val="00E84D81"/>
    <w:rsid w:val="00E874A1"/>
    <w:rsid w:val="00E907F7"/>
    <w:rsid w:val="00EA0C13"/>
    <w:rsid w:val="00EA3EE5"/>
    <w:rsid w:val="00EA6339"/>
    <w:rsid w:val="00EA6852"/>
    <w:rsid w:val="00EA6A2E"/>
    <w:rsid w:val="00EA7A8C"/>
    <w:rsid w:val="00EB076B"/>
    <w:rsid w:val="00EB4AEF"/>
    <w:rsid w:val="00EB5666"/>
    <w:rsid w:val="00EB5EBC"/>
    <w:rsid w:val="00EB702E"/>
    <w:rsid w:val="00EC26D1"/>
    <w:rsid w:val="00EC2E23"/>
    <w:rsid w:val="00EC31BB"/>
    <w:rsid w:val="00EC3578"/>
    <w:rsid w:val="00EC3ECC"/>
    <w:rsid w:val="00EC5E46"/>
    <w:rsid w:val="00ED327E"/>
    <w:rsid w:val="00ED47BB"/>
    <w:rsid w:val="00ED6724"/>
    <w:rsid w:val="00EE2974"/>
    <w:rsid w:val="00EE5E8B"/>
    <w:rsid w:val="00EE7BC5"/>
    <w:rsid w:val="00EE7C50"/>
    <w:rsid w:val="00EF0C5F"/>
    <w:rsid w:val="00EF0CB2"/>
    <w:rsid w:val="00EF292A"/>
    <w:rsid w:val="00EF6E84"/>
    <w:rsid w:val="00F04B52"/>
    <w:rsid w:val="00F108FB"/>
    <w:rsid w:val="00F11C76"/>
    <w:rsid w:val="00F12038"/>
    <w:rsid w:val="00F12575"/>
    <w:rsid w:val="00F1282E"/>
    <w:rsid w:val="00F12F88"/>
    <w:rsid w:val="00F13174"/>
    <w:rsid w:val="00F20B6D"/>
    <w:rsid w:val="00F20D68"/>
    <w:rsid w:val="00F234E6"/>
    <w:rsid w:val="00F23E11"/>
    <w:rsid w:val="00F23EB9"/>
    <w:rsid w:val="00F33AFE"/>
    <w:rsid w:val="00F33DD0"/>
    <w:rsid w:val="00F35A11"/>
    <w:rsid w:val="00F35C59"/>
    <w:rsid w:val="00F4203D"/>
    <w:rsid w:val="00F47DAF"/>
    <w:rsid w:val="00F54B8B"/>
    <w:rsid w:val="00F56FD4"/>
    <w:rsid w:val="00F64D49"/>
    <w:rsid w:val="00F64D89"/>
    <w:rsid w:val="00F66405"/>
    <w:rsid w:val="00F66649"/>
    <w:rsid w:val="00F6729E"/>
    <w:rsid w:val="00F6785A"/>
    <w:rsid w:val="00F70101"/>
    <w:rsid w:val="00F705E7"/>
    <w:rsid w:val="00F752CD"/>
    <w:rsid w:val="00F80C22"/>
    <w:rsid w:val="00F81CA9"/>
    <w:rsid w:val="00F820B7"/>
    <w:rsid w:val="00F82E74"/>
    <w:rsid w:val="00F83393"/>
    <w:rsid w:val="00F837DC"/>
    <w:rsid w:val="00F85277"/>
    <w:rsid w:val="00F8595C"/>
    <w:rsid w:val="00F924C6"/>
    <w:rsid w:val="00F9263D"/>
    <w:rsid w:val="00F92640"/>
    <w:rsid w:val="00F92F2D"/>
    <w:rsid w:val="00F92FF8"/>
    <w:rsid w:val="00FA33BF"/>
    <w:rsid w:val="00FB11CA"/>
    <w:rsid w:val="00FB30D9"/>
    <w:rsid w:val="00FB4662"/>
    <w:rsid w:val="00FB5B2D"/>
    <w:rsid w:val="00FB760F"/>
    <w:rsid w:val="00FB7BAF"/>
    <w:rsid w:val="00FC3583"/>
    <w:rsid w:val="00FC771F"/>
    <w:rsid w:val="00FC7CAB"/>
    <w:rsid w:val="00FD13B2"/>
    <w:rsid w:val="00FD1426"/>
    <w:rsid w:val="00FD2372"/>
    <w:rsid w:val="00FD330E"/>
    <w:rsid w:val="00FD4978"/>
    <w:rsid w:val="00FD5DBF"/>
    <w:rsid w:val="00FD6EC2"/>
    <w:rsid w:val="00FE0875"/>
    <w:rsid w:val="00FE241D"/>
    <w:rsid w:val="00FE29F8"/>
    <w:rsid w:val="00FE3C8C"/>
    <w:rsid w:val="00FE6DF6"/>
    <w:rsid w:val="00FE741F"/>
    <w:rsid w:val="00FE7C0A"/>
    <w:rsid w:val="00FF1294"/>
    <w:rsid w:val="00FF3568"/>
    <w:rsid w:val="00FF3754"/>
    <w:rsid w:val="00FF76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FB4F8"/>
  <w15:chartTrackingRefBased/>
  <w15:docId w15:val="{4CF37502-B792-456E-A3F9-0361BD49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ACA"/>
    <w:pPr>
      <w:jc w:val="both"/>
    </w:pPr>
    <w:rPr>
      <w:rFonts w:ascii="Garamond" w:hAnsi="Garamond"/>
      <w:sz w:val="24"/>
      <w:lang w:val="en-GB"/>
    </w:rPr>
  </w:style>
  <w:style w:type="paragraph" w:styleId="Heading1">
    <w:name w:val="heading 1"/>
    <w:basedOn w:val="Normal"/>
    <w:next w:val="Normal"/>
    <w:link w:val="Heading1Char"/>
    <w:uiPriority w:val="9"/>
    <w:qFormat/>
    <w:rsid w:val="00433706"/>
    <w:pPr>
      <w:keepNext/>
      <w:keepLines/>
      <w:spacing w:before="240" w:after="0"/>
      <w:jc w:val="center"/>
      <w:outlineLvl w:val="0"/>
    </w:pPr>
    <w:rPr>
      <w:rFonts w:ascii="Maiandra GD" w:eastAsiaTheme="majorEastAsia" w:hAnsi="Maiandra GD" w:cstheme="majorBidi"/>
      <w:b/>
      <w:sz w:val="28"/>
      <w:szCs w:val="32"/>
    </w:rPr>
  </w:style>
  <w:style w:type="paragraph" w:styleId="Heading2">
    <w:name w:val="heading 2"/>
    <w:basedOn w:val="Normal"/>
    <w:next w:val="Normal"/>
    <w:link w:val="Heading2Char"/>
    <w:autoRedefine/>
    <w:uiPriority w:val="9"/>
    <w:unhideWhenUsed/>
    <w:qFormat/>
    <w:rsid w:val="00C660EE"/>
    <w:pPr>
      <w:keepNext/>
      <w:keepLines/>
      <w:numPr>
        <w:numId w:val="15"/>
      </w:numPr>
      <w:spacing w:before="40" w:after="0"/>
      <w:ind w:left="426"/>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D13B2"/>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FD13B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706"/>
    <w:rPr>
      <w:rFonts w:ascii="Maiandra GD" w:eastAsiaTheme="majorEastAsia" w:hAnsi="Maiandra GD" w:cstheme="majorBidi"/>
      <w:b/>
      <w:sz w:val="28"/>
      <w:szCs w:val="32"/>
      <w:lang w:val="en-GB"/>
    </w:rPr>
  </w:style>
  <w:style w:type="paragraph" w:styleId="ListParagraph">
    <w:name w:val="List Paragraph"/>
    <w:basedOn w:val="Normal"/>
    <w:uiPriority w:val="34"/>
    <w:qFormat/>
    <w:rsid w:val="004D3306"/>
    <w:pPr>
      <w:ind w:left="720"/>
      <w:contextualSpacing/>
    </w:pPr>
  </w:style>
  <w:style w:type="character" w:customStyle="1" w:styleId="Heading2Char">
    <w:name w:val="Heading 2 Char"/>
    <w:basedOn w:val="DefaultParagraphFont"/>
    <w:link w:val="Heading2"/>
    <w:uiPriority w:val="9"/>
    <w:rsid w:val="00C660EE"/>
    <w:rPr>
      <w:rFonts w:ascii="Garamond" w:eastAsiaTheme="majorEastAsia" w:hAnsi="Garamond" w:cstheme="majorBidi"/>
      <w:b/>
      <w:sz w:val="24"/>
      <w:szCs w:val="26"/>
      <w:lang w:val="en-GB"/>
    </w:rPr>
  </w:style>
  <w:style w:type="table" w:styleId="TableGrid">
    <w:name w:val="Table Grid"/>
    <w:basedOn w:val="TableNormal"/>
    <w:uiPriority w:val="39"/>
    <w:rsid w:val="00FE3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3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B94"/>
    <w:rPr>
      <w:rFonts w:ascii="Book Antiqua" w:hAnsi="Book Antiqua"/>
      <w:sz w:val="24"/>
      <w:lang w:val="en-GB"/>
    </w:rPr>
  </w:style>
  <w:style w:type="paragraph" w:styleId="Footer">
    <w:name w:val="footer"/>
    <w:basedOn w:val="Normal"/>
    <w:link w:val="FooterChar"/>
    <w:uiPriority w:val="99"/>
    <w:unhideWhenUsed/>
    <w:rsid w:val="00063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B94"/>
    <w:rPr>
      <w:rFonts w:ascii="Book Antiqua" w:hAnsi="Book Antiqua"/>
      <w:sz w:val="24"/>
      <w:lang w:val="en-GB"/>
    </w:rPr>
  </w:style>
  <w:style w:type="character" w:styleId="Hyperlink">
    <w:name w:val="Hyperlink"/>
    <w:basedOn w:val="DefaultParagraphFont"/>
    <w:uiPriority w:val="99"/>
    <w:unhideWhenUsed/>
    <w:rsid w:val="00F92FF8"/>
    <w:rPr>
      <w:color w:val="0563C1"/>
      <w:u w:val="single"/>
    </w:rPr>
  </w:style>
  <w:style w:type="character" w:styleId="FollowedHyperlink">
    <w:name w:val="FollowedHyperlink"/>
    <w:basedOn w:val="DefaultParagraphFont"/>
    <w:uiPriority w:val="99"/>
    <w:semiHidden/>
    <w:unhideWhenUsed/>
    <w:rsid w:val="00F92FF8"/>
    <w:rPr>
      <w:color w:val="954F72"/>
      <w:u w:val="single"/>
    </w:rPr>
  </w:style>
  <w:style w:type="paragraph" w:customStyle="1" w:styleId="msonormal0">
    <w:name w:val="msonormal"/>
    <w:basedOn w:val="Normal"/>
    <w:rsid w:val="00F92FF8"/>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65">
    <w:name w:val="xl65"/>
    <w:basedOn w:val="Normal"/>
    <w:rsid w:val="00F92FF8"/>
    <w:pPr>
      <w:pBdr>
        <w:top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66">
    <w:name w:val="xl66"/>
    <w:basedOn w:val="Normal"/>
    <w:rsid w:val="00F92FF8"/>
    <w:pPr>
      <w:pBdr>
        <w:top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67">
    <w:name w:val="xl67"/>
    <w:basedOn w:val="Normal"/>
    <w:rsid w:val="00F92FF8"/>
    <w:pP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68">
    <w:name w:val="xl68"/>
    <w:basedOn w:val="Normal"/>
    <w:rsid w:val="00F92FF8"/>
    <w:pPr>
      <w:pBdr>
        <w:bottom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69">
    <w:name w:val="xl69"/>
    <w:basedOn w:val="Normal"/>
    <w:rsid w:val="00F92FF8"/>
    <w:pPr>
      <w:pBdr>
        <w:bottom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70">
    <w:name w:val="xl70"/>
    <w:basedOn w:val="Normal"/>
    <w:rsid w:val="00F92FF8"/>
    <w:pPr>
      <w:spacing w:before="100" w:beforeAutospacing="1" w:after="100" w:afterAutospacing="1" w:line="240" w:lineRule="auto"/>
    </w:pPr>
    <w:rPr>
      <w:rFonts w:ascii="Calibri" w:eastAsia="Times New Roman" w:hAnsi="Calibri" w:cs="Calibri"/>
      <w:szCs w:val="24"/>
      <w:lang w:eastAsia="en-GB"/>
    </w:rPr>
  </w:style>
  <w:style w:type="paragraph" w:customStyle="1" w:styleId="xl71">
    <w:name w:val="xl71"/>
    <w:basedOn w:val="Normal"/>
    <w:rsid w:val="00F92FF8"/>
    <w:pPr>
      <w:pBdr>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72">
    <w:name w:val="xl72"/>
    <w:basedOn w:val="Normal"/>
    <w:rsid w:val="00F92FF8"/>
    <w:pPr>
      <w:spacing w:before="100" w:beforeAutospacing="1" w:after="100" w:afterAutospacing="1" w:line="240" w:lineRule="auto"/>
      <w:jc w:val="center"/>
    </w:pPr>
    <w:rPr>
      <w:rFonts w:ascii="Calibri" w:eastAsia="Times New Roman" w:hAnsi="Calibri" w:cs="Calibri"/>
      <w:szCs w:val="24"/>
      <w:lang w:eastAsia="en-GB"/>
    </w:rPr>
  </w:style>
  <w:style w:type="paragraph" w:customStyle="1" w:styleId="xl73">
    <w:name w:val="xl73"/>
    <w:basedOn w:val="Normal"/>
    <w:rsid w:val="00F92FF8"/>
    <w:pPr>
      <w:pBdr>
        <w:right w:val="single" w:sz="4" w:space="0" w:color="auto"/>
      </w:pBdr>
      <w:spacing w:before="100" w:beforeAutospacing="1" w:after="100" w:afterAutospacing="1" w:line="240" w:lineRule="auto"/>
      <w:jc w:val="center"/>
    </w:pPr>
    <w:rPr>
      <w:rFonts w:ascii="Calibri" w:eastAsia="Times New Roman" w:hAnsi="Calibri" w:cs="Calibri"/>
      <w:szCs w:val="24"/>
      <w:lang w:eastAsia="en-GB"/>
    </w:rPr>
  </w:style>
  <w:style w:type="paragraph" w:customStyle="1" w:styleId="xl74">
    <w:name w:val="xl74"/>
    <w:basedOn w:val="Normal"/>
    <w:rsid w:val="00F92FF8"/>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75">
    <w:name w:val="xl75"/>
    <w:basedOn w:val="Normal"/>
    <w:rsid w:val="00F92FF8"/>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76">
    <w:name w:val="xl76"/>
    <w:basedOn w:val="Normal"/>
    <w:rsid w:val="00F92FF8"/>
    <w:pPr>
      <w:pBdr>
        <w:left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77">
    <w:name w:val="xl77"/>
    <w:basedOn w:val="Normal"/>
    <w:rsid w:val="00F92FF8"/>
    <w:pPr>
      <w:spacing w:before="100" w:beforeAutospacing="1" w:after="100" w:afterAutospacing="1" w:line="240" w:lineRule="auto"/>
      <w:jc w:val="center"/>
    </w:pPr>
    <w:rPr>
      <w:rFonts w:ascii="Calibri" w:eastAsia="Times New Roman" w:hAnsi="Calibri" w:cs="Calibri"/>
      <w:szCs w:val="24"/>
      <w:lang w:eastAsia="en-GB"/>
    </w:rPr>
  </w:style>
  <w:style w:type="paragraph" w:customStyle="1" w:styleId="xl78">
    <w:name w:val="xl78"/>
    <w:basedOn w:val="Normal"/>
    <w:rsid w:val="00F92FF8"/>
    <w:pP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79">
    <w:name w:val="xl79"/>
    <w:basedOn w:val="Normal"/>
    <w:rsid w:val="00F92FF8"/>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80">
    <w:name w:val="xl80"/>
    <w:basedOn w:val="Normal"/>
    <w:rsid w:val="00F92FF8"/>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81">
    <w:name w:val="xl81"/>
    <w:basedOn w:val="Normal"/>
    <w:rsid w:val="00F92FF8"/>
    <w:pP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2">
    <w:name w:val="xl82"/>
    <w:basedOn w:val="Normal"/>
    <w:rsid w:val="00F92FF8"/>
    <w:pPr>
      <w:pBdr>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3">
    <w:name w:val="xl83"/>
    <w:basedOn w:val="Normal"/>
    <w:rsid w:val="00F92FF8"/>
    <w:pPr>
      <w:pBdr>
        <w:bottom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4">
    <w:name w:val="xl84"/>
    <w:basedOn w:val="Normal"/>
    <w:rsid w:val="00F92FF8"/>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5">
    <w:name w:val="xl85"/>
    <w:basedOn w:val="Normal"/>
    <w:rsid w:val="00F92FF8"/>
    <w:pPr>
      <w:pBdr>
        <w:top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6">
    <w:name w:val="xl86"/>
    <w:basedOn w:val="Normal"/>
    <w:rsid w:val="00F92FF8"/>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7">
    <w:name w:val="xl87"/>
    <w:basedOn w:val="Normal"/>
    <w:rsid w:val="00F92FF8"/>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8">
    <w:name w:val="xl88"/>
    <w:basedOn w:val="Normal"/>
    <w:rsid w:val="00F92FF8"/>
    <w:pP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9">
    <w:name w:val="xl89"/>
    <w:basedOn w:val="Normal"/>
    <w:rsid w:val="00F92FF8"/>
    <w:pPr>
      <w:pBdr>
        <w:right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90">
    <w:name w:val="xl90"/>
    <w:basedOn w:val="Normal"/>
    <w:rsid w:val="00F92FF8"/>
    <w:pPr>
      <w:spacing w:before="100" w:beforeAutospacing="1" w:after="100" w:afterAutospacing="1" w:line="240" w:lineRule="auto"/>
      <w:jc w:val="center"/>
    </w:pPr>
    <w:rPr>
      <w:rFonts w:ascii="Calibri" w:eastAsia="Times New Roman" w:hAnsi="Calibri" w:cs="Calibri"/>
      <w:szCs w:val="24"/>
      <w:lang w:eastAsia="en-GB"/>
    </w:rPr>
  </w:style>
  <w:style w:type="paragraph" w:customStyle="1" w:styleId="xl91">
    <w:name w:val="xl91"/>
    <w:basedOn w:val="Normal"/>
    <w:rsid w:val="00F92FF8"/>
    <w:pPr>
      <w:pBdr>
        <w:left w:val="single" w:sz="4" w:space="0" w:color="auto"/>
      </w:pBdr>
      <w:spacing w:before="100" w:beforeAutospacing="1" w:after="100" w:afterAutospacing="1" w:line="240" w:lineRule="auto"/>
    </w:pPr>
    <w:rPr>
      <w:rFonts w:ascii="Calibri" w:eastAsia="Times New Roman" w:hAnsi="Calibri" w:cs="Calibri"/>
      <w:szCs w:val="24"/>
      <w:lang w:eastAsia="en-GB"/>
    </w:rPr>
  </w:style>
  <w:style w:type="paragraph" w:customStyle="1" w:styleId="xl92">
    <w:name w:val="xl92"/>
    <w:basedOn w:val="Normal"/>
    <w:rsid w:val="00F92FF8"/>
    <w:pPr>
      <w:spacing w:before="100" w:beforeAutospacing="1" w:after="100" w:afterAutospacing="1" w:line="240" w:lineRule="auto"/>
    </w:pPr>
    <w:rPr>
      <w:rFonts w:ascii="Calibri" w:eastAsia="Times New Roman" w:hAnsi="Calibri" w:cs="Calibri"/>
      <w:szCs w:val="24"/>
      <w:lang w:eastAsia="en-GB"/>
    </w:rPr>
  </w:style>
  <w:style w:type="paragraph" w:customStyle="1" w:styleId="xl93">
    <w:name w:val="xl93"/>
    <w:basedOn w:val="Normal"/>
    <w:rsid w:val="00F92FF8"/>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94">
    <w:name w:val="xl94"/>
    <w:basedOn w:val="Normal"/>
    <w:rsid w:val="00F92FF8"/>
    <w:pPr>
      <w:spacing w:before="100" w:beforeAutospacing="1" w:after="100" w:afterAutospacing="1" w:line="240" w:lineRule="auto"/>
      <w:jc w:val="right"/>
    </w:pPr>
    <w:rPr>
      <w:rFonts w:ascii="Times New Roman" w:eastAsia="Times New Roman" w:hAnsi="Times New Roman" w:cs="Times New Roman"/>
      <w:szCs w:val="24"/>
      <w:lang w:eastAsia="en-GB"/>
    </w:rPr>
  </w:style>
  <w:style w:type="paragraph" w:customStyle="1" w:styleId="xl95">
    <w:name w:val="xl95"/>
    <w:basedOn w:val="Normal"/>
    <w:rsid w:val="00F92FF8"/>
    <w:pPr>
      <w:spacing w:before="100" w:beforeAutospacing="1" w:after="100" w:afterAutospacing="1" w:line="240" w:lineRule="auto"/>
      <w:jc w:val="right"/>
    </w:pPr>
    <w:rPr>
      <w:rFonts w:ascii="Times New Roman" w:eastAsia="Times New Roman" w:hAnsi="Times New Roman" w:cs="Times New Roman"/>
      <w:szCs w:val="24"/>
      <w:lang w:eastAsia="en-GB"/>
    </w:rPr>
  </w:style>
  <w:style w:type="paragraph" w:customStyle="1" w:styleId="xl96">
    <w:name w:val="xl96"/>
    <w:basedOn w:val="Normal"/>
    <w:rsid w:val="00F92FF8"/>
    <w:pPr>
      <w:spacing w:before="100" w:beforeAutospacing="1" w:after="100" w:afterAutospacing="1" w:line="240" w:lineRule="auto"/>
    </w:pPr>
    <w:rPr>
      <w:rFonts w:ascii="Calibri" w:eastAsia="Times New Roman" w:hAnsi="Calibri" w:cs="Calibri"/>
      <w:b/>
      <w:bCs/>
      <w:szCs w:val="24"/>
      <w:lang w:eastAsia="en-GB"/>
    </w:rPr>
  </w:style>
  <w:style w:type="paragraph" w:customStyle="1" w:styleId="xl97">
    <w:name w:val="xl97"/>
    <w:basedOn w:val="Normal"/>
    <w:rsid w:val="00F92FF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98">
    <w:name w:val="xl98"/>
    <w:basedOn w:val="Normal"/>
    <w:rsid w:val="00F92FF8"/>
    <w:pPr>
      <w:spacing w:before="100" w:beforeAutospacing="1" w:after="100" w:afterAutospacing="1" w:line="240" w:lineRule="auto"/>
      <w:jc w:val="center"/>
    </w:pPr>
    <w:rPr>
      <w:rFonts w:ascii="Calibri" w:eastAsia="Times New Roman" w:hAnsi="Calibri" w:cs="Calibri"/>
      <w:b/>
      <w:bCs/>
      <w:szCs w:val="24"/>
      <w:lang w:eastAsia="en-GB"/>
    </w:rPr>
  </w:style>
  <w:style w:type="paragraph" w:customStyle="1" w:styleId="xl99">
    <w:name w:val="xl99"/>
    <w:basedOn w:val="Normal"/>
    <w:rsid w:val="00F92FF8"/>
    <w:pPr>
      <w:pBdr>
        <w:top w:val="single" w:sz="4" w:space="0" w:color="7F7F7F"/>
        <w:left w:val="single" w:sz="4" w:space="0" w:color="7F7F7F"/>
        <w:bottom w:val="single" w:sz="4" w:space="0" w:color="7F7F7F"/>
        <w:right w:val="single" w:sz="4" w:space="0" w:color="7F7F7F"/>
      </w:pBdr>
      <w:shd w:val="clear" w:color="000000" w:fill="F2F2F2"/>
      <w:spacing w:before="100" w:beforeAutospacing="1" w:after="100" w:afterAutospacing="1" w:line="240" w:lineRule="auto"/>
      <w:jc w:val="center"/>
    </w:pPr>
    <w:rPr>
      <w:rFonts w:ascii="Calibri" w:eastAsia="Times New Roman" w:hAnsi="Calibri" w:cs="Calibri"/>
      <w:b/>
      <w:bCs/>
      <w:color w:val="FA7D00"/>
      <w:sz w:val="22"/>
      <w:lang w:eastAsia="en-GB"/>
    </w:rPr>
  </w:style>
  <w:style w:type="paragraph" w:customStyle="1" w:styleId="xl100">
    <w:name w:val="xl100"/>
    <w:basedOn w:val="Normal"/>
    <w:rsid w:val="00F92FF8"/>
    <w:pPr>
      <w:pBdr>
        <w:top w:val="single" w:sz="4" w:space="0" w:color="7F7F7F"/>
        <w:left w:val="single" w:sz="4" w:space="0" w:color="7F7F7F"/>
        <w:bottom w:val="single" w:sz="4" w:space="0" w:color="7F7F7F"/>
        <w:right w:val="single" w:sz="4" w:space="0" w:color="7F7F7F"/>
      </w:pBdr>
      <w:shd w:val="clear" w:color="000000" w:fill="F2F2F2"/>
      <w:spacing w:before="100" w:beforeAutospacing="1" w:after="100" w:afterAutospacing="1" w:line="240" w:lineRule="auto"/>
    </w:pPr>
    <w:rPr>
      <w:rFonts w:ascii="Calibri" w:eastAsia="Times New Roman" w:hAnsi="Calibri" w:cs="Calibri"/>
      <w:b/>
      <w:bCs/>
      <w:color w:val="FA7D00"/>
      <w:sz w:val="22"/>
      <w:lang w:eastAsia="en-GB"/>
    </w:rPr>
  </w:style>
  <w:style w:type="paragraph" w:customStyle="1" w:styleId="xl102">
    <w:name w:val="xl102"/>
    <w:basedOn w:val="Normal"/>
    <w:rsid w:val="00F92FF8"/>
    <w:pPr>
      <w:shd w:val="clear" w:color="000000" w:fill="FFFF00"/>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103">
    <w:name w:val="xl103"/>
    <w:basedOn w:val="Normal"/>
    <w:rsid w:val="00F92FF8"/>
    <w:pPr>
      <w:shd w:val="clear" w:color="000000" w:fill="FF0000"/>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104">
    <w:name w:val="xl104"/>
    <w:basedOn w:val="Normal"/>
    <w:rsid w:val="00F92FF8"/>
    <w:pPr>
      <w:shd w:val="clear" w:color="000000" w:fill="92D050"/>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106">
    <w:name w:val="xl106"/>
    <w:basedOn w:val="Normal"/>
    <w:rsid w:val="00F92FF8"/>
    <w:pPr>
      <w:shd w:val="clear" w:color="000000" w:fill="ED7D31"/>
      <w:spacing w:before="100" w:beforeAutospacing="1" w:after="100" w:afterAutospacing="1" w:line="240" w:lineRule="auto"/>
      <w:jc w:val="center"/>
    </w:pPr>
    <w:rPr>
      <w:rFonts w:ascii="Calibri" w:eastAsia="Times New Roman" w:hAnsi="Calibri" w:cs="Calibri"/>
      <w:color w:val="FFFFFF"/>
      <w:sz w:val="22"/>
      <w:lang w:eastAsia="en-GB"/>
    </w:rPr>
  </w:style>
  <w:style w:type="paragraph" w:customStyle="1" w:styleId="xl107">
    <w:name w:val="xl107"/>
    <w:basedOn w:val="Normal"/>
    <w:rsid w:val="00F92FF8"/>
    <w:pPr>
      <w:shd w:val="clear" w:color="000000" w:fill="FFFF00"/>
      <w:spacing w:before="100" w:beforeAutospacing="1" w:after="100" w:afterAutospacing="1" w:line="240" w:lineRule="auto"/>
      <w:jc w:val="center"/>
    </w:pPr>
    <w:rPr>
      <w:rFonts w:ascii="Calibri" w:eastAsia="Times New Roman" w:hAnsi="Calibri" w:cs="Calibri"/>
      <w:color w:val="FFFFFF"/>
      <w:sz w:val="22"/>
      <w:lang w:eastAsia="en-GB"/>
    </w:rPr>
  </w:style>
  <w:style w:type="paragraph" w:customStyle="1" w:styleId="xl108">
    <w:name w:val="xl108"/>
    <w:basedOn w:val="Normal"/>
    <w:rsid w:val="00F92FF8"/>
    <w:pPr>
      <w:shd w:val="clear" w:color="000000" w:fill="FFFF00"/>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109">
    <w:name w:val="xl109"/>
    <w:basedOn w:val="Normal"/>
    <w:rsid w:val="00F92FF8"/>
    <w:pPr>
      <w:pBdr>
        <w:top w:val="single" w:sz="4" w:space="0" w:color="7F7F7F"/>
        <w:left w:val="single" w:sz="4" w:space="0" w:color="7F7F7F"/>
        <w:bottom w:val="single" w:sz="4" w:space="0" w:color="7F7F7F"/>
        <w:right w:val="single" w:sz="4" w:space="0" w:color="7F7F7F"/>
      </w:pBdr>
      <w:shd w:val="clear" w:color="000000" w:fill="FFFF00"/>
      <w:spacing w:before="100" w:beforeAutospacing="1" w:after="100" w:afterAutospacing="1" w:line="240" w:lineRule="auto"/>
    </w:pPr>
    <w:rPr>
      <w:rFonts w:ascii="Calibri" w:eastAsia="Times New Roman" w:hAnsi="Calibri" w:cs="Calibri"/>
      <w:b/>
      <w:bCs/>
      <w:color w:val="FA7D00"/>
      <w:sz w:val="22"/>
      <w:lang w:eastAsia="en-GB"/>
    </w:rPr>
  </w:style>
  <w:style w:type="paragraph" w:customStyle="1" w:styleId="xl110">
    <w:name w:val="xl110"/>
    <w:basedOn w:val="Normal"/>
    <w:rsid w:val="00F92FF8"/>
    <w:pPr>
      <w:shd w:val="clear" w:color="000000" w:fill="FFFF00"/>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111">
    <w:name w:val="xl111"/>
    <w:basedOn w:val="Normal"/>
    <w:rsid w:val="00F92FF8"/>
    <w:pPr>
      <w:shd w:val="clear" w:color="000000" w:fill="FFFF00"/>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112">
    <w:name w:val="xl112"/>
    <w:basedOn w:val="Normal"/>
    <w:rsid w:val="00F92FF8"/>
    <w:pPr>
      <w:shd w:val="clear" w:color="000000" w:fill="FFFF00"/>
      <w:spacing w:before="100" w:beforeAutospacing="1" w:after="100" w:afterAutospacing="1" w:line="240" w:lineRule="auto"/>
      <w:jc w:val="center"/>
    </w:pPr>
    <w:rPr>
      <w:rFonts w:ascii="Calibri" w:eastAsia="Times New Roman" w:hAnsi="Calibri" w:cs="Calibri"/>
      <w:szCs w:val="24"/>
      <w:lang w:eastAsia="en-GB"/>
    </w:rPr>
  </w:style>
  <w:style w:type="table" w:styleId="PlainTable3">
    <w:name w:val="Plain Table 3"/>
    <w:basedOn w:val="TableNormal"/>
    <w:uiPriority w:val="43"/>
    <w:rsid w:val="00F92F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ndNoteBibliographyTitle">
    <w:name w:val="EndNote Bibliography Title"/>
    <w:basedOn w:val="Normal"/>
    <w:link w:val="EndNoteBibliographyTitleChar"/>
    <w:rsid w:val="000A2BE3"/>
    <w:pPr>
      <w:spacing w:after="0"/>
      <w:jc w:val="center"/>
    </w:pPr>
    <w:rPr>
      <w:rFonts w:ascii="Book Antiqua" w:hAnsi="Book Antiqua"/>
      <w:noProof/>
      <w:lang w:val="en-US"/>
    </w:rPr>
  </w:style>
  <w:style w:type="character" w:customStyle="1" w:styleId="EndNoteBibliographyTitleChar">
    <w:name w:val="EndNote Bibliography Title Char"/>
    <w:basedOn w:val="DefaultParagraphFont"/>
    <w:link w:val="EndNoteBibliographyTitle"/>
    <w:rsid w:val="000A2BE3"/>
    <w:rPr>
      <w:rFonts w:ascii="Book Antiqua" w:hAnsi="Book Antiqua"/>
      <w:noProof/>
      <w:sz w:val="24"/>
    </w:rPr>
  </w:style>
  <w:style w:type="paragraph" w:customStyle="1" w:styleId="EndNoteBibliography">
    <w:name w:val="EndNote Bibliography"/>
    <w:basedOn w:val="Normal"/>
    <w:link w:val="EndNoteBibliographyChar"/>
    <w:rsid w:val="000A2BE3"/>
    <w:pPr>
      <w:spacing w:line="240" w:lineRule="auto"/>
    </w:pPr>
    <w:rPr>
      <w:rFonts w:ascii="Book Antiqua" w:hAnsi="Book Antiqua"/>
      <w:noProof/>
      <w:lang w:val="en-US"/>
    </w:rPr>
  </w:style>
  <w:style w:type="character" w:customStyle="1" w:styleId="EndNoteBibliographyChar">
    <w:name w:val="EndNote Bibliography Char"/>
    <w:basedOn w:val="DefaultParagraphFont"/>
    <w:link w:val="EndNoteBibliography"/>
    <w:rsid w:val="000A2BE3"/>
    <w:rPr>
      <w:rFonts w:ascii="Book Antiqua" w:hAnsi="Book Antiqua"/>
      <w:noProof/>
      <w:sz w:val="24"/>
    </w:rPr>
  </w:style>
  <w:style w:type="table" w:styleId="GridTable3">
    <w:name w:val="Grid Table 3"/>
    <w:basedOn w:val="TableNormal"/>
    <w:uiPriority w:val="48"/>
    <w:rsid w:val="00617E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617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FD6E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14EF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9264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
    <w:name w:val="List Table 2"/>
    <w:basedOn w:val="TableNormal"/>
    <w:uiPriority w:val="47"/>
    <w:rsid w:val="00F9264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FD13B2"/>
    <w:rPr>
      <w:rFonts w:ascii="Garamond" w:eastAsiaTheme="majorEastAsia" w:hAnsi="Garamond" w:cstheme="majorBidi"/>
      <w:b/>
      <w:i/>
      <w:sz w:val="24"/>
      <w:szCs w:val="24"/>
      <w:lang w:val="en-GB"/>
    </w:rPr>
  </w:style>
  <w:style w:type="character" w:customStyle="1" w:styleId="Heading4Char">
    <w:name w:val="Heading 4 Char"/>
    <w:basedOn w:val="DefaultParagraphFont"/>
    <w:link w:val="Heading4"/>
    <w:uiPriority w:val="9"/>
    <w:semiHidden/>
    <w:rsid w:val="00FD13B2"/>
    <w:rPr>
      <w:rFonts w:ascii="Garamond" w:eastAsiaTheme="majorEastAsia" w:hAnsi="Garamond" w:cstheme="majorBidi"/>
      <w:i/>
      <w:iCs/>
      <w:sz w:val="24"/>
      <w:lang w:val="en-GB"/>
    </w:rPr>
  </w:style>
  <w:style w:type="paragraph" w:styleId="Caption">
    <w:name w:val="caption"/>
    <w:basedOn w:val="Normal"/>
    <w:next w:val="Normal"/>
    <w:uiPriority w:val="35"/>
    <w:unhideWhenUsed/>
    <w:qFormat/>
    <w:rsid w:val="00A1186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51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02556">
      <w:bodyDiv w:val="1"/>
      <w:marLeft w:val="0"/>
      <w:marRight w:val="0"/>
      <w:marTop w:val="0"/>
      <w:marBottom w:val="0"/>
      <w:divBdr>
        <w:top w:val="none" w:sz="0" w:space="0" w:color="auto"/>
        <w:left w:val="none" w:sz="0" w:space="0" w:color="auto"/>
        <w:bottom w:val="none" w:sz="0" w:space="0" w:color="auto"/>
        <w:right w:val="none" w:sz="0" w:space="0" w:color="auto"/>
      </w:divBdr>
    </w:div>
    <w:div w:id="687105476">
      <w:bodyDiv w:val="1"/>
      <w:marLeft w:val="0"/>
      <w:marRight w:val="0"/>
      <w:marTop w:val="0"/>
      <w:marBottom w:val="0"/>
      <w:divBdr>
        <w:top w:val="none" w:sz="0" w:space="0" w:color="auto"/>
        <w:left w:val="none" w:sz="0" w:space="0" w:color="auto"/>
        <w:bottom w:val="none" w:sz="0" w:space="0" w:color="auto"/>
        <w:right w:val="none" w:sz="0" w:space="0" w:color="auto"/>
      </w:divBdr>
    </w:div>
    <w:div w:id="889196831">
      <w:bodyDiv w:val="1"/>
      <w:marLeft w:val="0"/>
      <w:marRight w:val="0"/>
      <w:marTop w:val="0"/>
      <w:marBottom w:val="0"/>
      <w:divBdr>
        <w:top w:val="none" w:sz="0" w:space="0" w:color="auto"/>
        <w:left w:val="none" w:sz="0" w:space="0" w:color="auto"/>
        <w:bottom w:val="none" w:sz="0" w:space="0" w:color="auto"/>
        <w:right w:val="none" w:sz="0" w:space="0" w:color="auto"/>
      </w:divBdr>
    </w:div>
    <w:div w:id="1209418941">
      <w:bodyDiv w:val="1"/>
      <w:marLeft w:val="0"/>
      <w:marRight w:val="0"/>
      <w:marTop w:val="0"/>
      <w:marBottom w:val="0"/>
      <w:divBdr>
        <w:top w:val="none" w:sz="0" w:space="0" w:color="auto"/>
        <w:left w:val="none" w:sz="0" w:space="0" w:color="auto"/>
        <w:bottom w:val="none" w:sz="0" w:space="0" w:color="auto"/>
        <w:right w:val="none" w:sz="0" w:space="0" w:color="auto"/>
      </w:divBdr>
    </w:div>
    <w:div w:id="1717968322">
      <w:bodyDiv w:val="1"/>
      <w:marLeft w:val="0"/>
      <w:marRight w:val="0"/>
      <w:marTop w:val="0"/>
      <w:marBottom w:val="0"/>
      <w:divBdr>
        <w:top w:val="none" w:sz="0" w:space="0" w:color="auto"/>
        <w:left w:val="none" w:sz="0" w:space="0" w:color="auto"/>
        <w:bottom w:val="none" w:sz="0" w:space="0" w:color="auto"/>
        <w:right w:val="none" w:sz="0" w:space="0" w:color="auto"/>
      </w:divBdr>
    </w:div>
    <w:div w:id="1876966305">
      <w:bodyDiv w:val="1"/>
      <w:marLeft w:val="0"/>
      <w:marRight w:val="0"/>
      <w:marTop w:val="0"/>
      <w:marBottom w:val="0"/>
      <w:divBdr>
        <w:top w:val="none" w:sz="0" w:space="0" w:color="auto"/>
        <w:left w:val="none" w:sz="0" w:space="0" w:color="auto"/>
        <w:bottom w:val="none" w:sz="0" w:space="0" w:color="auto"/>
        <w:right w:val="none" w:sz="0" w:space="0" w:color="auto"/>
      </w:divBdr>
    </w:div>
    <w:div w:id="189878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hn%20Karuitha\OneDrive%20-%20University%20of%20Witwatersrand\Documents\My%20Thesis\Karuitha%20and%20Ojah%20Data\THESIS\Dissertation\Objective%201%20Binary\Chapters%20in%20Progress\www.wbs.ac.za" TargetMode="External"/><Relationship Id="rId13" Type="http://schemas.openxmlformats.org/officeDocument/2006/relationships/hyperlink" Target="https://databank.worldbank.org/source/world-development-indicators" TargetMode="External"/><Relationship Id="rId18" Type="http://schemas.openxmlformats.org/officeDocument/2006/relationships/image" Target="media/image2.png"/><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themix.org" TargetMode="External"/><Relationship Id="rId17" Type="http://schemas.openxmlformats.org/officeDocument/2006/relationships/image" Target="media/image1.png"/><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2.xml"/><Relationship Id="rId29" Type="http://schemas.openxmlformats.org/officeDocument/2006/relationships/hyperlink" Target="https://www.themix.org/sites/default/files/mix_market_global_outreach_financial_benchmark_report_2017-201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eresources.worldbank.org/DEC/Resources/ResponseToKnackLangbein.pdf"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worldbank.org/en/publication/gfdr/data/global-financial-development-database" TargetMode="External"/><Relationship Id="rId23" Type="http://schemas.openxmlformats.org/officeDocument/2006/relationships/header" Target="header3.xml"/><Relationship Id="rId28" Type="http://schemas.openxmlformats.org/officeDocument/2006/relationships/image" Target="media/image6.emf"/><Relationship Id="rId10" Type="http://schemas.openxmlformats.org/officeDocument/2006/relationships/hyperlink" Target="https://au.int/en/handbook" TargetMode="Externa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aru.ac.ke" TargetMode="External"/><Relationship Id="rId14" Type="http://schemas.openxmlformats.org/officeDocument/2006/relationships/hyperlink" Target="https://databank.worldbank.org/source/worldwide-governance-indicators" TargetMode="External"/><Relationship Id="rId22" Type="http://schemas.openxmlformats.org/officeDocument/2006/relationships/footer" Target="footer3.xml"/><Relationship Id="rId27" Type="http://schemas.openxmlformats.org/officeDocument/2006/relationships/image" Target="media/image5.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F9D0C4-A901-4FA6-AF82-3A30094D7BB3}">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8F9FA7-9469-4388-A2BF-2ACD524B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2478</TotalTime>
  <Pages>26</Pages>
  <Words>15303</Words>
  <Characters>87232</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855810</dc:creator>
  <cp:keywords/>
  <dc:description/>
  <cp:lastModifiedBy>John Karuitha</cp:lastModifiedBy>
  <cp:revision>240</cp:revision>
  <dcterms:created xsi:type="dcterms:W3CDTF">2020-02-25T00:24:00Z</dcterms:created>
  <dcterms:modified xsi:type="dcterms:W3CDTF">2020-11-11T22:28:00Z</dcterms:modified>
</cp:coreProperties>
</file>