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14.xml" ContentType="application/vnd.openxmlformats-officedocument.wordprocessingml.footer+xml"/>
  <Override PartName="/word/footnotes.xml" ContentType="application/vnd.openxmlformats-officedocument.wordprocessingml.footnote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60"/>
        <w:jc w:val="center"/>
        <w:rPr>
          <w:lang w:val="en-US"/>
        </w:rPr>
      </w:pPr>
      <w:r>
        <w:rPr>
          <w:lang w:val="en-US"/>
        </w:rPr>
        <w:t>SOURCES OF FINANCE FOR MICROFINANCE INSTITUTIONS IN AFRICA</w:t>
      </w:r>
    </w:p>
    <w:p>
      <w:pPr>
        <w:pStyle w:val="Normal"/>
        <w:widowControl w:val="false"/>
        <w:spacing w:lineRule="auto" w:line="360"/>
        <w:rPr>
          <w:szCs w:val="24"/>
          <w:lang w:val="en-US"/>
        </w:rPr>
      </w:pPr>
      <w:r>
        <w:rPr>
          <w:szCs w:val="24"/>
          <w:lang w:val="en-US"/>
        </w:rPr>
        <w:t>John Karuitha and Kalu Ojah</w:t>
      </w:r>
    </w:p>
    <w:p>
      <w:pPr>
        <w:pStyle w:val="Normal"/>
        <w:spacing w:lineRule="auto" w:line="360"/>
        <w:jc w:val="center"/>
        <w:rPr>
          <w:b/>
          <w:b/>
          <w:bCs/>
          <w:lang w:val="en-US"/>
        </w:rPr>
      </w:pPr>
      <w:r>
        <w:rPr>
          <w:b/>
          <w:bCs/>
          <w:lang w:val="en-US"/>
        </w:rPr>
        <w:t>ABSTRACT</w:t>
      </w:r>
    </w:p>
    <w:p>
      <w:pPr>
        <w:pStyle w:val="Normal"/>
        <w:spacing w:lineRule="auto" w:line="360"/>
        <w:ind w:left="1134" w:right="1089" w:hanging="0"/>
        <w:rPr>
          <w:lang w:val="en-US"/>
        </w:rPr>
      </w:pPr>
      <w:r>
        <w:rPr>
          <w:lang w:val="en-US"/>
        </w:rPr>
        <w:t xml:space="preserve">We examine the drivers of four indicators of financial structure for microfinance institutions (MFIs) in Africa: debt-equity ratio (leverage), capital-assets ratio, deposits-assets ratio, and donations to assets ratio. The analysis shows that at the firm level, size, age, legal status, and profitability drive financing alternatives in line with theory. Asset structure varies inversely with leverage. At the country-level, institutional quality (KKM) varies inversely with deposits and donations. Coefficients for financial development and education are not significant across all indicators, going against stylised facts on the macro-level drivers of firms' financing structure. The results imply that firm-level factors are the most relevant to the financing structure of MFIs. The results also point to a weak linkage between microfinance and the macroeconomy in Africa. </w:t>
      </w:r>
    </w:p>
    <w:p>
      <w:pPr>
        <w:pStyle w:val="Heading2"/>
        <w:numPr>
          <w:ilvl w:val="0"/>
          <w:numId w:val="3"/>
        </w:numPr>
        <w:spacing w:lineRule="auto" w:line="360"/>
        <w:rPr>
          <w:sz w:val="20"/>
          <w:szCs w:val="20"/>
          <w:lang w:val="en-US"/>
        </w:rPr>
      </w:pPr>
      <w:r>
        <w:rPr>
          <w:lang w:val="en-US"/>
        </w:rPr>
        <w:t>Introduction</w:t>
      </w:r>
    </w:p>
    <w:p>
      <w:pPr>
        <w:pStyle w:val="Normal"/>
        <w:widowControl w:val="false"/>
        <w:tabs>
          <w:tab w:val="clear" w:pos="720"/>
          <w:tab w:val="left" w:pos="2694" w:leader="none"/>
        </w:tabs>
        <w:spacing w:lineRule="auto" w:line="360"/>
        <w:rPr>
          <w:bCs/>
          <w:szCs w:val="24"/>
          <w:lang w:val="en-US"/>
        </w:rPr>
      </w:pPr>
      <w:r>
        <w:fldChar w:fldCharType="begin"/>
      </w:r>
      <w:r>
        <w:rPr/>
        <w:instrText>ADDIN EN.CITE &lt;EndNote&gt;&lt;Cite AuthorYear="1"&gt;&lt;Author&gt;Bayai&lt;/Author&gt;&lt;Year&gt;2016&lt;/Year&gt;&lt;RecNum&gt;319&lt;/RecNum&gt;&lt;DisplayText&gt;Bayai and Ikhide (2016)&lt;/DisplayText&gt;&lt;record&gt;&lt;rec-number&gt;319&lt;/rec-number&gt;&lt;foreign-keys&gt;&lt;key app="EN" db-id="wds9909saar09se5x9txwfw7ax9wfe2ftrt2" timestamp="1516045851" guid="ee8d8706-126d-4050-a2c3-6dce19924f49"&gt;319&lt;/key&gt;&lt;/foreign-keys&gt;&lt;ref-type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Pr/>
      </w:r>
      <w:r>
        <w:rPr/>
        <w:fldChar w:fldCharType="separate"/>
      </w:r>
      <w:r>
        <w:rPr/>
      </w:r>
      <w:r>
        <w:rPr>
          <w:bCs/>
          <w:szCs w:val="24"/>
          <w:lang w:val="en-US"/>
        </w:rPr>
        <w:t>Bayai and Ikhide (2016)</w:t>
      </w:r>
      <w:r>
        <w:rPr/>
      </w:r>
      <w:r>
        <w:rPr/>
        <w:fldChar w:fldCharType="end"/>
      </w:r>
      <w:r>
        <w:rPr>
          <w:bCs/>
          <w:szCs w:val="24"/>
          <w:lang w:val="en-US"/>
        </w:rPr>
        <w:t xml:space="preserve"> cite the institutional theory in explaining the way microfinance institutions in Africa fund their operations. They note that at the early stages, most MFIs tend to operate as Non-Governmental Organisations (NGOs). These NGOs derive a substantial amount of their funding from donations and concessionary funds, given that commercial funders deem them too risky </w:t>
      </w:r>
      <w:r>
        <w:fldChar w:fldCharType="begin"/>
      </w:r>
      <w:r>
        <w:rPr>
          <w:szCs w:val="24"/>
          <w:bCs/>
          <w:lang w:val="en-US"/>
        </w:rPr>
        <w:instrText>ADDIN EN.CITE &lt;EndNote&gt;&lt;Cite&gt;&lt;Author&gt;Ledgerwood&lt;/Author&gt;&lt;Year&gt;1998&lt;/Year&gt;&lt;RecNum&gt;118&lt;/RecNum&gt;&lt;DisplayText&gt;(Ledgerwood, 1998; Ledgerwood &amp;amp; White, 2006)&lt;/DisplayText&gt;&lt;record&gt;&lt;rec-number&gt;118&lt;/rec-number&gt;&lt;foreign-keys&gt;&lt;key app="EN" db-id="wds9909saar09se5x9txwfw7ax9wfe2ftrt2" timestamp="1506515779" guid="1829cf26-e24a-4905-a152-5d451d4179d1"&gt;118&lt;/key&gt;&lt;/foreign-keys&gt;&lt;ref-type name="Book"&gt;6&lt;/ref-type&gt;&lt;contributors&gt;&lt;authors&gt;&lt;author&gt;Ledgerwood, Joanna&lt;/author&gt;&lt;/authors&gt;&lt;/contributors&gt;&lt;titles&gt;&lt;title&gt;Microfinance handbook: An institutional and financial perspective&lt;/title&gt;&lt;/titles&gt;&lt;dates&gt;&lt;year&gt;1998&lt;/year&gt;&lt;/dates&gt;&lt;pub-location&gt;New York&lt;/pub-location&gt;&lt;publisher&gt;World Bank Publications&lt;/publisher&gt;&lt;isbn&gt;0821384317&lt;/isbn&gt;&lt;urls&gt;&lt;/urls&gt;&lt;/record&gt;&lt;/Cite&gt;&lt;Cite&gt;&lt;Author&gt;Ledgerwood&lt;/Author&gt;&lt;Year&gt;2006&lt;/Year&gt;&lt;RecNum&gt;119&lt;/RecNum&gt;&lt;record&gt;&lt;rec-number&gt;119&lt;/rec-number&gt;&lt;foreign-keys&gt;&lt;key app="EN" db-id="wds9909saar09se5x9txwfw7ax9wfe2ftrt2" timestamp="1506515826" guid="93aa6ee4-8d30-4220-a7eb-d8c302fc710f"&gt;119&lt;/key&gt;&lt;/foreign-keys&gt;&lt;ref-type name="Book"&gt;6&lt;/ref-type&gt;&lt;contributors&gt;&lt;authors&gt;&lt;author&gt;Ledgerwood, Joanna&lt;/author&gt;&lt;author&gt;White, Victoria&lt;/author&gt;&lt;/authors&gt;&lt;/contributors&gt;&lt;titles&gt;&lt;title&gt;Transforming microfinance institutions: providing full financial services to the poor&lt;/title&gt;&lt;/titles&gt;&lt;dates&gt;&lt;year&gt;2006&lt;/year&gt;&lt;/dates&gt;&lt;pub-location&gt;New York&lt;/pub-location&gt;&lt;publisher&gt;World Bank Publications&lt;/publisher&gt;&lt;isbn&gt;0821366165&lt;/isbn&gt;&lt;urls&gt;&lt;/urls&gt;&lt;/record&gt;&lt;/Cite&gt;&lt;/EndNote&gt;</w:instrText>
      </w:r>
      <w:r>
        <w:rPr>
          <w:bCs/>
          <w:szCs w:val="24"/>
          <w:lang w:val="en-US"/>
        </w:rPr>
      </w:r>
      <w:r>
        <w:rPr>
          <w:szCs w:val="24"/>
          <w:bCs/>
          <w:lang w:val="en-US"/>
        </w:rPr>
        <w:fldChar w:fldCharType="separate"/>
      </w:r>
      <w:r>
        <w:rPr>
          <w:bCs/>
          <w:szCs w:val="24"/>
          <w:lang w:val="en-US"/>
        </w:rPr>
        <w:t>(Ledgerwood, 1998; Ledgerwood &amp; White, 2006)</w:t>
      </w:r>
      <w:r>
        <w:rPr>
          <w:bCs/>
          <w:szCs w:val="24"/>
          <w:lang w:val="en-US"/>
        </w:rPr>
      </w:r>
      <w:r>
        <w:rPr>
          <w:szCs w:val="24"/>
          <w:bCs/>
          <w:lang w:val="en-US"/>
        </w:rPr>
        <w:fldChar w:fldCharType="end"/>
      </w:r>
      <w:r>
        <w:rPr>
          <w:bCs/>
          <w:szCs w:val="24"/>
          <w:lang w:val="en-US"/>
        </w:rPr>
        <w:t xml:space="preserve">. Later, in the consolidation stage, the NGOs supplement their funds using government subsidies and equity funding. As they mature, they resort to deposits and debt, regularly using foreign donors as guarantees. It is at this stage that MFIs are likely to mutate from NGOs that focus on social performance to the commercial model where financial sustainability matters as much as social performance.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The transformation of MFIs from NGOs to the commercial model has raised concern over mission drift, where MFIs focus more on profitability and less on the social aspect of reaching the unbanked </w:t>
      </w:r>
      <w:r>
        <w:fldChar w:fldCharType="begin"/>
      </w:r>
      <w:r>
        <w:rPr>
          <w:szCs w:val="24"/>
          <w:bCs/>
          <w:lang w:val="en-US"/>
        </w:rPr>
        <w:instrText>ADDIN EN.CITE &lt;EndNote&gt;&lt;Cite&gt;&lt;Author&gt;Mia&lt;/Author&gt;&lt;Year&gt;2017&lt;/Year&gt;&lt;RecNum&gt;43&lt;/RecNum&gt;&lt;DisplayText&gt;(Mia &amp;amp; Lee, 2017; Ramus &amp;amp; Vaccaro, 2017)&lt;/DisplayText&gt;&lt;record&gt;&lt;rec-number&gt;43&lt;/rec-number&gt;&lt;foreign-keys&gt;&lt;key app="EN" db-id="wds9909saar09se5x9txwfw7ax9wfe2ftrt2" timestamp="1502093494" guid="37ae64cd-e73a-4833-ba02-a5f7a4b59335"&gt;43&lt;/key&gt;&lt;/foreign-keys&gt;&lt;ref-type name="Journal Article"&gt;17&lt;/ref-type&gt;&lt;contributors&gt;&lt;authors&gt;&lt;author&gt;Mia, Md Aslam&lt;/author&gt;&lt;author&gt;Lee, Hwok-Aun&lt;/author&gt;&lt;/authors&gt;&lt;/contributors&gt;&lt;titles&gt;&lt;title&gt;Mission drift and ethical crisis in microfinance institutions: What matters?&lt;/title&gt;&lt;secondary-title&gt;Journal of Cleaner Production&lt;/secondary-title&gt;&lt;/titles&gt;&lt;pages&gt;102-114&lt;/pages&gt;&lt;volume&gt;164&lt;/volume&gt;&lt;dates&gt;&lt;year&gt;2017&lt;/year&gt;&lt;/dates&gt;&lt;isbn&gt;0959-6526&lt;/isbn&gt;&lt;urls&gt;&lt;/urls&gt;&lt;/record&gt;&lt;/Cite&gt;&lt;Cite&gt;&lt;Author&gt;Ramus&lt;/Author&gt;&lt;Year&gt;2017&lt;/Year&gt;&lt;RecNum&gt;307&lt;/RecNum&gt;&lt;record&gt;&lt;rec-number&gt;307&lt;/rec-number&gt;&lt;foreign-keys&gt;&lt;key app="EN" db-id="wds9909saar09se5x9txwfw7ax9wfe2ftrt2" timestamp="1515554567" guid="5a5c8503-ba61-4cc8-b7b8-42a867cdbc30"&gt;307&lt;/key&gt;&lt;/foreign-keys&gt;&lt;ref-type name="Journal Article"&gt;17&lt;/ref-type&gt;&lt;contributors&gt;&lt;authors&gt;&lt;author&gt;Ramus, Tommaso&lt;/author&gt;&lt;author&gt;Vaccaro, Antonino&lt;/author&gt;&lt;/authors&gt;&lt;/contributors&gt;&lt;titles&gt;&lt;title&gt;Stakeholders matter: How social enterprises address mission drift&lt;/title&gt;&lt;secondary-title&gt;Journal of Business Ethics&lt;/secondary-title&gt;&lt;/titles&gt;&lt;periodical&gt;&lt;full-title&gt;Journal of Business Ethics&lt;/full-title&gt;&lt;/periodical&gt;&lt;pages&gt;307-322&lt;/pages&gt;&lt;volume&gt;143&lt;/volume&gt;&lt;number&gt;2&lt;/number&gt;&lt;dates&gt;&lt;year&gt;2017&lt;/year&gt;&lt;pub-dates&gt;&lt;date&gt;June 01&lt;/date&gt;&lt;/pub-dates&gt;&lt;/dates&gt;&lt;isbn&gt;1573-0697&lt;/isbn&gt;&lt;label&gt;Ramus2017&lt;/label&gt;&lt;work-type&gt;journal article&lt;/work-type&gt;&lt;urls&gt;&lt;related-urls&gt;&lt;url&gt;https://doi.org/10.1007/s10551-014-2353-y&lt;/url&gt;&lt;/related-urls&gt;&lt;/urls&gt;&lt;electronic-resource-num&gt;10.1007/s10551-014-2353-y&lt;/electronic-resource-num&gt;&lt;/record&gt;&lt;/Cite&gt;&lt;/EndNote&gt;</w:instrText>
      </w:r>
      <w:r>
        <w:rPr>
          <w:bCs/>
          <w:szCs w:val="24"/>
          <w:lang w:val="en-US"/>
        </w:rPr>
      </w:r>
      <w:r>
        <w:rPr>
          <w:szCs w:val="24"/>
          <w:bCs/>
          <w:lang w:val="en-US"/>
        </w:rPr>
        <w:fldChar w:fldCharType="separate"/>
      </w:r>
      <w:r>
        <w:rPr>
          <w:bCs/>
          <w:szCs w:val="24"/>
          <w:lang w:val="en-US"/>
        </w:rPr>
        <w:t>(Mia &amp; Lee, 2017; Ramus &amp; Vaccaro, 2017)</w:t>
      </w:r>
      <w:r>
        <w:rPr>
          <w:bCs/>
          <w:szCs w:val="24"/>
          <w:lang w:val="en-US"/>
        </w:rPr>
      </w:r>
      <w:r>
        <w:rPr>
          <w:szCs w:val="24"/>
          <w:bCs/>
          <w:lang w:val="en-US"/>
        </w:rPr>
        <w:fldChar w:fldCharType="end"/>
      </w:r>
      <w:r>
        <w:rPr>
          <w:bCs/>
          <w:szCs w:val="24"/>
          <w:lang w:val="en-US"/>
        </w:rPr>
        <w:t xml:space="preserve">. Also, some researchers argue that the hybrid business model of most MFIs makes it challenging to integrate them into the formal financial system as financiers may deem them too risky for a given level of return </w:t>
      </w:r>
      <w:r>
        <w:fldChar w:fldCharType="begin"/>
      </w:r>
      <w:r>
        <w:rPr>
          <w:szCs w:val="24"/>
          <w:bCs/>
          <w:lang w:val="en-US"/>
        </w:rPr>
        <w:instrText>ADDIN EN.CITE &lt;EndNote&gt;&lt;Cite&gt;&lt;Author&gt;Campion&lt;/Author&gt;&lt;Year&gt;1999&lt;/Year&gt;&lt;RecNum&gt;77&lt;/RecNum&gt;&lt;DisplayText&gt;(Campion &amp;amp; White, 1999)&lt;/DisplayText&gt;&lt;record&gt;&lt;rec-number&gt;77&lt;/rec-number&gt;&lt;foreign-keys&gt;&lt;key app="EN" db-id="wds9909saar09se5x9txwfw7ax9wfe2ftrt2" timestamp="1503571396" guid="151c1443-d1e1-400d-a209-b1be9de15a82"&gt;77&lt;/key&gt;&lt;/foreign-keys&gt;&lt;ref-type name="Book"&gt;6&lt;/ref-type&gt;&lt;contributors&gt;&lt;authors&gt;&lt;author&gt;Campion, Anita&lt;/author&gt;&lt;author&gt;White, Victoria&lt;/author&gt;&lt;/authors&gt;&lt;/contributors&gt;&lt;titles&gt;&lt;title&gt;Institutional metamorphosis: Transformation of microfinance NGOs into regulated financial institutions&lt;/title&gt;&lt;/titles&gt;&lt;dates&gt;&lt;year&gt;1999&lt;/year&gt;&lt;/dates&gt;&lt;pub-location&gt;New York&lt;/pub-location&gt;&lt;publisher&gt;MicroFinance Network&lt;/publisher&gt;&lt;urls&gt;&lt;/urls&gt;&lt;/record&gt;&lt;/Cite&gt;&lt;/EndNote&gt;</w:instrText>
      </w:r>
      <w:r>
        <w:rPr>
          <w:bCs/>
          <w:szCs w:val="24"/>
          <w:lang w:val="en-US"/>
        </w:rPr>
      </w:r>
      <w:r>
        <w:rPr>
          <w:szCs w:val="24"/>
          <w:bCs/>
          <w:lang w:val="en-US"/>
        </w:rPr>
        <w:fldChar w:fldCharType="separate"/>
      </w:r>
      <w:r>
        <w:rPr>
          <w:bCs/>
          <w:szCs w:val="24"/>
          <w:lang w:val="en-US"/>
        </w:rPr>
        <w:t>(Campion &amp; White, 1999)</w:t>
      </w:r>
      <w:r>
        <w:rPr>
          <w:bCs/>
          <w:szCs w:val="24"/>
          <w:lang w:val="en-US"/>
        </w:rPr>
      </w:r>
      <w:r>
        <w:rPr>
          <w:szCs w:val="24"/>
          <w:bCs/>
          <w:lang w:val="en-US"/>
        </w:rPr>
        <w:fldChar w:fldCharType="end"/>
      </w:r>
      <w:r>
        <w:rPr>
          <w:bCs/>
          <w:szCs w:val="24"/>
          <w:lang w:val="en-US"/>
        </w:rPr>
        <w:t xml:space="preserve">. On the contrary, the core argument for the institutional transformation of MFIs from the NGO, not-for-profit model to the commercial model is access to capital markets. Advocates of the financial sustainability model of MFIs posit that capital market funding allows for improved corporate governance and reduces dependency on volatile donor funding </w:t>
      </w:r>
      <w:r>
        <w:fldChar w:fldCharType="begin"/>
      </w:r>
      <w:r>
        <w:rPr>
          <w:szCs w:val="24"/>
          <w:bCs/>
          <w:lang w:val="en-US"/>
        </w:rPr>
        <w:instrText>ADDIN EN.CITE &lt;EndNote&gt;&lt;Cite&gt;&lt;Author&gt;D’Espallier&lt;/Author&gt;&lt;Year&gt;2017&lt;/Year&gt;&lt;RecNum&gt;309&lt;/RecNum&gt;&lt;DisplayText&gt;(Garmaise &amp;amp; Natividad, 2013; D’Espallier, Hudon, &amp;amp; Szafarz, 2017)&lt;/DisplayText&gt;&lt;record&gt;&lt;rec-number&gt;309&lt;/rec-number&gt;&lt;foreign-keys&gt;&lt;key app="EN" db-id="wds9909saar09se5x9txwfw7ax9wfe2ftrt2" timestamp="1515556288" guid="71ab1896-f9a7-45f1-b48c-cc5a5ecc0fda"&gt;309&lt;/key&gt;&lt;/foreign-keys&gt;&lt;ref-type name="Journal Article"&gt;17&lt;/ref-type&gt;&lt;contributors&gt;&lt;authors&gt;&lt;author&gt;D’Espallier, Bert&lt;/author&gt;&lt;author&gt;Hudon, Marek&lt;/author&gt;&lt;author&gt;Szafarz, Ariane&lt;/author&gt;&lt;/authors&gt;&lt;/contributors&gt;&lt;titles&gt;&lt;title&gt;Aid volatility and social performance in microfinance&lt;/title&gt;&lt;secondary-title&gt;Nonprofit and Voluntary Sector Quarterly&lt;/secondary-title&gt;&lt;/titles&gt;&lt;pages&gt;116-140&lt;/pages&gt;&lt;volume&gt;46&lt;/volume&gt;&lt;number&gt;1&lt;/number&gt;&lt;dates&gt;&lt;year&gt;2017&lt;/year&gt;&lt;/dates&gt;&lt;isbn&gt;0899-7640&lt;/isbn&gt;&lt;urls&gt;&lt;/urls&gt;&lt;/record&gt;&lt;/Cite&gt;&lt;Cite&gt;&lt;Author&gt;Garmaise&lt;/Author&gt;&lt;Year&gt;2013&lt;/Year&gt;&lt;RecNum&gt;18&lt;/RecNum&gt;&lt;record&gt;&lt;rec-number&gt;18&lt;/rec-number&gt;&lt;foreign-keys&gt;&lt;key app="EN" db-id="wds9909saar09se5x9txwfw7ax9wfe2ftrt2" timestamp="1501162236" guid="3ac97285-4671-4f00-af67-eff31a480647"&gt;18&lt;/key&gt;&lt;/foreign-keys&gt;&lt;ref-type name="Journal Article"&gt;17&lt;/ref-type&gt;&lt;contributors&gt;&lt;authors&gt;&lt;author&gt;Garmaise, Mark J&lt;/author&gt;&lt;author&gt;Natividad, Gabriel&lt;/author&gt;&lt;/authors&gt;&lt;/contributors&gt;&lt;titles&gt;&lt;title&gt;Cheap credit, lending operations, and international politics: The case of global microfinance&lt;/title&gt;&lt;secondary-title&gt;The Journal of Finance&lt;/secondary-title&gt;&lt;/titles&gt;&lt;periodical&gt;&lt;full-title&gt;The Journal of finance&lt;/full-title&gt;&lt;/periodical&gt;&lt;pages&gt;1551-1576&lt;/pages&gt;&lt;volume&gt;68&lt;/volume&gt;&lt;number&gt;4&lt;/number&gt;&lt;dates&gt;&lt;year&gt;2013&lt;/year&gt;&lt;/dates&gt;&lt;isbn&gt;1540-6261&lt;/isbn&gt;&lt;urls&gt;&lt;/urls&gt;&lt;/record&gt;&lt;/Cite&gt;&lt;/EndNote&gt;</w:instrText>
      </w:r>
      <w:r>
        <w:rPr>
          <w:bCs/>
          <w:szCs w:val="24"/>
          <w:lang w:val="en-US"/>
        </w:rPr>
      </w:r>
      <w:r>
        <w:rPr>
          <w:szCs w:val="24"/>
          <w:bCs/>
          <w:lang w:val="en-US"/>
        </w:rPr>
        <w:fldChar w:fldCharType="separate"/>
      </w:r>
      <w:r>
        <w:rPr>
          <w:bCs/>
          <w:szCs w:val="24"/>
          <w:lang w:val="en-US"/>
        </w:rPr>
        <w:t>(Garmaise &amp; Natividad, 2013; D’Espallier, Hudon, &amp; Szafarz, 2017)</w:t>
      </w:r>
      <w:r>
        <w:rPr>
          <w:bCs/>
          <w:szCs w:val="24"/>
          <w:lang w:val="en-US"/>
        </w:rPr>
      </w:r>
      <w:r>
        <w:rPr>
          <w:szCs w:val="24"/>
          <w:bCs/>
          <w:lang w:val="en-US"/>
        </w:rPr>
        <w:fldChar w:fldCharType="end"/>
      </w:r>
      <w:r>
        <w:rPr>
          <w:bCs/>
          <w:szCs w:val="24"/>
          <w:lang w:val="en-US"/>
        </w:rPr>
        <w:t xml:space="preserve">. Financial sustainability also allows MFIs to reach more unbanked people in the long run </w:t>
      </w:r>
      <w:r>
        <w:fldChar w:fldCharType="begin"/>
      </w:r>
      <w:r>
        <w:rPr>
          <w:szCs w:val="24"/>
          <w:bCs/>
          <w:lang w:val="en-US"/>
        </w:rPr>
        <w:instrText>ADDIN EN.CITE &lt;EndNote&gt;&lt;Cite&gt;&lt;Author&gt;Tchakoute-Tchuigoua&lt;/Author&gt;&lt;Year&gt;2010&lt;/Year&gt;&lt;RecNum&gt;223&lt;/RecNum&gt;&lt;DisplayText&gt;(Tchakoute-Tchuigoua, 2010)&lt;/DisplayText&gt;&lt;record&gt;&lt;rec-number&gt;223&lt;/rec-number&gt;&lt;foreign-keys&gt;&lt;key app="EN" db-id="wds9909saar09se5x9txwfw7ax9wfe2ftrt2" timestamp="1512047893" guid="f8783d6f-3afb-4159-b7e3-911be4466fe3"&gt;223&lt;/key&gt;&lt;/foreign-keys&gt;&lt;ref-type name="Journal Article"&gt;17&lt;/ref-type&gt;&lt;contributors&gt;&lt;authors&gt;&lt;author&gt;Tchakoute-Tchuigoua, Hubert&lt;/author&gt;&lt;/authors&gt;&lt;/contributors&gt;&lt;titles&gt;&lt;title&gt;Is there a difference in performance by the legal status of microfinance institutions?&lt;/title&gt;&lt;secondary-title&gt;The Quarterly Review of Economics and Finance&lt;/secondary-title&gt;&lt;/titles&gt;&lt;pages&gt;436-442&lt;/pages&gt;&lt;volume&gt;50&lt;/volume&gt;&lt;number&gt;4&lt;/number&gt;&lt;dates&gt;&lt;year&gt;2010&lt;/year&gt;&lt;/dates&gt;&lt;isbn&gt;1062-9769&lt;/isbn&gt;&lt;urls&gt;&lt;/urls&gt;&lt;/record&gt;&lt;/Cite&gt;&lt;/EndNote&gt;</w:instrText>
      </w:r>
      <w:r>
        <w:rPr>
          <w:bCs/>
          <w:szCs w:val="24"/>
          <w:lang w:val="en-US"/>
        </w:rPr>
      </w:r>
      <w:r>
        <w:rPr>
          <w:szCs w:val="24"/>
          <w:bCs/>
          <w:lang w:val="en-US"/>
        </w:rPr>
        <w:fldChar w:fldCharType="separate"/>
      </w:r>
      <w:r>
        <w:rPr>
          <w:bCs/>
          <w:szCs w:val="24"/>
          <w:lang w:val="en-US"/>
        </w:rPr>
        <w:t>(Tchakoute-Tchuigoua, 2010)</w:t>
      </w:r>
      <w:r>
        <w:rPr>
          <w:bCs/>
          <w:szCs w:val="24"/>
          <w:lang w:val="en-US"/>
        </w:rPr>
      </w:r>
      <w:r>
        <w:rPr>
          <w:szCs w:val="24"/>
          <w:bCs/>
          <w:lang w:val="en-US"/>
        </w:rPr>
        <w:fldChar w:fldCharType="end"/>
      </w:r>
      <w:r>
        <w:rPr>
          <w:bCs/>
          <w:szCs w:val="24"/>
          <w:lang w:val="en-US"/>
        </w:rPr>
        <w:t>.</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Indeed, across the globe and in Africa, many MFIs are transitioning from the NGO not-for-profit model to the financial sustainability approach where they strive to generate profit over and above meeting their social goal </w:t>
      </w:r>
      <w:r>
        <w:fldChar w:fldCharType="begin"/>
      </w:r>
      <w:r>
        <w:rPr>
          <w:szCs w:val="24"/>
          <w:bCs/>
          <w:lang w:val="en-US"/>
        </w:rPr>
        <w:instrText>ADDIN EN.CITE</w:instrText>
      </w:r>
      <w:r>
        <w:rPr>
          <w:bCs/>
          <w:szCs w:val="24"/>
          <w:lang w:val="en-US"/>
        </w:rPr>
      </w:r>
      <w:r>
        <w:fldChar w:fldCharType="begin"/>
      </w:r>
      <w:r>
        <w:rPr>
          <w:szCs w:val="24"/>
          <w:bCs/>
          <w:lang w:val="en-US"/>
        </w:rPr>
        <w:instrText>ADDIN EN.CITE.DATA</w:instrText>
      </w:r>
      <w:r>
        <w:rPr>
          <w:bCs/>
          <w:szCs w:val="24"/>
          <w:lang w:val="en-US"/>
        </w:rPr>
      </w:r>
      <w:r>
        <w:rPr>
          <w:szCs w:val="24"/>
          <w:bCs/>
          <w:lang w:val="en-US"/>
        </w:rPr>
        <w:fldChar w:fldCharType="separate"/>
      </w:r>
      <w:r>
        <w:rPr>
          <w:bCs/>
          <w:szCs w:val="24"/>
          <w:lang w:val="en-US"/>
        </w:rPr>
      </w:r>
      <w:r>
        <w:rPr>
          <w:bCs/>
          <w:szCs w:val="24"/>
          <w:lang w:val="en-US"/>
        </w:rPr>
      </w:r>
      <w:r>
        <w:rPr>
          <w:szCs w:val="24"/>
          <w:bCs/>
          <w:lang w:val="en-US"/>
        </w:rPr>
        <w:fldChar w:fldCharType="end"/>
      </w:r>
      <w:r>
        <w:rPr>
          <w:szCs w:val="24"/>
          <w:bCs/>
          <w:lang w:val="en-US"/>
        </w:rPr>
        <w:fldChar w:fldCharType="separate"/>
      </w:r>
      <w:r>
        <w:rPr>
          <w:bCs/>
          <w:szCs w:val="24"/>
          <w:lang w:val="en-US"/>
        </w:rPr>
        <w:t>(Hudon, 2010; Wagenaar, 2012; Kodongo &amp; Kendi, 2013)</w:t>
      </w:r>
      <w:r>
        <w:rPr>
          <w:bCs/>
          <w:szCs w:val="24"/>
          <w:lang w:val="en-US"/>
        </w:rPr>
      </w:r>
      <w:r>
        <w:rPr>
          <w:szCs w:val="24"/>
          <w:bCs/>
          <w:lang w:val="en-US"/>
        </w:rPr>
        <w:fldChar w:fldCharType="end"/>
      </w:r>
      <w:r>
        <w:rPr>
          <w:bCs/>
          <w:szCs w:val="24"/>
          <w:lang w:val="en-US"/>
        </w:rPr>
        <w:t xml:space="preserve">. Having grown on a donations dependent model, the shift to the commercial model has implied a change in the business model, and most importantly a search for a steady source of capital </w:t>
      </w:r>
      <w:r>
        <w:fldChar w:fldCharType="begin"/>
      </w:r>
      <w:r>
        <w:rPr>
          <w:szCs w:val="24"/>
          <w:bCs/>
          <w:lang w:val="en-US"/>
        </w:rPr>
        <w:instrText>ADDIN EN.CITE &lt;EndNote&gt;&lt;Cite&gt;&lt;Author&gt;D’Espallier&lt;/Author&gt;&lt;Year&gt;2013&lt;/Year&gt;&lt;RecNum&gt;24&lt;/RecNum&gt;&lt;DisplayText&gt;(D’Espallier, Hudon, &amp;amp; Szafarz, 2013)&lt;/DisplayText&gt;&lt;record&gt;&lt;rec-number&gt;24&lt;/rec-number&gt;&lt;foreign-keys&gt;&lt;key app="EN" db-id="wds9909saar09se5x9txwfw7ax9wfe2ftrt2" timestamp="1501242803" guid="e8710a3c-12fb-4f84-9166-2738d5c3efef"&gt;24&lt;/key&gt;&lt;/foreign-keys&gt;&lt;ref-type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EndNote&gt;</w:instrText>
      </w:r>
      <w:r>
        <w:rPr>
          <w:bCs/>
          <w:szCs w:val="24"/>
          <w:lang w:val="en-US"/>
        </w:rPr>
      </w:r>
      <w:r>
        <w:rPr>
          <w:szCs w:val="24"/>
          <w:bCs/>
          <w:lang w:val="en-US"/>
        </w:rPr>
        <w:fldChar w:fldCharType="separate"/>
      </w:r>
      <w:r>
        <w:rPr>
          <w:bCs/>
          <w:szCs w:val="24"/>
          <w:lang w:val="en-US"/>
        </w:rPr>
        <w:t>(D’Espallier, Hudon, &amp; Szafarz, 2013)</w:t>
      </w:r>
      <w:r>
        <w:rPr>
          <w:bCs/>
          <w:szCs w:val="24"/>
          <w:lang w:val="en-US"/>
        </w:rPr>
      </w:r>
      <w:r>
        <w:rPr>
          <w:szCs w:val="24"/>
          <w:bCs/>
          <w:lang w:val="en-US"/>
        </w:rPr>
        <w:fldChar w:fldCharType="end"/>
      </w:r>
      <w:r>
        <w:rPr>
          <w:bCs/>
          <w:szCs w:val="24"/>
          <w:lang w:val="en-US"/>
        </w:rPr>
        <w:t xml:space="preserve">. </w:t>
      </w:r>
    </w:p>
    <w:p>
      <w:pPr>
        <w:pStyle w:val="Normal"/>
        <w:widowControl w:val="false"/>
        <w:spacing w:lineRule="auto" w:line="360"/>
        <w:rPr>
          <w:bCs/>
          <w:szCs w:val="24"/>
          <w:lang w:val="en-US"/>
        </w:rPr>
      </w:pPr>
      <w:r>
        <w:rPr>
          <w:bCs/>
          <w:szCs w:val="24"/>
          <w:lang w:val="en-US"/>
        </w:rPr>
      </w:r>
    </w:p>
    <w:p>
      <w:pPr>
        <w:pStyle w:val="Caption1"/>
        <w:rPr>
          <w:i w:val="false"/>
          <w:i w:val="false"/>
          <w:iCs w:val="false"/>
          <w:sz w:val="24"/>
          <w:szCs w:val="24"/>
        </w:rPr>
      </w:pPr>
      <w:r>
        <w:rPr>
          <w:i w:val="false"/>
          <w:iCs w:val="false"/>
          <w:sz w:val="24"/>
          <w:szCs w:val="24"/>
        </w:rPr>
        <w:t xml:space="preserve">Table </w:t>
      </w:r>
      <w:r>
        <w:rPr>
          <w:i w:val="false"/>
          <w:iCs w:val="false"/>
          <w:sz w:val="24"/>
          <w:szCs w:val="24"/>
        </w:rPr>
        <w:fldChar w:fldCharType="begin"/>
      </w:r>
      <w:r>
        <w:rPr>
          <w:sz w:val="24"/>
          <w:i w:val="false"/>
          <w:szCs w:val="24"/>
          <w:iCs w:val="false"/>
        </w:rPr>
        <w:instrText> SEQ Table \* ARABIC </w:instrText>
      </w:r>
      <w:r>
        <w:rPr>
          <w:sz w:val="24"/>
          <w:i w:val="false"/>
          <w:szCs w:val="24"/>
          <w:iCs w:val="false"/>
        </w:rPr>
        <w:fldChar w:fldCharType="separate"/>
      </w:r>
      <w:r>
        <w:rPr>
          <w:sz w:val="24"/>
          <w:i w:val="false"/>
          <w:szCs w:val="24"/>
          <w:iCs w:val="false"/>
        </w:rPr>
        <w:t>1</w:t>
      </w:r>
      <w:r>
        <w:rPr>
          <w:sz w:val="24"/>
          <w:i w:val="false"/>
          <w:szCs w:val="24"/>
          <w:iCs w:val="false"/>
        </w:rPr>
        <w:fldChar w:fldCharType="end"/>
      </w:r>
      <w:r>
        <w:rPr>
          <w:i w:val="false"/>
          <w:iCs w:val="false"/>
          <w:sz w:val="24"/>
          <w:szCs w:val="24"/>
        </w:rPr>
        <w:t xml:space="preserve">: Financing structure of Microfinance Institutions in Africa </w:t>
      </w:r>
    </w:p>
    <w:p>
      <w:pPr>
        <w:pStyle w:val="Normal"/>
        <w:rPr>
          <w:lang w:eastAsia="en-US"/>
        </w:rPr>
      </w:pPr>
      <w:r>
        <w:rPr>
          <w:lang w:eastAsia="en-US"/>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04"/>
        <w:gridCol w:w="1848"/>
        <w:gridCol w:w="1913"/>
        <w:gridCol w:w="626"/>
        <w:gridCol w:w="701"/>
        <w:gridCol w:w="626"/>
        <w:gridCol w:w="626"/>
        <w:gridCol w:w="680"/>
        <w:gridCol w:w="625"/>
        <w:gridCol w:w="776"/>
      </w:tblGrid>
      <w:tr>
        <w:trPr>
          <w:trHeight w:val="330" w:hRule="atLeast"/>
        </w:trPr>
        <w:tc>
          <w:tcPr>
            <w:tcW w:w="604"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848"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Variable</w:t>
            </w:r>
          </w:p>
        </w:tc>
        <w:tc>
          <w:tcPr>
            <w:tcW w:w="1913"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Legal Status</w:t>
            </w:r>
          </w:p>
        </w:tc>
        <w:tc>
          <w:tcPr>
            <w:tcW w:w="626"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Mean</w:t>
            </w:r>
          </w:p>
        </w:tc>
        <w:tc>
          <w:tcPr>
            <w:tcW w:w="701"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SD</w:t>
            </w:r>
          </w:p>
        </w:tc>
        <w:tc>
          <w:tcPr>
            <w:tcW w:w="626"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Min</w:t>
            </w:r>
          </w:p>
        </w:tc>
        <w:tc>
          <w:tcPr>
            <w:tcW w:w="626"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Q1</w:t>
            </w:r>
          </w:p>
        </w:tc>
        <w:tc>
          <w:tcPr>
            <w:tcW w:w="680"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Median</w:t>
            </w:r>
          </w:p>
        </w:tc>
        <w:tc>
          <w:tcPr>
            <w:tcW w:w="625"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Q3</w:t>
            </w:r>
          </w:p>
        </w:tc>
        <w:tc>
          <w:tcPr>
            <w:tcW w:w="776" w:type="dxa"/>
            <w:tcBorders>
              <w:top w:val="single" w:sz="12" w:space="0" w:color="002060"/>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Max</w:t>
            </w:r>
          </w:p>
        </w:tc>
      </w:tr>
      <w:tr>
        <w:trPr>
          <w:trHeight w:val="27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w:t>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Debt to Equity Ratio</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Bank</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4.2573</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4.4283</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1.7875</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3.5900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5.8950</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74.8100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Credit Union/ Cooperative</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5.7578</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18.0323</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1.1900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3.0900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5.5000</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585.2400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NBFI</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5.2115</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24.6331</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0.6700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1.9750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4.4225</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531.2600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NGO</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5.4119</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33.5677</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0.4675</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1.4400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3.1900</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558.6200</w:t>
            </w:r>
          </w:p>
        </w:tc>
      </w:tr>
      <w:tr>
        <w:trPr>
          <w:trHeight w:val="260" w:hRule="atLeast"/>
        </w:trPr>
        <w:tc>
          <w:tcPr>
            <w:tcW w:w="604"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bottom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bottom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Rural Bank</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6.8291</w:t>
            </w:r>
          </w:p>
        </w:tc>
        <w:tc>
          <w:tcPr>
            <w:tcW w:w="701"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3.1055</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5.1900</w:t>
            </w:r>
          </w:p>
        </w:tc>
        <w:tc>
          <w:tcPr>
            <w:tcW w:w="680"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6.2000</w:t>
            </w:r>
          </w:p>
        </w:tc>
        <w:tc>
          <w:tcPr>
            <w:tcW w:w="625"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7.9150</w:t>
            </w:r>
          </w:p>
        </w:tc>
        <w:tc>
          <w:tcPr>
            <w:tcW w:w="77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20.4300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2</w:t>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Capital to Assets Ratio</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Bank</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0.3049</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0.2073</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0.1539</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0.2390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0.3873</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Credit Union/ Cooperative</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0.2534</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0.2032</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0.1071</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0.2077</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0.3596</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NBFI</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0.3856</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0.2691</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0.1758</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0.3236</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0.5665</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NGO</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0.4346</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0.2765</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0.2193</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0.3807</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0.6440</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bottom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bottom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Rural Bank</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0.1631</w:t>
            </w:r>
          </w:p>
        </w:tc>
        <w:tc>
          <w:tcPr>
            <w:tcW w:w="701"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0.1444</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0.1026</w:t>
            </w:r>
          </w:p>
        </w:tc>
        <w:tc>
          <w:tcPr>
            <w:tcW w:w="680"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0.1372</w:t>
            </w:r>
          </w:p>
        </w:tc>
        <w:tc>
          <w:tcPr>
            <w:tcW w:w="625"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0.1615</w:t>
            </w:r>
          </w:p>
        </w:tc>
        <w:tc>
          <w:tcPr>
            <w:tcW w:w="77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3</w:t>
            </w:r>
          </w:p>
        </w:tc>
        <w:tc>
          <w:tcPr>
            <w:tcW w:w="1848" w:type="dxa"/>
            <w:tcBorders>
              <w:top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Deposits to Total Assets</w:t>
            </w:r>
          </w:p>
        </w:tc>
        <w:tc>
          <w:tcPr>
            <w:tcW w:w="1913" w:type="dxa"/>
            <w:tcBorders>
              <w:top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Bank</w:t>
            </w:r>
          </w:p>
        </w:tc>
        <w:tc>
          <w:tcPr>
            <w:tcW w:w="626"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0.5688</w:t>
            </w:r>
          </w:p>
        </w:tc>
        <w:tc>
          <w:tcPr>
            <w:tcW w:w="701"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0.2204</w:t>
            </w:r>
          </w:p>
        </w:tc>
        <w:tc>
          <w:tcPr>
            <w:tcW w:w="626"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0.4078</w:t>
            </w:r>
          </w:p>
        </w:tc>
        <w:tc>
          <w:tcPr>
            <w:tcW w:w="680"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0.6194</w:t>
            </w:r>
          </w:p>
        </w:tc>
        <w:tc>
          <w:tcPr>
            <w:tcW w:w="625"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0.7465</w:t>
            </w:r>
          </w:p>
        </w:tc>
        <w:tc>
          <w:tcPr>
            <w:tcW w:w="776"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Credit Union/ Cooperative</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0.5725</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0.2364</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0.4125</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0.5822</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0.7538</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NBFI</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0.3376</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0.2683</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0.1310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0.2886</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0.4870</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NGO</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0.2288</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0.2399</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0.1600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0.3594</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bottom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bottom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Rural Bank</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0.7277</w:t>
            </w:r>
          </w:p>
        </w:tc>
        <w:tc>
          <w:tcPr>
            <w:tcW w:w="701"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0.1114</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0.2985</w:t>
            </w:r>
          </w:p>
        </w:tc>
        <w:tc>
          <w:tcPr>
            <w:tcW w:w="62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0.6819</w:t>
            </w:r>
          </w:p>
        </w:tc>
        <w:tc>
          <w:tcPr>
            <w:tcW w:w="680"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0.7474</w:t>
            </w:r>
          </w:p>
        </w:tc>
        <w:tc>
          <w:tcPr>
            <w:tcW w:w="625"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0.7941</w:t>
            </w:r>
          </w:p>
        </w:tc>
        <w:tc>
          <w:tcPr>
            <w:tcW w:w="776" w:type="dxa"/>
            <w:tcBorders>
              <w:bottom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top w:val="single" w:sz="4"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4</w:t>
            </w:r>
          </w:p>
        </w:tc>
        <w:tc>
          <w:tcPr>
            <w:tcW w:w="1848" w:type="dxa"/>
            <w:tcBorders>
              <w:top w:val="single" w:sz="4"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Donations to Assets Ratio</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Bank</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0.0185</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0.0782</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0.0047</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Credit Union/ Cooperative</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0.0208</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0.0711</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0.0014</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0.0143</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NBFI</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0.0387</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0.1140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0.0001</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0.0177</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60" w:hRule="atLeast"/>
        </w:trPr>
        <w:tc>
          <w:tcPr>
            <w:tcW w:w="604"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NGO</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0.0933</w:t>
            </w:r>
          </w:p>
        </w:tc>
        <w:tc>
          <w:tcPr>
            <w:tcW w:w="701"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0.1861</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80"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0.0114</w:t>
            </w:r>
          </w:p>
        </w:tc>
        <w:tc>
          <w:tcPr>
            <w:tcW w:w="625"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0.0937</w:t>
            </w:r>
          </w:p>
        </w:tc>
        <w:tc>
          <w:tcPr>
            <w:tcW w:w="776" w:type="dxa"/>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1.0000</w:t>
            </w:r>
          </w:p>
        </w:tc>
      </w:tr>
      <w:tr>
        <w:trPr>
          <w:trHeight w:val="270" w:hRule="atLeast"/>
        </w:trPr>
        <w:tc>
          <w:tcPr>
            <w:tcW w:w="604"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r>
          </w:p>
        </w:tc>
        <w:tc>
          <w:tcPr>
            <w:tcW w:w="1848" w:type="dxa"/>
            <w:tcBorders>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 </w:t>
            </w:r>
          </w:p>
        </w:tc>
        <w:tc>
          <w:tcPr>
            <w:tcW w:w="1913" w:type="dxa"/>
            <w:tcBorders>
              <w:bottom w:val="single" w:sz="12" w:space="0" w:color="000000"/>
            </w:tcBorders>
            <w:shd w:color="000000" w:fill="FFFFFF" w:val="clear"/>
            <w:vAlign w:val="bottom"/>
          </w:tcPr>
          <w:p>
            <w:pPr>
              <w:pStyle w:val="Normal"/>
              <w:widowControl w:val="false"/>
              <w:spacing w:lineRule="auto" w:line="360"/>
              <w:jc w:val="left"/>
              <w:rPr>
                <w:rFonts w:cs="Calibri"/>
                <w:color w:val="000000"/>
                <w:sz w:val="16"/>
                <w:szCs w:val="16"/>
              </w:rPr>
            </w:pPr>
            <w:r>
              <w:rPr>
                <w:rFonts w:cs="Calibri"/>
                <w:color w:val="000000"/>
                <w:sz w:val="16"/>
                <w:szCs w:val="16"/>
              </w:rPr>
              <w:t>Rural Bank</w:t>
            </w:r>
          </w:p>
        </w:tc>
        <w:tc>
          <w:tcPr>
            <w:tcW w:w="626"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0.0017</w:t>
            </w:r>
          </w:p>
        </w:tc>
        <w:tc>
          <w:tcPr>
            <w:tcW w:w="701"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0.0103</w:t>
            </w:r>
          </w:p>
        </w:tc>
        <w:tc>
          <w:tcPr>
            <w:tcW w:w="626"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6"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80"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625"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0.0000</w:t>
            </w:r>
          </w:p>
        </w:tc>
        <w:tc>
          <w:tcPr>
            <w:tcW w:w="776" w:type="dxa"/>
            <w:tcBorders>
              <w:bottom w:val="single" w:sz="12" w:space="0" w:color="000000"/>
            </w:tcBorders>
            <w:shd w:color="000000" w:fill="FFFFFF" w:val="clear"/>
            <w:vAlign w:val="bottom"/>
          </w:tcPr>
          <w:p>
            <w:pPr>
              <w:pStyle w:val="Normal"/>
              <w:widowControl w:val="false"/>
              <w:spacing w:lineRule="auto" w:line="360"/>
              <w:jc w:val="right"/>
              <w:rPr>
                <w:rFonts w:cs="Calibri"/>
                <w:color w:val="000000"/>
                <w:sz w:val="16"/>
                <w:szCs w:val="16"/>
              </w:rPr>
            </w:pPr>
            <w:r>
              <w:rPr>
                <w:rFonts w:cs="Calibri"/>
                <w:color w:val="000000"/>
                <w:sz w:val="16"/>
                <w:szCs w:val="16"/>
              </w:rPr>
              <w:t>0.0773</w:t>
            </w:r>
          </w:p>
        </w:tc>
      </w:tr>
    </w:tbl>
    <w:p>
      <w:pPr>
        <w:pStyle w:val="Normal"/>
        <w:rPr>
          <w:lang w:eastAsia="en-US"/>
        </w:rPr>
      </w:pPr>
      <w:r>
        <w:rPr>
          <w:lang w:eastAsia="en-US"/>
        </w:rPr>
      </w:r>
    </w:p>
    <w:p>
      <w:pPr>
        <w:pStyle w:val="Normal"/>
        <w:widowControl w:val="false"/>
        <w:spacing w:lineRule="auto" w:line="360"/>
        <w:jc w:val="right"/>
        <w:rPr>
          <w:bCs/>
          <w:szCs w:val="24"/>
          <w:lang w:val="en-US"/>
        </w:rPr>
      </w:pPr>
      <w:r>
        <w:rPr>
          <w:bCs/>
          <w:szCs w:val="24"/>
          <w:lang w:val="en-US"/>
        </w:rPr>
        <w:t>Source: Author's construction using data from MIX</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Table 1 shows the sources of financing for MFIs in Africa. As expected, NGOs are least reliant on debt compared to other MFI models. Rural banks, commercial banks, Credit unions and NBFIs, respectively, have the most debt relative to assets. The picture is the exact opposite for capital to assets ratio where NGOs lead while rural banks trail. NGOs have the lowest median deposits to assets ratio, probably arising from the legal restrictions on deposit mobilisation. Lastly, as we expect, NGOs have the highest median donations to assets. While the data shows some regularity in terms of the legal status of MFIs, it is notable that some MFIs are shifting from the NGO model to the commercial model- mainly as commercial banks and NBFIs </w:t>
      </w:r>
      <w:r>
        <w:fldChar w:fldCharType="begin"/>
      </w:r>
      <w:r>
        <w:rPr>
          <w:szCs w:val="24"/>
          <w:bCs/>
          <w:lang w:val="en-US"/>
        </w:rPr>
        <w:instrText>ADDIN EN.CITE &lt;EndNote&gt;&lt;Cite&gt;&lt;Author&gt;Sarma&lt;/Author&gt;&lt;Year&gt;2011&lt;/Year&gt;&lt;RecNum&gt;57&lt;/RecNum&gt;&lt;DisplayText&gt;(Sarma, 2011; Jia, Cull, Guo, &amp;amp; Ma, 2016)&lt;/DisplayText&gt;&lt;record&gt;&lt;rec-number&gt;57&lt;/rec-number&gt;&lt;foreign-keys&gt;&lt;key app="EN" db-id="wds9909saar09se5x9txwfw7ax9wfe2ftrt2" timestamp="1502879386" guid="28a79331-fed5-478c-863f-3e74ecd8a4dc"&gt;57&lt;/key&gt;&lt;/foreign-keys&gt;&lt;ref-type name="Journal Article"&gt;17&lt;/ref-type&gt;&lt;contributors&gt;&lt;authors&gt;&lt;author&gt;Sarma, Sushanta&lt;/author&gt;&lt;/authors&gt;&lt;/contributors&gt;&lt;titles&gt;&lt;title&gt;NGO transformation: Institutional entrepreneurship in Indian microfinance&lt;/title&gt;&lt;secondary-title&gt;Business Strategy Series&lt;/secondary-title&gt;&lt;/titles&gt;&lt;pages&gt;167-176&lt;/pages&gt;&lt;volume&gt;12&lt;/volume&gt;&lt;number&gt;4&lt;/number&gt;&lt;dates&gt;&lt;year&gt;2011&lt;/year&gt;&lt;/dates&gt;&lt;isbn&gt;1751-5637&lt;/isbn&gt;&lt;urls&gt;&lt;/urls&gt;&lt;/record&gt;&lt;/Cite&gt;&lt;Cite&gt;&lt;Author&gt;Jia&lt;/Author&gt;&lt;Year&gt;2016&lt;/Year&gt;&lt;RecNum&gt;302&lt;/RecNum&gt;&lt;record&gt;&lt;rec-number&gt;302&lt;/rec-number&gt;&lt;foreign-keys&gt;&lt;key app="EN" db-id="wds9909saar09se5x9txwfw7ax9wfe2ftrt2" timestamp="1515537092" guid="698538fc-2d29-4be5-80d3-3d74553336ec"&gt;302&lt;/key&gt;&lt;/foreign-keys&gt;&lt;ref-type name="Journal Article"&gt;17&lt;/ref-type&gt;&lt;contributors&gt;&lt;authors&gt;&lt;author&gt;Jia, Xiangping&lt;/author&gt;&lt;author&gt;Cull, Robert&lt;/author&gt;&lt;author&gt;Guo, Pei&lt;/author&gt;&lt;author&gt;Ma, Tao&lt;/author&gt;&lt;/authors&gt;&lt;/contributors&gt;&lt;titles&gt;&lt;title&gt;Commercialization and mission drift: Evidence from a large Chinese microfinance institution&lt;/title&gt;&lt;secondary-title&gt;China Economic Review&lt;/secondary-title&gt;&lt;/titles&gt;&lt;periodical&gt;&lt;full-title&gt;China Economic Review&lt;/full-title&gt;&lt;abbr-1&gt;China Econ. Rev.&lt;/abbr-1&gt;&lt;abbr-2&gt;China Econ Rev&lt;/abbr-2&gt;&lt;/periodical&gt;&lt;pages&gt;17-32&lt;/pages&gt;&lt;volume&gt;40&lt;/volume&gt;&lt;dates&gt;&lt;year&gt;2016&lt;/year&gt;&lt;/dates&gt;&lt;isbn&gt;1043-951X&lt;/isbn&gt;&lt;urls&gt;&lt;/urls&gt;&lt;/record&gt;&lt;/Cite&gt;&lt;/EndNote&gt;</w:instrText>
      </w:r>
      <w:r>
        <w:rPr>
          <w:bCs/>
          <w:szCs w:val="24"/>
          <w:lang w:val="en-US"/>
        </w:rPr>
      </w:r>
      <w:r>
        <w:rPr>
          <w:szCs w:val="24"/>
          <w:bCs/>
          <w:lang w:val="en-US"/>
        </w:rPr>
        <w:fldChar w:fldCharType="separate"/>
      </w:r>
      <w:r>
        <w:rPr>
          <w:bCs/>
          <w:szCs w:val="24"/>
          <w:lang w:val="en-US"/>
        </w:rPr>
        <w:t>(Sarma, 2011; Jia, Cull, Guo, &amp; Ma, 2016)</w:t>
      </w:r>
      <w:r>
        <w:rPr>
          <w:bCs/>
          <w:szCs w:val="24"/>
          <w:lang w:val="en-US"/>
        </w:rPr>
      </w:r>
      <w:r>
        <w:rPr>
          <w:szCs w:val="24"/>
          <w:bCs/>
          <w:lang w:val="en-US"/>
        </w:rPr>
        <w:fldChar w:fldCharType="end"/>
      </w:r>
      <w:r>
        <w:rPr>
          <w:bCs/>
          <w:szCs w:val="24"/>
          <w:lang w:val="en-US"/>
        </w:rPr>
        <w:t xml:space="preserve">. The shift means that, for NGOs, the source of alternative sources of finance is a vital consideration.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This article examines the factors that determine the source of financing for MFIs in Africa- beyond the institutional life cycle proposition of </w:t>
      </w:r>
      <w:r>
        <w:fldChar w:fldCharType="begin"/>
      </w:r>
      <w:r>
        <w:rPr>
          <w:szCs w:val="24"/>
          <w:bCs/>
          <w:lang w:val="en-US"/>
        </w:rPr>
        <w:instrText>ADDIN EN.CITE &lt;EndNote&gt;&lt;Cite AuthorYear="1"&gt;&lt;Author&gt;Bayai&lt;/Author&gt;&lt;Year&gt;2016&lt;/Year&gt;&lt;RecNum&gt;319&lt;/RecNum&gt;&lt;DisplayText&gt;Bayai and Ikhide (2016)&lt;/DisplayText&gt;&lt;record&gt;&lt;rec-number&gt;319&lt;/rec-number&gt;&lt;foreign-keys&gt;&lt;key app="EN" db-id="wds9909saar09se5x9txwfw7ax9wfe2ftrt2" timestamp="1516045851" guid="ee8d8706-126d-4050-a2c3-6dce19924f49"&gt;319&lt;/key&gt;&lt;/foreign-keys&gt;&lt;ref-type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Pr>
          <w:bCs/>
          <w:szCs w:val="24"/>
          <w:lang w:val="en-US"/>
        </w:rPr>
      </w:r>
      <w:r>
        <w:rPr>
          <w:szCs w:val="24"/>
          <w:bCs/>
          <w:lang w:val="en-US"/>
        </w:rPr>
        <w:fldChar w:fldCharType="separate"/>
      </w:r>
      <w:r>
        <w:rPr>
          <w:bCs/>
          <w:szCs w:val="24"/>
          <w:lang w:val="en-US"/>
        </w:rPr>
        <w:t>Bayai and Ikhide (2016)</w:t>
      </w:r>
      <w:r>
        <w:rPr>
          <w:bCs/>
          <w:szCs w:val="24"/>
          <w:lang w:val="en-US"/>
        </w:rPr>
      </w:r>
      <w:r>
        <w:rPr>
          <w:szCs w:val="24"/>
          <w:bCs/>
          <w:lang w:val="en-US"/>
        </w:rPr>
        <w:fldChar w:fldCharType="end"/>
      </w:r>
      <w:r>
        <w:rPr>
          <w:bCs/>
          <w:szCs w:val="24"/>
          <w:lang w:val="en-US"/>
        </w:rPr>
        <w:t xml:space="preserve">. Specifically, we examine the drivers of leverage (debt to equity ratio), capital to assets ratio (also termed as equity to assets ratio), deposits to assets ratio, and finally, donations to assets ratio.  The existing literature on capital structure choices focuses on commercial (profit-oriented) firms </w:t>
      </w:r>
      <w:r>
        <w:fldChar w:fldCharType="begin"/>
      </w:r>
      <w:r>
        <w:rPr>
          <w:szCs w:val="24"/>
          <w:bCs/>
          <w:lang w:val="en-US"/>
        </w:rPr>
        <w:instrText>ADDIN EN.CITE</w:instrText>
      </w:r>
      <w:r>
        <w:rPr>
          <w:bCs/>
          <w:szCs w:val="24"/>
          <w:lang w:val="en-US"/>
        </w:rPr>
      </w:r>
      <w:r>
        <w:fldChar w:fldCharType="begin"/>
      </w:r>
      <w:r>
        <w:rPr>
          <w:szCs w:val="24"/>
          <w:bCs/>
          <w:lang w:val="en-US"/>
        </w:rPr>
        <w:instrText>ADDIN EN.CITE.DATA</w:instrText>
      </w:r>
      <w:r>
        <w:rPr>
          <w:bCs/>
          <w:szCs w:val="24"/>
          <w:lang w:val="en-US"/>
        </w:rPr>
      </w:r>
      <w:r>
        <w:rPr>
          <w:szCs w:val="24"/>
          <w:bCs/>
          <w:lang w:val="en-US"/>
        </w:rPr>
        <w:fldChar w:fldCharType="separate"/>
      </w:r>
      <w:r>
        <w:rPr>
          <w:bCs/>
          <w:szCs w:val="24"/>
          <w:lang w:val="en-US"/>
        </w:rPr>
      </w:r>
      <w:r>
        <w:rPr>
          <w:bCs/>
          <w:szCs w:val="24"/>
          <w:lang w:val="en-US"/>
        </w:rPr>
      </w:r>
      <w:r>
        <w:rPr>
          <w:szCs w:val="24"/>
          <w:bCs/>
          <w:lang w:val="en-US"/>
        </w:rPr>
        <w:fldChar w:fldCharType="end"/>
      </w:r>
      <w:r>
        <w:rPr>
          <w:szCs w:val="24"/>
          <w:bCs/>
          <w:lang w:val="en-US"/>
        </w:rPr>
        <w:fldChar w:fldCharType="separate"/>
      </w:r>
      <w:r>
        <w:rPr>
          <w:bCs/>
          <w:szCs w:val="24"/>
          <w:lang w:val="en-US"/>
        </w:rPr>
        <w:t>(Gropp &amp; Heider, 2010; Liu, Liu, Peng, &amp; Yang, 2017; Matias &amp; Serrasqueiro, 2017)</w:t>
      </w:r>
      <w:r>
        <w:rPr>
          <w:bCs/>
          <w:szCs w:val="24"/>
          <w:lang w:val="en-US"/>
        </w:rPr>
      </w:r>
      <w:r>
        <w:rPr>
          <w:szCs w:val="24"/>
          <w:bCs/>
          <w:lang w:val="en-US"/>
        </w:rPr>
        <w:fldChar w:fldCharType="end"/>
      </w:r>
      <w:r>
        <w:rPr>
          <w:bCs/>
          <w:szCs w:val="24"/>
          <w:lang w:val="en-US"/>
        </w:rPr>
        <w:t xml:space="preserve">. The drivers of financing for MFIs may differ from those of purely commercial firms because the social goals of MFIs may be at conflict with those of the commercial providers of funds. In microfinance, extant literature mainly examines the link between capital structure and the performance and sustainability of MFIs </w:t>
      </w:r>
      <w:r>
        <w:fldChar w:fldCharType="begin"/>
      </w:r>
      <w:r>
        <w:rPr>
          <w:szCs w:val="24"/>
          <w:bCs/>
          <w:lang w:val="en-US"/>
        </w:rPr>
        <w:instrText>ADDIN EN.CITE</w:instrText>
      </w:r>
      <w:r>
        <w:rPr>
          <w:bCs/>
          <w:szCs w:val="24"/>
          <w:lang w:val="en-US"/>
        </w:rPr>
      </w:r>
      <w:r>
        <w:fldChar w:fldCharType="begin"/>
      </w:r>
      <w:r>
        <w:rPr>
          <w:szCs w:val="24"/>
          <w:bCs/>
          <w:lang w:val="en-US"/>
        </w:rPr>
        <w:instrText>ADDIN EN.CITE.DATA</w:instrText>
      </w:r>
      <w:r>
        <w:rPr>
          <w:bCs/>
          <w:szCs w:val="24"/>
          <w:lang w:val="en-US"/>
        </w:rPr>
      </w:r>
      <w:r>
        <w:rPr>
          <w:szCs w:val="24"/>
          <w:bCs/>
          <w:lang w:val="en-US"/>
        </w:rPr>
        <w:fldChar w:fldCharType="separate"/>
      </w:r>
      <w:r>
        <w:rPr>
          <w:bCs/>
          <w:szCs w:val="24"/>
          <w:lang w:val="en-US"/>
        </w:rPr>
      </w:r>
      <w:r>
        <w:rPr>
          <w:bCs/>
          <w:szCs w:val="24"/>
          <w:lang w:val="en-US"/>
        </w:rPr>
      </w:r>
      <w:r>
        <w:rPr>
          <w:szCs w:val="24"/>
          <w:bCs/>
          <w:lang w:val="en-US"/>
        </w:rPr>
        <w:fldChar w:fldCharType="end"/>
      </w:r>
      <w:r>
        <w:rPr>
          <w:szCs w:val="24"/>
          <w:bCs/>
          <w:lang w:val="en-US"/>
        </w:rPr>
        <w:fldChar w:fldCharType="separate"/>
      </w:r>
      <w:r>
        <w:rPr>
          <w:bCs/>
          <w:szCs w:val="24"/>
          <w:lang w:val="en-US"/>
        </w:rPr>
        <w:t>(Kyereboah-Coleman, 2007b; Bogan, 2012; Khachatryan, Hartarska, &amp; Grigoryan, 2017)</w:t>
      </w:r>
      <w:r>
        <w:rPr>
          <w:bCs/>
          <w:szCs w:val="24"/>
          <w:lang w:val="en-US"/>
        </w:rPr>
      </w:r>
      <w:r>
        <w:rPr>
          <w:szCs w:val="24"/>
          <w:bCs/>
          <w:lang w:val="en-US"/>
        </w:rPr>
        <w:fldChar w:fldCharType="end"/>
      </w:r>
      <w:r>
        <w:rPr>
          <w:bCs/>
          <w:szCs w:val="24"/>
          <w:lang w:val="en-US"/>
        </w:rPr>
        <w:t xml:space="preserve">.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In this respect, three studies by </w:t>
      </w:r>
      <w:r>
        <w:fldChar w:fldCharType="begin"/>
      </w:r>
      <w:r>
        <w:rPr>
          <w:szCs w:val="24"/>
          <w:bCs/>
          <w:lang w:val="en-US"/>
        </w:rPr>
        <w:instrText>ADDIN EN.CITE &lt;EndNote&gt;&lt;Cite AuthorYear="1"&gt;&lt;Author&gt;Kyereboah-Coleman&lt;/Author&gt;&lt;Year&gt;2007&lt;/Year&gt;&lt;RecNum&gt;514&lt;/RecNum&gt;&lt;DisplayText&gt;Kyereboah-Coleman (2007a)&lt;/DisplayText&gt;&lt;record&gt;&lt;rec-number&gt;514&lt;/rec-number&gt;&lt;foreign-keys&gt;&lt;key app="EN" db-id="wds9909saar09se5x9txwfw7ax9wfe2ftrt2" timestamp="1586531611"&gt;514&lt;/key&gt;&lt;/foreign-keys&gt;&lt;ref-type name="Journal Article"&gt;17&lt;/ref-type&gt;&lt;contributors&gt;&lt;authors&gt;&lt;author&gt;Kyereboah-Coleman, Anthony&lt;/author&gt;&lt;/authors&gt;&lt;/contributors&gt;&lt;titles&gt;&lt;title&gt;The determinants of capital structure of microfinance institutions in Ghana&lt;/title&gt;&lt;secondary-title&gt;South African Journal of Economic and Management Sciences&lt;/secondary-title&gt;&lt;/titles&gt;&lt;periodical&gt;&lt;full-title&gt;South African Journal of Economic and Management Sciences&lt;/full-title&gt;&lt;/periodical&gt;&lt;pages&gt;270-279&lt;/pages&gt;&lt;volume&gt;10&lt;/volume&gt;&lt;number&gt;2&lt;/number&gt;&lt;dates&gt;&lt;year&gt;2007&lt;/year&gt;&lt;/dates&gt;&lt;isbn&gt;1015-8812&lt;/isbn&gt;&lt;urls&gt;&lt;/urls&gt;&lt;/record&gt;&lt;/Cite&gt;&lt;/EndNote&gt;</w:instrText>
      </w:r>
      <w:r>
        <w:rPr>
          <w:bCs/>
          <w:szCs w:val="24"/>
          <w:lang w:val="en-US"/>
        </w:rPr>
      </w:r>
      <w:r>
        <w:rPr>
          <w:szCs w:val="24"/>
          <w:bCs/>
          <w:lang w:val="en-US"/>
        </w:rPr>
        <w:fldChar w:fldCharType="separate"/>
      </w:r>
      <w:r>
        <w:rPr>
          <w:bCs/>
          <w:szCs w:val="24"/>
          <w:lang w:val="en-US"/>
        </w:rPr>
        <w:t>Kyereboah-Coleman (2007a)</w:t>
      </w:r>
      <w:r>
        <w:rPr>
          <w:bCs/>
          <w:szCs w:val="24"/>
          <w:lang w:val="en-US"/>
        </w:rPr>
      </w:r>
      <w:r>
        <w:rPr>
          <w:szCs w:val="24"/>
          <w:bCs/>
          <w:lang w:val="en-US"/>
        </w:rPr>
        <w:fldChar w:fldCharType="end"/>
      </w:r>
      <w:r>
        <w:rPr>
          <w:bCs/>
          <w:szCs w:val="24"/>
          <w:lang w:val="en-US"/>
        </w:rPr>
        <w:t xml:space="preserve">, </w:t>
      </w:r>
      <w:r>
        <w:fldChar w:fldCharType="begin"/>
      </w:r>
      <w:r>
        <w:rPr>
          <w:szCs w:val="24"/>
          <w:bCs/>
          <w:lang w:val="en-US"/>
        </w:rPr>
        <w:instrText>ADDIN EN.CITE &lt;EndNote&gt;&lt;Cite AuthorYear="1"&gt;&lt;Author&gt;Tchakoute-Tchuigoua&lt;/Author&gt;&lt;Year&gt;2014&lt;/Year&gt;&lt;RecNum&gt;25&lt;/RecNum&gt;&lt;DisplayText&gt;Tchakoute-Tchuigoua (2014)&lt;/DisplayText&gt;&lt;record&gt;&lt;rec-number&gt;25&lt;/rec-number&gt;&lt;foreign-keys&gt;&lt;key app="EN" db-id="wds9909saar09se5x9txwfw7ax9wfe2ftrt2" timestamp="1501244070" guid="9e936138-9c1f-4686-8869-97c5b2cdcd42"&gt;25&lt;/key&gt;&lt;/foreign-keys&gt;&lt;ref-type name="Journal Article"&gt;17&lt;/ref-type&gt;&lt;contributors&gt;&lt;authors&gt;&lt;author&gt;Tchakoute-Tchuigoua, Hubert&lt;/author&gt;&lt;/authors&gt;&lt;/contributors&gt;&lt;titles&gt;&lt;title&gt;Institutional framework and capital structure of microfinance institutions&lt;/title&gt;&lt;secondary-title&gt;Journal of Business Research&lt;/secondary-title&gt;&lt;/titles&gt;&lt;periodical&gt;&lt;full-title&gt;Journal of Business Research&lt;/full-title&gt;&lt;abbr-1&gt;J. Bus. Res.&lt;/abbr-1&gt;&lt;abbr-2&gt;J Bus Res&lt;/abbr-2&gt;&lt;/periodical&gt;&lt;pages&gt;2185-2197&lt;/pages&gt;&lt;volume&gt;67&lt;/volume&gt;&lt;number&gt;10&lt;/number&gt;&lt;dates&gt;&lt;year&gt;2014&lt;/year&gt;&lt;/dates&gt;&lt;isbn&gt;0148-2963&lt;/isbn&gt;&lt;urls&gt;&lt;/urls&gt;&lt;/record&gt;&lt;/Cite&gt;&lt;/EndNote&gt;</w:instrText>
      </w:r>
      <w:r>
        <w:rPr>
          <w:bCs/>
          <w:szCs w:val="24"/>
          <w:lang w:val="en-US"/>
        </w:rPr>
      </w:r>
      <w:r>
        <w:rPr>
          <w:szCs w:val="24"/>
          <w:bCs/>
          <w:lang w:val="en-US"/>
        </w:rPr>
        <w:fldChar w:fldCharType="separate"/>
      </w:r>
      <w:r>
        <w:rPr>
          <w:bCs/>
          <w:szCs w:val="24"/>
          <w:lang w:val="en-US"/>
        </w:rPr>
        <w:t>Tchakoute-Tchuigoua (2014)</w:t>
      </w:r>
      <w:r>
        <w:rPr>
          <w:bCs/>
          <w:szCs w:val="24"/>
          <w:lang w:val="en-US"/>
        </w:rPr>
      </w:r>
      <w:r>
        <w:rPr>
          <w:szCs w:val="24"/>
          <w:bCs/>
          <w:lang w:val="en-US"/>
        </w:rPr>
        <w:fldChar w:fldCharType="end"/>
      </w:r>
      <w:r>
        <w:rPr>
          <w:bCs/>
          <w:szCs w:val="24"/>
          <w:lang w:val="en-US"/>
        </w:rPr>
        <w:t xml:space="preserve">, and </w:t>
      </w:r>
      <w:r>
        <w:fldChar w:fldCharType="begin"/>
      </w:r>
      <w:r>
        <w:rPr>
          <w:szCs w:val="24"/>
          <w:bCs/>
          <w:lang w:val="en-US"/>
        </w:rPr>
        <w:instrText>ADDIN EN.CITE &lt;EndNote&gt;&lt;Cite AuthorYear="1"&gt;&lt;Author&gt;Tchakoute-Tchuigoua&lt;/Author&gt;&lt;Year&gt;2015&lt;/Year&gt;&lt;RecNum&gt;343&lt;/RecNum&gt;&lt;DisplayText&gt;Tchakoute-Tchuigoua (2015)&lt;/DisplayText&gt;&lt;record&gt;&lt;rec-number&gt;343&lt;/rec-number&gt;&lt;foreign-keys&gt;&lt;key app="EN" db-id="wds9909saar09se5x9txwfw7ax9wfe2ftrt2" timestamp="1516919287" guid="c8b8eb4d-ad25-49ab-b410-0469058837e4"&gt;343&lt;/key&gt;&lt;/foreign-keys&gt;&lt;ref-type name="Journal Article"&gt;17&lt;/ref-type&gt;&lt;contributors&gt;&lt;authors&gt;&lt;author&gt;Tchakoute-Tchuigoua, Hubert&lt;/author&gt;&lt;/authors&gt;&lt;/contributors&gt;&lt;titles&gt;&lt;title&gt;Capital structure of microfinance institutions&lt;/title&gt;&lt;secondary-title&gt;Journal of Financial Services Research&lt;/secondary-title&gt;&lt;/titles&gt;&lt;periodical&gt;&lt;full-title&gt;Journal of Financial Services Research&lt;/full-title&gt;&lt;abbr-1&gt;J. Finan. Services Res.&lt;/abbr-1&gt;&lt;abbr-2&gt;J Finan Services Res&lt;/abbr-2&gt;&lt;/periodical&gt;&lt;pages&gt;313–340&lt;/pages&gt;&lt;volume&gt; 47&lt;/volume&gt;&lt;number&gt;2015&lt;/number&gt;&lt;dates&gt;&lt;year&gt;2015&lt;/year&gt;&lt;/dates&gt;&lt;urls&gt;&lt;/urls&gt;&lt;/record&gt;&lt;/Cite&gt;&lt;/EndNote&gt;</w:instrText>
      </w:r>
      <w:r>
        <w:rPr>
          <w:bCs/>
          <w:szCs w:val="24"/>
          <w:lang w:val="en-US"/>
        </w:rPr>
      </w:r>
      <w:r>
        <w:rPr>
          <w:szCs w:val="24"/>
          <w:bCs/>
          <w:lang w:val="en-US"/>
        </w:rPr>
        <w:fldChar w:fldCharType="separate"/>
      </w:r>
      <w:r>
        <w:rPr>
          <w:bCs/>
          <w:szCs w:val="24"/>
          <w:lang w:val="en-US"/>
        </w:rPr>
        <w:t>Tchakoute-Tchuigoua (2015)</w:t>
      </w:r>
      <w:r>
        <w:rPr>
          <w:bCs/>
          <w:szCs w:val="24"/>
          <w:lang w:val="en-US"/>
        </w:rPr>
      </w:r>
      <w:r>
        <w:rPr>
          <w:szCs w:val="24"/>
          <w:bCs/>
          <w:lang w:val="en-US"/>
        </w:rPr>
        <w:fldChar w:fldCharType="end"/>
      </w:r>
      <w:r>
        <w:rPr>
          <w:bCs/>
          <w:szCs w:val="24"/>
          <w:lang w:val="en-US"/>
        </w:rPr>
        <w:t xml:space="preserve"> closely resonate with our work. However, in these studies, the researchers focus chiefly on the determinants of leverage (debt-to-equity ratio) for MFIs., the researchers find leverage to be positively related to asset tangibility, size, past-due loans, and inversely with creditor rights and risk confirming the literature on capital structure. Profitability and credit ratings have limited impact on capital structure, while financial development and legal tradition are significant. </w:t>
      </w:r>
      <w:r>
        <w:fldChar w:fldCharType="begin"/>
      </w:r>
      <w:r>
        <w:rPr>
          <w:szCs w:val="24"/>
          <w:bCs/>
          <w:lang w:val="en-US"/>
        </w:rPr>
        <w:instrText>ADDIN EN.CITE &lt;EndNote&gt;&lt;Cite AuthorYear="1"&gt;&lt;Author&gt;Tchakoute-Tchuigoua&lt;/Author&gt;&lt;Year&gt;2014&lt;/Year&gt;&lt;RecNum&gt;25&lt;/RecNum&gt;&lt;DisplayText&gt;Tchakoute-Tchuigoua (2014)&lt;/DisplayText&gt;&lt;record&gt;&lt;rec-number&gt;25&lt;/rec-number&gt;&lt;foreign-keys&gt;&lt;key app="EN" db-id="wds9909saar09se5x9txwfw7ax9wfe2ftrt2" timestamp="1501244070" guid="9e936138-9c1f-4686-8869-97c5b2cdcd42"&gt;25&lt;/key&gt;&lt;/foreign-keys&gt;&lt;ref-type name="Journal Article"&gt;17&lt;/ref-type&gt;&lt;contributors&gt;&lt;authors&gt;&lt;author&gt;Tchakoute-Tchuigoua, Hubert&lt;/author&gt;&lt;/authors&gt;&lt;/contributors&gt;&lt;titles&gt;&lt;title&gt;Institutional framework and capital structure of microfinance institutions&lt;/title&gt;&lt;secondary-title&gt;Journal of Business Research&lt;/secondary-title&gt;&lt;/titles&gt;&lt;periodical&gt;&lt;full-title&gt;Journal of Business Research&lt;/full-title&gt;&lt;abbr-1&gt;J. Bus. Res.&lt;/abbr-1&gt;&lt;abbr-2&gt;J Bus Res&lt;/abbr-2&gt;&lt;/periodical&gt;&lt;pages&gt;2185-2197&lt;/pages&gt;&lt;volume&gt;67&lt;/volume&gt;&lt;number&gt;10&lt;/number&gt;&lt;dates&gt;&lt;year&gt;2014&lt;/year&gt;&lt;/dates&gt;&lt;isbn&gt;0148-2963&lt;/isbn&gt;&lt;urls&gt;&lt;/urls&gt;&lt;/record&gt;&lt;/Cite&gt;&lt;/EndNote&gt;</w:instrText>
      </w:r>
      <w:r>
        <w:rPr>
          <w:bCs/>
          <w:szCs w:val="24"/>
          <w:lang w:val="en-US"/>
        </w:rPr>
      </w:r>
      <w:r>
        <w:rPr>
          <w:szCs w:val="24"/>
          <w:bCs/>
          <w:lang w:val="en-US"/>
        </w:rPr>
        <w:fldChar w:fldCharType="separate"/>
      </w:r>
      <w:r>
        <w:rPr>
          <w:bCs/>
          <w:szCs w:val="24"/>
          <w:lang w:val="en-US"/>
        </w:rPr>
        <w:t>Tchakoute-Tchuigoua (2014)</w:t>
      </w:r>
      <w:r>
        <w:rPr>
          <w:bCs/>
          <w:szCs w:val="24"/>
          <w:lang w:val="en-US"/>
        </w:rPr>
      </w:r>
      <w:r>
        <w:rPr>
          <w:szCs w:val="24"/>
          <w:bCs/>
          <w:lang w:val="en-US"/>
        </w:rPr>
        <w:fldChar w:fldCharType="end"/>
      </w:r>
      <w:r>
        <w:rPr>
          <w:bCs/>
          <w:szCs w:val="24"/>
          <w:lang w:val="en-US"/>
        </w:rPr>
        <w:t xml:space="preserve"> further finds that donations to be negatively related with past-due loans and asset tangibility, implying donors do care about firm riskiness. None of the studies delves into capital assets ratio and deposits.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The contribution of our study goes beyond the previous research in two respects: context and scope. The prior studies dwell exclusively on leverage (debt-equity ratio) while our study examines leverage, capital-assets ratio, deposits to assets ratio, and donations to assets ratio. The additional financing structure measures are essential for MFIs that are transitioning to the financial sustainability model as they must source funds externally. Besides, this study goes beyond that of </w:t>
      </w:r>
      <w:r>
        <w:fldChar w:fldCharType="begin"/>
      </w:r>
      <w:r>
        <w:rPr>
          <w:szCs w:val="24"/>
          <w:bCs/>
          <w:lang w:val="en-US"/>
        </w:rPr>
        <w:instrText>ADDIN EN.CITE &lt;EndNote&gt;&lt;Cite AuthorYear="1"&gt;&lt;Author&gt;Kyereboah-Coleman&lt;/Author&gt;&lt;Year&gt;2007&lt;/Year&gt;&lt;RecNum&gt;514&lt;/RecNum&gt;&lt;DisplayText&gt;Kyereboah-Coleman (2007a)&lt;/DisplayText&gt;&lt;record&gt;&lt;rec-number&gt;514&lt;/rec-number&gt;&lt;foreign-keys&gt;&lt;key app="EN" db-id="wds9909saar09se5x9txwfw7ax9wfe2ftrt2" timestamp="1586531611"&gt;514&lt;/key&gt;&lt;/foreign-keys&gt;&lt;ref-type name="Journal Article"&gt;17&lt;/ref-type&gt;&lt;contributors&gt;&lt;authors&gt;&lt;author&gt;Kyereboah-Coleman, Anthony&lt;/author&gt;&lt;/authors&gt;&lt;/contributors&gt;&lt;titles&gt;&lt;title&gt;The determinants of capital structure of microfinance institutions in Ghana&lt;/title&gt;&lt;secondary-title&gt;South African Journal of Economic and Management Sciences&lt;/secondary-title&gt;&lt;/titles&gt;&lt;periodical&gt;&lt;full-title&gt;South African Journal of Economic and Management Sciences&lt;/full-title&gt;&lt;/periodical&gt;&lt;pages&gt;270-279&lt;/pages&gt;&lt;volume&gt;10&lt;/volume&gt;&lt;number&gt;2&lt;/number&gt;&lt;dates&gt;&lt;year&gt;2007&lt;/year&gt;&lt;/dates&gt;&lt;isbn&gt;1015-8812&lt;/isbn&gt;&lt;urls&gt;&lt;/urls&gt;&lt;/record&gt;&lt;/Cite&gt;&lt;/EndNote&gt;</w:instrText>
      </w:r>
      <w:r>
        <w:rPr>
          <w:bCs/>
          <w:szCs w:val="24"/>
          <w:lang w:val="en-US"/>
        </w:rPr>
      </w:r>
      <w:r>
        <w:rPr>
          <w:szCs w:val="24"/>
          <w:bCs/>
          <w:lang w:val="en-US"/>
        </w:rPr>
        <w:fldChar w:fldCharType="separate"/>
      </w:r>
      <w:r>
        <w:rPr>
          <w:bCs/>
          <w:szCs w:val="24"/>
          <w:lang w:val="en-US"/>
        </w:rPr>
        <w:t>Kyereboah-Coleman (2007a)</w:t>
      </w:r>
      <w:r>
        <w:rPr>
          <w:bCs/>
          <w:szCs w:val="24"/>
          <w:lang w:val="en-US"/>
        </w:rPr>
      </w:r>
      <w:r>
        <w:rPr>
          <w:szCs w:val="24"/>
          <w:bCs/>
          <w:lang w:val="en-US"/>
        </w:rPr>
        <w:fldChar w:fldCharType="end"/>
      </w:r>
      <w:r>
        <w:rPr>
          <w:bCs/>
          <w:szCs w:val="24"/>
          <w:lang w:val="en-US"/>
        </w:rPr>
        <w:t xml:space="preserve"> that examined MFIs in Ghana by focusing on Africa, allowing for cross country comparisons. However, D' caution that research based on geographically dispersed regions could mask important regional characteristics as is the case with the research by</w:t>
      </w:r>
      <w:r>
        <w:rPr/>
        <w:t xml:space="preserve"> </w:t>
      </w:r>
      <w:r>
        <w:rPr>
          <w:bCs/>
          <w:szCs w:val="24"/>
          <w:lang w:val="en-US"/>
        </w:rPr>
        <w:t xml:space="preserve">Tchakoute-Tchuigoua (2014, 2015) that draws from a global dataset. By focusing on Africa, this study will allow for a insights and comparison using data from a relatively homogeneous region. Such knowledge would, in turn, permit us to evolve more effective funding strategies to support and enable the unique added benefit of MFIs (that is, financial inclusion for the poor) that is particularly significant for emerging and developing economies and in particular, Africa.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The next section highlights the results of the study, followed by a review of theory and empirical literature. We then describe data and data sources, followed by the method. We discuss the results and then conclude. </w:t>
      </w:r>
    </w:p>
    <w:p>
      <w:pPr>
        <w:pStyle w:val="Heading2"/>
        <w:numPr>
          <w:ilvl w:val="0"/>
          <w:numId w:val="3"/>
        </w:numPr>
        <w:rPr>
          <w:lang w:val="en-US"/>
        </w:rPr>
      </w:pPr>
      <w:r>
        <w:rPr>
          <w:lang w:val="en-US"/>
        </w:rPr>
        <w:t xml:space="preserve">Summary of Results </w:t>
      </w:r>
    </w:p>
    <w:p>
      <w:pPr>
        <w:pStyle w:val="Normal"/>
        <w:widowControl w:val="false"/>
        <w:spacing w:lineRule="auto" w:line="360"/>
        <w:rPr>
          <w:bCs/>
          <w:szCs w:val="24"/>
          <w:lang w:val="en-US"/>
        </w:rPr>
      </w:pPr>
      <w:r>
        <w:rPr>
          <w:bCs/>
          <w:szCs w:val="24"/>
          <w:lang w:val="en-US"/>
        </w:rPr>
        <w:t xml:space="preserve">Size, profitability, legal status, and the age of MFIs in Africa are the consistent determinants of the four measures of financial structure: debt to equity ratio (leverage), capital to assets ratio, and deposits to assets ratio. These results are consistent with the capital structure theory </w:t>
      </w:r>
      <w:r>
        <w:fldChar w:fldCharType="begin"/>
      </w:r>
      <w:r>
        <w:rPr>
          <w:szCs w:val="24"/>
          <w:bCs/>
          <w:lang w:val="en-US"/>
        </w:rPr>
        <w:instrText>ADDIN EN.CITE &lt;EndNote&gt;&lt;Cite&gt;&lt;Author&gt;Ojah&lt;/Author&gt;&lt;Year&gt;2009&lt;/Year&gt;&lt;RecNum&gt;406&lt;/RecNum&gt;&lt;DisplayText&gt;(Barclay &amp;amp; Smith, 2005; Ojah &amp;amp; Pillay, 2009)&lt;/DisplayText&gt;&lt;record&gt;&lt;rec-number&gt;406&lt;/rec-number&gt;&lt;foreign-keys&gt;&lt;key app="EN" db-id="wds9909saar09se5x9txwfw7ax9wfe2ftrt2" timestamp="1522144246" guid="38484981-778f-4f91-ab37-81030da081ec"&gt;406&lt;/key&gt;&lt;/foreign-keys&gt;&lt;ref-type name="Journal Article"&gt;17&lt;/ref-type&gt;&lt;contributors&gt;&lt;authors&gt;&lt;author&gt;Ojah, Kalu&lt;/author&gt;&lt;author&gt;Pillay, Kishan&lt;/author&gt;&lt;/authors&gt;&lt;/contributors&gt;&lt;titles&gt;&lt;title&gt;Debt markets and corporate debt structure in an emerging market: The South African example&lt;/title&gt;&lt;secondary-title&gt;Economic Modelling&lt;/secondary-title&gt;&lt;/titles&gt;&lt;periodical&gt;&lt;full-title&gt;Economic Modelling&lt;/full-title&gt;&lt;abbr-1&gt;Econ. Modelling&lt;/abbr-1&gt;&lt;abbr-2&gt;Econ Modelling&lt;/abbr-2&gt;&lt;/periodical&gt;&lt;pages&gt;1215-1227&lt;/pages&gt;&lt;volume&gt;26&lt;/volume&gt;&lt;number&gt;6&lt;/number&gt;&lt;dates&gt;&lt;year&gt;2009&lt;/year&gt;&lt;/dates&gt;&lt;isbn&gt;0264-9993&lt;/isbn&gt;&lt;urls&gt;&lt;/urls&gt;&lt;/record&gt;&lt;/Cite&gt;&lt;Cite&gt;&lt;Author&gt;Barclay&lt;/Author&gt;&lt;Year&gt;2005&lt;/Year&gt;&lt;RecNum&gt;269&lt;/RecNum&gt;&lt;record&gt;&lt;rec-number&gt;269&lt;/rec-number&gt;&lt;foreign-keys&gt;&lt;key app="EN" db-id="wds9909saar09se5x9txwfw7ax9wfe2ftrt2" timestamp="1514229133" guid="6da503cf-b728-45b1-a780-eab2f4114c07"&gt;269&lt;/key&gt;&lt;/foreign-keys&gt;&lt;ref-type name="Journal Article"&gt;17&lt;/ref-type&gt;&lt;contributors&gt;&lt;authors&gt;&lt;author&gt;Barclay, Michael J&lt;/author&gt;&lt;author&gt;Smith, Clifford W&lt;/author&gt;&lt;/authors&gt;&lt;/contributors&gt;&lt;titles&gt;&lt;title&gt;The capital structure puzzle: The evidence revisited&lt;/title&gt;&lt;secondary-title&gt;Journal of Applied Corporate Finance&lt;/secondary-title&gt;&lt;/titles&gt;&lt;pages&gt;8-17&lt;/pages&gt;&lt;volume&gt;17&lt;/volume&gt;&lt;number&gt;1&lt;/number&gt;&lt;dates&gt;&lt;year&gt;2005&lt;/year&gt;&lt;/dates&gt;&lt;isbn&gt;1745-6622&lt;/isbn&gt;&lt;urls&gt;&lt;/urls&gt;&lt;/record&gt;&lt;/Cite&gt;&lt;/EndNote&gt;</w:instrText>
      </w:r>
      <w:r>
        <w:rPr>
          <w:bCs/>
          <w:szCs w:val="24"/>
          <w:lang w:val="en-US"/>
        </w:rPr>
      </w:r>
      <w:r>
        <w:rPr>
          <w:szCs w:val="24"/>
          <w:bCs/>
          <w:lang w:val="en-US"/>
        </w:rPr>
        <w:fldChar w:fldCharType="separate"/>
      </w:r>
      <w:r>
        <w:rPr>
          <w:bCs/>
          <w:szCs w:val="24"/>
          <w:lang w:val="en-US"/>
        </w:rPr>
        <w:t>(Barclay &amp; Smith, 2005; Ojah &amp; Pillay, 2009)</w:t>
      </w:r>
      <w:r>
        <w:rPr>
          <w:bCs/>
          <w:szCs w:val="24"/>
          <w:lang w:val="en-US"/>
        </w:rPr>
      </w:r>
      <w:r>
        <w:rPr>
          <w:szCs w:val="24"/>
          <w:bCs/>
          <w:lang w:val="en-US"/>
        </w:rPr>
        <w:fldChar w:fldCharType="end"/>
      </w:r>
      <w:r>
        <w:rPr>
          <w:bCs/>
          <w:szCs w:val="24"/>
          <w:lang w:val="en-US"/>
        </w:rPr>
        <w:t xml:space="preserve">. Older firms have more debt, less capital and more deposits and donations confirming the institutional life-cycle hypothesis. The size of MFIs, captured using the logarithm of assets, varies positively with debt-to-equity ratio, negatively with capital to assets ratio, but is not a significant driver of deposits and donations. Donations and deposits vary negatively with institutional quality (KKM), with MFIs located in countries with lower KKM attracting more donations and deposits. KKM has no significant relationship with leverage and capital to assets ratio.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However, going against stylised theoretical facts </w:t>
      </w:r>
      <w:r>
        <w:fldChar w:fldCharType="begin"/>
      </w:r>
      <w:r>
        <w:rPr>
          <w:szCs w:val="24"/>
          <w:bCs/>
          <w:lang w:val="en-US"/>
        </w:rPr>
        <w:instrText>ADDIN EN.CITE</w:instrText>
      </w:r>
      <w:r>
        <w:rPr>
          <w:bCs/>
          <w:szCs w:val="24"/>
          <w:lang w:val="en-US"/>
        </w:rPr>
      </w:r>
      <w:r>
        <w:fldChar w:fldCharType="begin"/>
      </w:r>
      <w:r>
        <w:rPr>
          <w:szCs w:val="24"/>
          <w:bCs/>
          <w:lang w:val="en-US"/>
        </w:rPr>
        <w:instrText>ADDIN EN.CITE.DATA</w:instrText>
      </w:r>
      <w:r>
        <w:rPr>
          <w:bCs/>
          <w:szCs w:val="24"/>
          <w:lang w:val="en-US"/>
        </w:rPr>
      </w:r>
      <w:r>
        <w:rPr>
          <w:szCs w:val="24"/>
          <w:bCs/>
          <w:lang w:val="en-US"/>
        </w:rPr>
        <w:fldChar w:fldCharType="separate"/>
      </w:r>
      <w:r>
        <w:rPr>
          <w:bCs/>
          <w:szCs w:val="24"/>
          <w:lang w:val="en-US"/>
        </w:rPr>
      </w:r>
      <w:r>
        <w:rPr>
          <w:bCs/>
          <w:szCs w:val="24"/>
          <w:lang w:val="en-US"/>
        </w:rPr>
      </w:r>
      <w:r>
        <w:rPr>
          <w:szCs w:val="24"/>
          <w:bCs/>
          <w:lang w:val="en-US"/>
        </w:rPr>
        <w:fldChar w:fldCharType="end"/>
      </w:r>
      <w:r>
        <w:rPr>
          <w:szCs w:val="24"/>
          <w:bCs/>
          <w:lang w:val="en-US"/>
        </w:rPr>
        <w:fldChar w:fldCharType="separate"/>
      </w:r>
      <w:r>
        <w:rPr>
          <w:bCs/>
          <w:szCs w:val="24"/>
          <w:lang w:val="en-US"/>
        </w:rPr>
        <w:t>(Allen et al., 2014)</w:t>
      </w:r>
      <w:r>
        <w:rPr>
          <w:bCs/>
          <w:szCs w:val="24"/>
          <w:lang w:val="en-US"/>
        </w:rPr>
      </w:r>
      <w:r>
        <w:rPr>
          <w:szCs w:val="24"/>
          <w:bCs/>
          <w:lang w:val="en-US"/>
        </w:rPr>
        <w:fldChar w:fldCharType="end"/>
      </w:r>
      <w:r>
        <w:rPr>
          <w:bCs/>
          <w:szCs w:val="24"/>
          <w:lang w:val="en-US"/>
        </w:rPr>
        <w:t xml:space="preserve">, financial development is not a significant determinant of all the financial structure indicators for MFIs in Africa. Similarly, education and asset structure do not significantly relate to most financing structure indicators, except for leverage where they have a weak positively relationship. The result goes against the theoretical link between asset tangibility and leverage </w:t>
      </w:r>
      <w:r>
        <w:fldChar w:fldCharType="begin"/>
      </w:r>
      <w:r>
        <w:rPr>
          <w:szCs w:val="24"/>
          <w:bCs/>
          <w:lang w:val="en-US"/>
        </w:rPr>
        <w:instrText>ADDIN EN.CITE &lt;EndNote&gt;&lt;Cite&gt;&lt;Author&gt;Campello&lt;/Author&gt;&lt;Year&gt;2011&lt;/Year&gt;&lt;RecNum&gt;268&lt;/RecNum&gt;&lt;DisplayText&gt;(Campello &amp;amp; Giambona, 2011)&lt;/DisplayText&gt;&lt;record&gt;&lt;rec-number&gt;268&lt;/rec-number&gt;&lt;foreign-keys&gt;&lt;key app="EN" db-id="wds9909saar09se5x9txwfw7ax9wfe2ftrt2" timestamp="1514228448" guid="5eb86318-e4af-4ecf-8aeb-7d918b3c0f79"&gt;268&lt;/key&gt;&lt;/foreign-keys&gt;&lt;ref-type name="Report"&gt;27&lt;/ref-type&gt;&lt;contributors&gt;&lt;authors&gt;&lt;author&gt;Campello, Murillo&lt;/author&gt;&lt;author&gt;Giambona, Erasmo&lt;/author&gt;&lt;/authors&gt;&lt;/contributors&gt;&lt;titles&gt;&lt;title&gt;Capital structure and the redeployability of tangible assets&lt;/title&gt;&lt;/titles&gt;&lt;dates&gt;&lt;year&gt;2011&lt;/year&gt;&lt;/dates&gt;&lt;pub-location&gt;The Hague&lt;/pub-location&gt;&lt;publisher&gt;Tinbergen Institute Discussion Paper&lt;/publisher&gt;&lt;urls&gt;&lt;/urls&gt;&lt;/record&gt;&lt;/Cite&gt;&lt;/EndNote&gt;</w:instrText>
      </w:r>
      <w:r>
        <w:rPr>
          <w:bCs/>
          <w:szCs w:val="24"/>
          <w:lang w:val="en-US"/>
        </w:rPr>
      </w:r>
      <w:r>
        <w:rPr>
          <w:szCs w:val="24"/>
          <w:bCs/>
          <w:lang w:val="en-US"/>
        </w:rPr>
        <w:fldChar w:fldCharType="separate"/>
      </w:r>
      <w:r>
        <w:rPr>
          <w:bCs/>
          <w:szCs w:val="24"/>
          <w:lang w:val="en-US"/>
        </w:rPr>
        <w:t>(Campello &amp; Giambona, 2011)</w:t>
      </w:r>
      <w:r>
        <w:rPr>
          <w:bCs/>
          <w:szCs w:val="24"/>
          <w:lang w:val="en-US"/>
        </w:rPr>
      </w:r>
      <w:r>
        <w:rPr>
          <w:szCs w:val="24"/>
          <w:bCs/>
          <w:lang w:val="en-US"/>
        </w:rPr>
        <w:fldChar w:fldCharType="end"/>
      </w:r>
      <w:r>
        <w:rPr>
          <w:bCs/>
          <w:szCs w:val="24"/>
          <w:lang w:val="en-US"/>
        </w:rPr>
        <w:t xml:space="preserve">. Also, the profit margin has a negative relationship with leverage, a positive one on capital-assets ratio, but has insignificant in the case of deposits and donations. </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Credit Unions and Banks come first in leverage and deposits to assets ratio but trail in capital to assets ratio- where NGOs and NBFIs lead the way. The legal hurdles in deposits mobilisation by MFIs reflect NGOs lower capacity to garner deposits </w:t>
      </w:r>
      <w:r>
        <w:fldChar w:fldCharType="begin"/>
      </w:r>
      <w:r>
        <w:rPr>
          <w:szCs w:val="24"/>
          <w:bCs/>
          <w:lang w:val="en-US"/>
        </w:rPr>
        <w:instrText>ADDIN EN.CITE &lt;EndNote&gt;&lt;Cite&gt;&lt;Author&gt;D’Espallier&lt;/Author&gt;&lt;Year&gt;2017&lt;/Year&gt;&lt;RecNum&gt;104&lt;/RecNum&gt;&lt;DisplayText&gt;(D’Espallier, Goedecke, Hudon, &amp;amp; Mersland, 2017)&lt;/DisplayText&gt;&lt;record&gt;&lt;rec-number&gt;104&lt;/rec-number&gt;&lt;foreign-keys&gt;&lt;key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Devel&lt;/abbr-2&gt;&lt;/periodical&gt;&lt;pages&gt;19-33&lt;/pages&gt;&lt;volume&gt;89&lt;/volume&gt;&lt;dates&gt;&lt;year&gt;2017&lt;/year&gt;&lt;/dates&gt;&lt;isbn&gt;0305-750X&lt;/isbn&gt;&lt;urls&gt;&lt;/urls&gt;&lt;/record&gt;&lt;/Cite&gt;&lt;/EndNote&gt;</w:instrText>
      </w:r>
      <w:r>
        <w:rPr>
          <w:bCs/>
          <w:szCs w:val="24"/>
          <w:lang w:val="en-US"/>
        </w:rPr>
      </w:r>
      <w:r>
        <w:rPr>
          <w:szCs w:val="24"/>
          <w:bCs/>
          <w:lang w:val="en-US"/>
        </w:rPr>
        <w:fldChar w:fldCharType="separate"/>
      </w:r>
      <w:r>
        <w:rPr>
          <w:bCs/>
          <w:szCs w:val="24"/>
          <w:lang w:val="en-US"/>
        </w:rPr>
        <w:t>(D’Espallier, Goedecke, Hudon, &amp; Mersland, 2017)</w:t>
      </w:r>
      <w:r>
        <w:rPr>
          <w:bCs/>
          <w:szCs w:val="24"/>
          <w:lang w:val="en-US"/>
        </w:rPr>
      </w:r>
      <w:r>
        <w:rPr>
          <w:szCs w:val="24"/>
          <w:bCs/>
          <w:lang w:val="en-US"/>
        </w:rPr>
        <w:fldChar w:fldCharType="end"/>
      </w:r>
      <w:r>
        <w:rPr>
          <w:bCs/>
          <w:szCs w:val="24"/>
          <w:lang w:val="en-US"/>
        </w:rPr>
        <w:t xml:space="preserve">. Mature firms have more leverage and attract more donations. The result could be due to the correspondence between age and size </w:t>
      </w:r>
      <w:r>
        <w:fldChar w:fldCharType="begin"/>
      </w:r>
      <w:r>
        <w:rPr>
          <w:szCs w:val="24"/>
          <w:bCs/>
          <w:lang w:val="en-US"/>
        </w:rPr>
        <w:instrText>ADDIN EN.CITE &lt;EndNote&gt;&lt;Cite&gt;&lt;Author&gt;Gwatidzo&lt;/Author&gt;&lt;Year&gt;2009&lt;/Year&gt;&lt;RecNum&gt;422&lt;/RecNum&gt;&lt;DisplayText&gt;(Gwatidzo &amp;amp; Ojah, 2009)&lt;/DisplayText&gt;&lt;record&gt;&lt;rec-number&gt;422&lt;/rec-number&gt;&lt;foreign-keys&gt;&lt;key app="EN" db-id="wds9909saar09se5x9txwfw7ax9wfe2ftrt2" timestamp="1540242424" guid="4000f7ce-6862-48bf-8b3b-2d73f0f8df23"&gt;422&lt;/key&gt;&lt;/foreign-keys&gt;&lt;ref-type name="Journal Article"&gt;17&lt;/ref-type&gt;&lt;contributors&gt;&lt;authors&gt;&lt;author&gt;Gwatidzo, Tendai&lt;/author&gt;&lt;author&gt;Ojah, Kalu&lt;/author&gt;&lt;/authors&gt;&lt;/contributors&gt;&lt;titles&gt;&lt;title&gt;Corporate capital structure determinants: evidence for five African countries&lt;/title&gt;&lt;secondary-title&gt;African Finance Journal&lt;/secondary-title&gt;&lt;/titles&gt;&lt;periodical&gt;&lt;full-title&gt;African Finance Journal&lt;/full-title&gt;&lt;abbr-1&gt;African Finance J.&lt;/abbr-1&gt;&lt;abbr-2&gt;African Finance J&lt;/abbr-2&gt;&lt;/periodical&gt;&lt;pages&gt;1-23&lt;/pages&gt;&lt;volume&gt;11&lt;/volume&gt;&lt;number&gt;1&lt;/number&gt;&lt;dates&gt;&lt;year&gt;2009&lt;/year&gt;&lt;/dates&gt;&lt;isbn&gt;1605-9786&lt;/isbn&gt;&lt;urls&gt;&lt;/urls&gt;&lt;/record&gt;&lt;/Cite&gt;&lt;/EndNote&gt;</w:instrText>
      </w:r>
      <w:r>
        <w:rPr>
          <w:bCs/>
          <w:szCs w:val="24"/>
          <w:lang w:val="en-US"/>
        </w:rPr>
      </w:r>
      <w:r>
        <w:rPr>
          <w:szCs w:val="24"/>
          <w:bCs/>
          <w:lang w:val="en-US"/>
        </w:rPr>
        <w:fldChar w:fldCharType="separate"/>
      </w:r>
      <w:r>
        <w:rPr>
          <w:bCs/>
          <w:szCs w:val="24"/>
          <w:lang w:val="en-US"/>
        </w:rPr>
        <w:t>(Gwatidzo &amp; Ojah, 2009)</w:t>
      </w:r>
      <w:r>
        <w:rPr>
          <w:bCs/>
          <w:szCs w:val="24"/>
          <w:lang w:val="en-US"/>
        </w:rPr>
      </w:r>
      <w:r>
        <w:rPr>
          <w:szCs w:val="24"/>
          <w:bCs/>
          <w:lang w:val="en-US"/>
        </w:rPr>
        <w:fldChar w:fldCharType="end"/>
      </w:r>
      <w:r>
        <w:rPr>
          <w:bCs/>
          <w:szCs w:val="24"/>
          <w:lang w:val="en-US"/>
        </w:rPr>
        <w:t>. Newer firms tend to attract more deposits and donations. Overall, the results suggest that for MFIs in Africa, firm-level factors matter more in financing structure than macroeconomic factors.</w:t>
      </w:r>
    </w:p>
    <w:p>
      <w:pPr>
        <w:pStyle w:val="Heading2"/>
        <w:numPr>
          <w:ilvl w:val="0"/>
          <w:numId w:val="3"/>
        </w:numPr>
        <w:rPr>
          <w:lang w:val="en-US"/>
        </w:rPr>
      </w:pPr>
      <w:r>
        <w:rPr>
          <w:lang w:val="en-US"/>
        </w:rPr>
        <w:t xml:space="preserve">Theoretical Framework </w:t>
      </w:r>
    </w:p>
    <w:p>
      <w:pPr>
        <w:pStyle w:val="Normal"/>
        <w:spacing w:lineRule="auto" w:line="360"/>
        <w:rPr>
          <w:lang w:val="en-US"/>
        </w:rPr>
      </w:pPr>
      <w:r>
        <w:rPr>
          <w:lang w:val="en-US"/>
        </w:rPr>
        <w:t xml:space="preserve">Like commercial firms, MFIs draw their capital from equity, debt (including deposits). Unlike commercial firms, MFIs have a substantial form of capital in the form of donations and subsidies </w:t>
      </w:r>
      <w:r>
        <w:fldChar w:fldCharType="begin"/>
      </w:r>
      <w:r>
        <w:rPr>
          <w:lang w:val="en-US"/>
        </w:rPr>
        <w:instrText>ADDIN EN.CITE &lt;EndNote&gt;&lt;Cite&gt;&lt;Author&gt;D’Espallier&lt;/Author&gt;&lt;Year&gt;2013&lt;/Year&gt;&lt;RecNum&gt;24&lt;/RecNum&gt;&lt;DisplayText&gt;(D’Espallier et al., 2013)&lt;/DisplayText&gt;&lt;record&gt;&lt;rec-number&gt;24&lt;/rec-number&gt;&lt;foreign-keys&gt;&lt;key app="EN" db-id="wds9909saar09se5x9txwfw7ax9wfe2ftrt2" timestamp="1501242803" guid="e8710a3c-12fb-4f84-9166-2738d5c3efef"&gt;24&lt;/key&gt;&lt;/foreign-keys&gt;&lt;ref-type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EndNote&gt;</w:instrText>
      </w:r>
      <w:r>
        <w:rPr>
          <w:lang w:val="en-US"/>
        </w:rPr>
      </w:r>
      <w:r>
        <w:rPr>
          <w:lang w:val="en-US"/>
        </w:rPr>
        <w:fldChar w:fldCharType="separate"/>
      </w:r>
      <w:r>
        <w:rPr>
          <w:lang w:val="en-US"/>
        </w:rPr>
        <w:t>(D’Espallier et al., 2013)</w:t>
      </w:r>
      <w:r>
        <w:rPr>
          <w:lang w:val="en-US"/>
        </w:rPr>
      </w:r>
      <w:r>
        <w:rPr>
          <w:lang w:val="en-US"/>
        </w:rPr>
        <w:fldChar w:fldCharType="end"/>
      </w:r>
      <w:r>
        <w:rPr>
          <w:lang w:val="en-US"/>
        </w:rPr>
        <w:t xml:space="preserve">. As noted, despite the notable difference in financing structure, the empirical research on the financing of MFIs relates to debt-equity mix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(Kyereboah-Coleman, 2007a; Tchakoute-Tchuigoua, 2014, 2015)</w:t>
      </w:r>
      <w:r>
        <w:rPr>
          <w:lang w:val="en-US"/>
        </w:rPr>
      </w:r>
      <w:r>
        <w:rPr>
          <w:lang w:val="en-US"/>
        </w:rPr>
        <w:fldChar w:fldCharType="end"/>
      </w:r>
      <w:r>
        <w:rPr>
          <w:lang w:val="en-US"/>
        </w:rPr>
        <w:t xml:space="preserve">. This study seeks to examine the drivers of the financing structure of MFIs relating to debt, equity, deposits, and donations. The study draws from two theories: the capital structure theory and the institutional (life cycle) theory. </w:t>
      </w:r>
    </w:p>
    <w:p>
      <w:pPr>
        <w:pStyle w:val="Normal"/>
        <w:spacing w:lineRule="auto" w:line="360"/>
        <w:rPr>
          <w:lang w:val="en-US"/>
        </w:rPr>
      </w:pPr>
      <w:r>
        <w:rPr>
          <w:lang w:val="en-US"/>
        </w:rPr>
      </w:r>
    </w:p>
    <w:p>
      <w:pPr>
        <w:pStyle w:val="Normal"/>
        <w:spacing w:lineRule="auto" w:line="360"/>
        <w:rPr>
          <w:lang w:val="en-US"/>
        </w:rPr>
      </w:pPr>
      <w:r>
        <w:rPr>
          <w:lang w:val="en-US"/>
        </w:rPr>
        <w:t xml:space="preserve">In the capital structure theories seek to explain the mix of long-term debt and equity in the financing structure of enterprises </w:t>
      </w:r>
      <w:r>
        <w:fldChar w:fldCharType="begin"/>
      </w:r>
      <w:r>
        <w:rPr>
          <w:lang w:val="en-US"/>
        </w:rPr>
        <w:instrText>ADDIN EN.CITE &lt;EndNote&gt;&lt;Cite&gt;&lt;Author&gt;Ehrhardt&lt;/Author&gt;&lt;Year&gt;2016&lt;/Year&gt;&lt;RecNum&gt;138&lt;/RecNum&gt;&lt;DisplayText&gt;(Ehrhardt &amp;amp; Brigham, 2016)&lt;/DisplayText&gt;&lt;record&gt;&lt;rec-number&gt;138&lt;/rec-number&gt;&lt;foreign-keys&gt;&lt;key app="EN" db-id="wds9909saar09se5x9txwfw7ax9wfe2ftrt2" timestamp="1507210558" guid="6eecf8ca-e6b5-476d-9fa0-34e5302f17cc"&gt;138&lt;/key&gt;&lt;/foreign-keys&gt;&lt;ref-type name="Book"&gt;6&lt;/ref-type&gt;&lt;contributors&gt;&lt;authors&gt;&lt;author&gt;Ehrhardt, Michael C&lt;/author&gt;&lt;author&gt;Brigham, Eugene F&lt;/author&gt;&lt;/authors&gt;&lt;/contributors&gt;&lt;titles&gt;&lt;title&gt;Corporate finance: A focused approach&lt;/title&gt;&lt;/titles&gt;&lt;dates&gt;&lt;year&gt;2016&lt;/year&gt;&lt;/dates&gt;&lt;pub-location&gt;New York&lt;/pub-location&gt;&lt;publisher&gt;Cengage learning&lt;/publisher&gt;&lt;isbn&gt;1305637100&lt;/isbn&gt;&lt;urls&gt;&lt;/urls&gt;&lt;/record&gt;&lt;/Cite&gt;&lt;/EndNote&gt;</w:instrText>
      </w:r>
      <w:r>
        <w:rPr>
          <w:lang w:val="en-US"/>
        </w:rPr>
      </w:r>
      <w:r>
        <w:rPr>
          <w:lang w:val="en-US"/>
        </w:rPr>
        <w:fldChar w:fldCharType="separate"/>
      </w:r>
      <w:r>
        <w:rPr>
          <w:lang w:val="en-US"/>
        </w:rPr>
        <w:t>(Ehrhardt &amp; Brigham, 2016)</w:t>
      </w:r>
      <w:r>
        <w:rPr>
          <w:lang w:val="en-US"/>
        </w:rPr>
      </w:r>
      <w:r>
        <w:rPr>
          <w:lang w:val="en-US"/>
        </w:rPr>
        <w:fldChar w:fldCharType="end"/>
      </w:r>
      <w:r>
        <w:rPr>
          <w:lang w:val="en-US"/>
        </w:rPr>
        <w:t xml:space="preserve">.  The dominant literature in this respect revolves around the Modigliani &amp; Miller capital structure theories, of which the trade-off theory is the most predominant </w:t>
      </w:r>
      <w:r>
        <w:fldChar w:fldCharType="begin"/>
      </w:r>
      <w:r>
        <w:rPr>
          <w:lang w:val="en-US"/>
        </w:rPr>
        <w:instrText>ADDIN EN.CITE &lt;EndNote&gt;&lt;Cite&gt;&lt;Author&gt;Sun&lt;/Author&gt;&lt;Year&gt;2016&lt;/Year&gt;&lt;RecNum&gt;99&lt;/RecNum&gt;&lt;DisplayText&gt;(Sun, Ding, Guo, &amp;amp; Li, 2016)&lt;/DisplayText&gt;&lt;record&gt;&lt;rec-number&gt;99&lt;/rec-number&gt;&lt;foreign-keys&gt;&lt;key app="EN" db-id="wds9909saar09se5x9txwfw7ax9wfe2ftrt2" timestamp="1505929656" guid="b30cba03-fc90-417b-84f3-f717526494ef"&gt;99&lt;/key&gt;&lt;/foreign-keys&gt;&lt;ref-type name="Journal Article"&gt;17&lt;/ref-type&gt;&lt;contributors&gt;&lt;authors&gt;&lt;author&gt;Sun, Ji&lt;/author&gt;&lt;author&gt;Ding, Li&lt;/author&gt;&lt;author&gt;Guo, Jie Michael&lt;/author&gt;&lt;author&gt;Li, Yichen&lt;/author&gt;&lt;/authors&gt;&lt;/contributors&gt;&lt;titles&gt;&lt;title&gt;Ownership, capital structure and financing decision: evidence from the UK&lt;/title&gt;&lt;secondary-title&gt;The British Accounting Review&lt;/secondary-title&gt;&lt;/titles&gt;&lt;pages&gt;448-463&lt;/pages&gt;&lt;volume&gt;48&lt;/volume&gt;&lt;number&gt;4&lt;/number&gt;&lt;dates&gt;&lt;year&gt;2016&lt;/year&gt;&lt;/dates&gt;&lt;isbn&gt;0890-8389&lt;/isbn&gt;&lt;urls&gt;&lt;/urls&gt;&lt;/record&gt;&lt;/Cite&gt;&lt;/EndNote&gt;</w:instrText>
      </w:r>
      <w:r>
        <w:rPr>
          <w:lang w:val="en-US"/>
        </w:rPr>
      </w:r>
      <w:r>
        <w:rPr>
          <w:lang w:val="en-US"/>
        </w:rPr>
        <w:fldChar w:fldCharType="separate"/>
      </w:r>
      <w:r>
        <w:rPr>
          <w:lang w:val="en-US"/>
        </w:rPr>
        <w:t>(Sun, Ding, Guo, &amp; Li, 2016)</w:t>
      </w:r>
      <w:r>
        <w:rPr>
          <w:lang w:val="en-US"/>
        </w:rPr>
      </w:r>
      <w:r>
        <w:rPr>
          <w:lang w:val="en-US"/>
        </w:rPr>
        <w:fldChar w:fldCharType="end"/>
      </w:r>
      <w:r>
        <w:rPr>
          <w:lang w:val="en-US"/>
        </w:rPr>
        <w:t xml:space="preserve">. The classic trade-off theory holds that the debt-equity mix is relevant insofar as it generates a debt tax shield which organisations balance with the costs of possible financial distress that comes with high debt levels </w:t>
      </w:r>
      <w:r>
        <w:fldChar w:fldCharType="begin"/>
      </w:r>
      <w:r>
        <w:rPr>
          <w:lang w:val="en-US"/>
        </w:rPr>
        <w:instrText>ADDIN EN.CITE &lt;EndNote&gt;&lt;Cite&gt;&lt;Author&gt;Liu&lt;/Author&gt;&lt;Year&gt;2017&lt;/Year&gt;&lt;RecNum&gt;335&lt;/RecNum&gt;&lt;DisplayText&gt;(Liu et al., 2017)&lt;/DisplayText&gt;&lt;record&gt;&lt;rec-number&gt;335&lt;/rec-number&gt;&lt;foreign-keys&gt;&lt;key app="EN" db-id="wds9909saar09se5x9txwfw7ax9wfe2ftrt2" timestamp="1516829675" guid="9f93c08c-fec4-4374-b215-9ba21b86b52b"&gt;335&lt;/key&gt;&lt;/foreign-keys&gt;&lt;ref-type name="Journal Article"&gt;17&lt;/ref-type&gt;&lt;contributors&gt;&lt;authors&gt;&lt;author&gt;Liu, Bo&lt;/author&gt;&lt;author&gt;Liu, Yang&lt;/author&gt;&lt;author&gt;Peng, Juan&lt;/author&gt;&lt;author&gt;Yang, Jinqiang&lt;/author&gt;&lt;/authors&gt;&lt;/contributors&gt;&lt;titles&gt;&lt;title&gt;Optimal capital structure and credit spread under incomplete information&lt;/title&gt;&lt;secondary-title&gt;International Review of Economics &amp;amp; Finance&lt;/secondary-title&gt;&lt;/titles&gt;&lt;pages&gt;596-611&lt;/pages&gt;&lt;volume&gt;49&lt;/volume&gt;&lt;dates&gt;&lt;year&gt;2017&lt;/year&gt;&lt;/dates&gt;&lt;isbn&gt;1059-0560&lt;/isbn&gt;&lt;urls&gt;&lt;/urls&gt;&lt;/record&gt;&lt;/Cite&gt;&lt;/EndNote&gt;</w:instrText>
      </w:r>
      <w:r>
        <w:rPr>
          <w:lang w:val="en-US"/>
        </w:rPr>
      </w:r>
      <w:r>
        <w:rPr>
          <w:lang w:val="en-US"/>
        </w:rPr>
        <w:fldChar w:fldCharType="separate"/>
      </w:r>
      <w:r>
        <w:rPr>
          <w:lang w:val="en-US"/>
        </w:rPr>
        <w:t>(Liu et al., 2017)</w:t>
      </w:r>
      <w:r>
        <w:rPr>
          <w:lang w:val="en-US"/>
        </w:rPr>
      </w:r>
      <w:r>
        <w:rPr>
          <w:lang w:val="en-US"/>
        </w:rPr>
        <w:fldChar w:fldCharType="end"/>
      </w:r>
      <w:r>
        <w:rPr>
          <w:lang w:val="en-US"/>
        </w:rPr>
        <w:t xml:space="preserve">. Further, financial distress explains why firms favour easily negotiable debt- which makes firms to approve bank loans in place of capital markets </w:t>
      </w:r>
      <w:r>
        <w:fldChar w:fldCharType="begin"/>
      </w:r>
      <w:r>
        <w:rPr>
          <w:lang w:val="en-US"/>
        </w:rPr>
        <w:instrText>ADDIN EN.CITE &lt;EndNote&gt;&lt;Cite&gt;&lt;Author&gt;De Jong&lt;/Author&gt;&lt;Year&gt;2011&lt;/Year&gt;&lt;RecNum&gt;135&lt;/RecNum&gt;&lt;DisplayText&gt;(De Jong, Verbeek, &amp;amp; Verwijmeren, 2011)&lt;/DisplayText&gt;&lt;record&gt;&lt;rec-number&gt;135&lt;/rec-number&gt;&lt;foreign-keys&gt;&lt;key app="EN" db-id="wds9909saar09se5x9txwfw7ax9wfe2ftrt2" timestamp="1507209719" guid="400786b3-316d-400a-bb9b-af50b1b66e78"&gt;135&lt;/key&gt;&lt;/foreign-keys&gt;&lt;ref-type name="Journal Article"&gt;17&lt;/ref-type&gt;&lt;contributors&gt;&lt;authors&gt;&lt;author&gt;De Jong, Abe&lt;/author&gt;&lt;author&gt;Verbeek, Marno&lt;/author&gt;&lt;author&gt;Verwijmeren, Patrick&lt;/author&gt;&lt;/authors&gt;&lt;/contributors&gt;&lt;titles&gt;&lt;title&gt;Firms’ debt–equity decisions when the static tradeoff theory and the pecking order theory disagree&lt;/title&gt;&lt;secondary-title&gt;Journal of Banking &amp;amp; Finance&lt;/secondary-title&gt;&lt;/titles&gt;&lt;pages&gt;1303-1314&lt;/pages&gt;&lt;volume&gt;35&lt;/volume&gt;&lt;number&gt;5&lt;/number&gt;&lt;dates&gt;&lt;year&gt;2011&lt;/year&gt;&lt;/dates&gt;&lt;isbn&gt;0378-4266&lt;/isbn&gt;&lt;urls&gt;&lt;/urls&gt;&lt;/record&gt;&lt;/Cite&gt;&lt;/EndNote&gt;</w:instrText>
      </w:r>
      <w:r>
        <w:rPr>
          <w:lang w:val="en-US"/>
        </w:rPr>
      </w:r>
      <w:r>
        <w:rPr>
          <w:lang w:val="en-US"/>
        </w:rPr>
        <w:fldChar w:fldCharType="separate"/>
      </w:r>
      <w:r>
        <w:rPr>
          <w:lang w:val="en-US"/>
        </w:rPr>
        <w:t>(De Jong, Verbeek, &amp; Verwijmeren, 2011)</w:t>
      </w:r>
      <w:r>
        <w:rPr>
          <w:lang w:val="en-US"/>
        </w:rPr>
      </w:r>
      <w:r>
        <w:rPr>
          <w:lang w:val="en-US"/>
        </w:rPr>
        <w:fldChar w:fldCharType="end"/>
      </w:r>
      <w:r>
        <w:rPr>
          <w:lang w:val="en-US"/>
        </w:rPr>
        <w:t>.</w:t>
      </w:r>
    </w:p>
    <w:p>
      <w:pPr>
        <w:pStyle w:val="Normal"/>
        <w:spacing w:lineRule="auto" w:line="360"/>
        <w:rPr>
          <w:lang w:val="en-US"/>
        </w:rPr>
      </w:pPr>
      <w:r>
        <w:rPr>
          <w:lang w:val="en-US"/>
        </w:rPr>
      </w:r>
    </w:p>
    <w:p>
      <w:pPr>
        <w:pStyle w:val="Normal"/>
        <w:spacing w:lineRule="auto" w:line="360"/>
        <w:rPr>
          <w:lang w:val="en-US"/>
        </w:rPr>
      </w:pPr>
      <w:r>
        <w:rPr>
          <w:lang w:val="en-US"/>
        </w:rPr>
        <w:t xml:space="preserve">The implication is that mature, profitable firms tend to rely on internal sources of capital as do firms with little cash flows and intangible assets. In this case, the trade-off theory corresponds with the pecking order theory of </w:t>
      </w:r>
      <w:r>
        <w:fldChar w:fldCharType="begin"/>
      </w:r>
      <w:r>
        <w:rPr>
          <w:lang w:val="en-US"/>
        </w:rPr>
        <w:instrText>ADDIN EN.CITE &lt;EndNote&gt;&lt;Cite AuthorYear="1"&gt;&lt;Author&gt;Donaldson&lt;/Author&gt;&lt;Year&gt;1961&lt;/Year&gt;&lt;RecNum&gt;597&lt;/RecNum&gt;&lt;DisplayText&gt;Donaldson and Fox (1961)&lt;/DisplayText&gt;&lt;record&gt;&lt;rec-number&gt;597&lt;/rec-number&gt;&lt;foreign-keys&gt;&lt;key app="EN" db-id="wds9909saar09se5x9txwfw7ax9wfe2ftrt2" timestamp="1597134927"&gt;597&lt;/key&gt;&lt;/foreign-keys&gt;&lt;ref-type name="Book"&gt;6&lt;/ref-type&gt;&lt;contributors&gt;&lt;authors&gt;&lt;author&gt;Donaldson, Gordon&lt;/author&gt;&lt;author&gt;Fox, Bertrand&lt;/author&gt;&lt;/authors&gt;&lt;/contributors&gt;&lt;titles&gt;&lt;title&gt;Corporate debt capacity: A study of corporate debt policy and the determination of corporate debt capacity&lt;/title&gt;&lt;/titles&gt;&lt;dates&gt;&lt;year&gt;1961&lt;/year&gt;&lt;/dates&gt;&lt;pub-location&gt;Cambridge, MA&lt;/pub-location&gt;&lt;publisher&gt;Harvard Business School Press (reprinted 1986)&lt;/publisher&gt;&lt;isbn&gt;1587980347&lt;/isbn&gt;&lt;urls&gt;&lt;/urls&gt;&lt;/record&gt;&lt;/Cite&gt;&lt;/EndNote&gt;</w:instrText>
      </w:r>
      <w:r>
        <w:rPr>
          <w:lang w:val="en-US"/>
        </w:rPr>
      </w:r>
      <w:r>
        <w:rPr>
          <w:lang w:val="en-US"/>
        </w:rPr>
        <w:fldChar w:fldCharType="separate"/>
      </w:r>
      <w:r>
        <w:rPr>
          <w:lang w:val="en-US"/>
        </w:rPr>
        <w:t>Donaldson and Fox (1961)</w:t>
      </w:r>
      <w:r>
        <w:rPr>
          <w:lang w:val="en-US"/>
        </w:rPr>
      </w:r>
      <w:r>
        <w:rPr>
          <w:lang w:val="en-US"/>
        </w:rPr>
        <w:fldChar w:fldCharType="end"/>
      </w:r>
      <w:r>
        <w:rPr>
          <w:lang w:val="en-US"/>
        </w:rPr>
        <w:t xml:space="preserve"> and </w:t>
      </w:r>
      <w:r>
        <w:fldChar w:fldCharType="begin"/>
      </w:r>
      <w:r>
        <w:rPr>
          <w:lang w:val="en-US"/>
        </w:rPr>
        <w:instrText>ADDIN EN.CITE &lt;EndNote&gt;&lt;Cite AuthorYear="1"&gt;&lt;Author&gt;Myers&lt;/Author&gt;&lt;Year&gt;1984&lt;/Year&gt;&lt;RecNum&gt;134&lt;/RecNum&gt;&lt;DisplayText&gt;Myers and Majluf (1984)&lt;/DisplayText&gt;&lt;record&gt;&lt;rec-number&gt;134&lt;/rec-number&gt;&lt;foreign-keys&gt;&lt;key app="EN" db-id="wds9909saar09se5x9txwfw7ax9wfe2ftrt2" timestamp="1507208722" guid="909a3cd6-1127-48b0-9eb8-3752c0ecd36b"&gt;134&lt;/key&gt;&lt;/foreign-keys&gt;&lt;ref-type name="Journal Article"&gt;17&lt;/ref-type&gt;&lt;contributors&gt;&lt;authors&gt;&lt;author&gt;Myers, Stewart C&lt;/author&gt;&lt;author&gt;Majluf, Nicholas S&lt;/author&gt;&lt;/authors&gt;&lt;/contributors&gt;&lt;titles&gt;&lt;title&gt;Corporate financing and investment decisions when firms have information that investors do not have&lt;/title&gt;&lt;secondary-title&gt;Journal of Financial Economics&lt;/secondary-title&gt;&lt;/titles&gt;&lt;periodical&gt;&lt;full-title&gt;Journal of Financial Economics&lt;/full-title&gt;&lt;abbr-1&gt;J. Finan. Econ.&lt;/abbr-1&gt;&lt;abbr-2&gt;J Finan Econ&lt;/abbr-2&gt;&lt;/periodical&gt;&lt;pages&gt;187-221&lt;/pages&gt;&lt;volume&gt;13&lt;/volume&gt;&lt;number&gt;2&lt;/number&gt;&lt;dates&gt;&lt;year&gt;1984&lt;/year&gt;&lt;/dates&gt;&lt;isbn&gt;0304-405X&lt;/isbn&gt;&lt;urls&gt;&lt;/urls&gt;&lt;/record&gt;&lt;/Cite&gt;&lt;/EndNote&gt;</w:instrText>
      </w:r>
      <w:r>
        <w:rPr>
          <w:lang w:val="en-US"/>
        </w:rPr>
      </w:r>
      <w:r>
        <w:rPr>
          <w:lang w:val="en-US"/>
        </w:rPr>
        <w:fldChar w:fldCharType="separate"/>
      </w:r>
      <w:r>
        <w:rPr>
          <w:lang w:val="en-US"/>
        </w:rPr>
        <w:t>Myers and Majluf (1984)</w:t>
      </w:r>
      <w:r>
        <w:rPr>
          <w:lang w:val="en-US"/>
        </w:rPr>
      </w:r>
      <w:r>
        <w:rPr>
          <w:lang w:val="en-US"/>
        </w:rPr>
        <w:fldChar w:fldCharType="end"/>
      </w:r>
      <w:r>
        <w:rPr>
          <w:lang w:val="en-US"/>
        </w:rPr>
        <w:t xml:space="preserve"> which posits that firms issue capital in a predetermined order, usually starting with the cheapest internal sources while maintaining a reserve borrowing capacity. In the case of MFIs, we presume that donations and subsidies would come first in the pecking order. The reserve borrowing capacity allows firms to arrange debt in case of profitable opportunities quickly. Moreover, the trade-off theory has correspondence with the proposition by </w:t>
      </w:r>
      <w:r>
        <w:fldChar w:fldCharType="begin"/>
      </w:r>
      <w:r>
        <w:rPr>
          <w:lang w:val="en-US"/>
        </w:rPr>
        <w:instrText>ADDIN EN.CITE &lt;EndNote&gt;&lt;Cite AuthorYear="1"&gt;&lt;Author&gt;Bayai&lt;/Author&gt;&lt;Year&gt;2016&lt;/Year&gt;&lt;RecNum&gt;319&lt;/RecNum&gt;&lt;DisplayText&gt;Bayai and Ikhide (2016)&lt;/DisplayText&gt;&lt;record&gt;&lt;rec-number&gt;319&lt;/rec-number&gt;&lt;foreign-keys&gt;&lt;key app="EN" db-id="wds9909saar09se5x9txwfw7ax9wfe2ftrt2" timestamp="1516045851" guid="ee8d8706-126d-4050-a2c3-6dce19924f49"&gt;319&lt;/key&gt;&lt;/foreign-keys&gt;&lt;ref-type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Pr>
          <w:lang w:val="en-US"/>
        </w:rPr>
      </w:r>
      <w:r>
        <w:rPr>
          <w:lang w:val="en-US"/>
        </w:rPr>
        <w:fldChar w:fldCharType="separate"/>
      </w:r>
      <w:r>
        <w:rPr>
          <w:lang w:val="en-US"/>
        </w:rPr>
        <w:t>Bayai and Ikhide (2016)</w:t>
      </w:r>
      <w:r>
        <w:rPr>
          <w:lang w:val="en-US"/>
        </w:rPr>
      </w:r>
      <w:r>
        <w:rPr>
          <w:lang w:val="en-US"/>
        </w:rPr>
        <w:fldChar w:fldCharType="end"/>
      </w:r>
      <w:r>
        <w:rPr>
          <w:lang w:val="en-US"/>
        </w:rPr>
        <w:t xml:space="preserve"> that the capital structure of MFIs evolves with the institutional life-cycle of firms, with younger firms more reliant on donations and concessionary funds, with older firms more inclined to commercial funding. </w:t>
      </w:r>
    </w:p>
    <w:p>
      <w:pPr>
        <w:pStyle w:val="Normal"/>
        <w:spacing w:lineRule="auto" w:line="360"/>
        <w:rPr>
          <w:lang w:val="en-US"/>
        </w:rPr>
      </w:pPr>
      <w:r>
        <w:rPr>
          <w:lang w:val="en-US"/>
        </w:rPr>
      </w:r>
    </w:p>
    <w:p>
      <w:pPr>
        <w:pStyle w:val="Normal"/>
        <w:spacing w:lineRule="auto" w:line="360"/>
        <w:rPr>
          <w:lang w:val="en-US"/>
        </w:rPr>
      </w:pPr>
      <w:r>
        <w:rPr>
          <w:lang w:val="en-US"/>
        </w:rPr>
        <w:t xml:space="preserve">Extending the trade-off theory, </w:t>
      </w:r>
      <w:r>
        <w:fldChar w:fldCharType="begin"/>
      </w:r>
      <w:r>
        <w:rPr>
          <w:lang w:val="en-US"/>
        </w:rPr>
        <w:instrText>ADDIN EN.CITE &lt;EndNote&gt;&lt;Cite AuthorYear="1"&gt;&lt;Author&gt;Bradley&lt;/Author&gt;&lt;Year&gt;1984&lt;/Year&gt;&lt;RecNum&gt;136&lt;/RecNum&gt;&lt;DisplayText&gt;Bradley, Jarrell, and Kim (1984)&lt;/DisplayText&gt;&lt;record&gt;&lt;rec-number&gt;136&lt;/rec-number&gt;&lt;foreign-keys&gt;&lt;key app="EN" db-id="wds9909saar09se5x9txwfw7ax9wfe2ftrt2" timestamp="1507209919" guid="da0c25cd-cfa9-4fc6-a1cd-c791f577a71d"&gt;136&lt;/key&gt;&lt;/foreign-keys&gt;&lt;ref-type name="Journal Article"&gt;17&lt;/ref-type&gt;&lt;contributors&gt;&lt;authors&gt;&lt;author&gt;Bradley, Michael&lt;/author&gt;&lt;author&gt;Jarrell, Gregg A&lt;/author&gt;&lt;author&gt;Kim, E&lt;/author&gt;&lt;/authors&gt;&lt;/contributors&gt;&lt;titles&gt;&lt;title&gt;On the existence of an optimal capital structure: Theory and evidence&lt;/title&gt;&lt;secondary-title&gt;The Journal of Finance&lt;/secondary-title&gt;&lt;/titles&gt;&lt;periodical&gt;&lt;full-title&gt;The Journal of finance&lt;/full-title&gt;&lt;/periodical&gt;&lt;pages&gt;857-878&lt;/pages&gt;&lt;volume&gt;39&lt;/volume&gt;&lt;number&gt;3&lt;/number&gt;&lt;dates&gt;&lt;year&gt;1984&lt;/year&gt;&lt;/dates&gt;&lt;isbn&gt;1540-6261&lt;/isbn&gt;&lt;urls&gt;&lt;/urls&gt;&lt;/record&gt;&lt;/Cite&gt;&lt;/EndNote&gt;</w:instrText>
      </w:r>
      <w:r>
        <w:rPr>
          <w:lang w:val="en-US"/>
        </w:rPr>
      </w:r>
      <w:r>
        <w:rPr>
          <w:lang w:val="en-US"/>
        </w:rPr>
        <w:fldChar w:fldCharType="separate"/>
      </w:r>
      <w:r>
        <w:rPr>
          <w:lang w:val="en-US"/>
        </w:rPr>
        <w:t>Bradley, Jarrell, and Kim (1984)</w:t>
      </w:r>
      <w:r>
        <w:rPr>
          <w:lang w:val="en-US"/>
        </w:rPr>
      </w:r>
      <w:r>
        <w:rPr>
          <w:lang w:val="en-US"/>
        </w:rPr>
        <w:fldChar w:fldCharType="end"/>
      </w:r>
      <w:r>
        <w:rPr>
          <w:lang w:val="en-US"/>
        </w:rPr>
        <w:t xml:space="preserve"> showed that, under certain conditions, the tax disadvantage of debt at the individual level offset the tax disadvantage at the corporate level. The result was the introduction of leverage related costs to the classical trade-off theory. These costs include the bankruptcy costs, agency costs of debt, the loss of non-debt tax shields (such as accelerated depreciation and investment tax credits). The additional leverage related costs mean that firms seek to balance the tax benefits of debt and the leverage-related costs. </w:t>
      </w:r>
      <w:r>
        <w:fldChar w:fldCharType="begin"/>
      </w:r>
      <w:r>
        <w:rPr>
          <w:lang w:val="en-US"/>
        </w:rPr>
        <w:instrText>ADDIN EN.CITE &lt;EndNote&gt;&lt;Cite AuthorYear="1"&gt;&lt;Author&gt;Miao&lt;/Author&gt;&lt;Year&gt;2005&lt;/Year&gt;&lt;RecNum&gt;137&lt;/RecNum&gt;&lt;DisplayText&gt;Miao (2005)&lt;/DisplayText&gt;&lt;record&gt;&lt;rec-number&gt;137&lt;/rec-number&gt;&lt;foreign-keys&gt;&lt;key app="EN" db-id="wds9909saar09se5x9txwfw7ax9wfe2ftrt2" timestamp="1507210121" guid="bf7dd659-1503-469a-b87f-fa0b9f3fd1cd"&gt;137&lt;/key&gt;&lt;/foreign-keys&gt;&lt;ref-type name="Journal Article"&gt;17&lt;/ref-type&gt;&lt;contributors&gt;&lt;authors&gt;&lt;author&gt;Miao, Jianjun&lt;/author&gt;&lt;/authors&gt;&lt;/contributors&gt;&lt;titles&gt;&lt;title&gt;Optimal capital structure and industry dynamics&lt;/title&gt;&lt;secondary-title&gt;The Journal of Finance&lt;/secondary-title&gt;&lt;/titles&gt;&lt;periodical&gt;&lt;full-title&gt;The Journal of finance&lt;/full-title&gt;&lt;/periodical&gt;&lt;pages&gt;2621-2659&lt;/pages&gt;&lt;volume&gt;60&lt;/volume&gt;&lt;number&gt;6&lt;/number&gt;&lt;dates&gt;&lt;year&gt;2005&lt;/year&gt;&lt;/dates&gt;&lt;isbn&gt;1540-6261&lt;/isbn&gt;&lt;urls&gt;&lt;/urls&gt;&lt;/record&gt;&lt;/Cite&gt;&lt;/EndNote&gt;</w:instrText>
      </w:r>
      <w:r>
        <w:rPr>
          <w:lang w:val="en-US"/>
        </w:rPr>
      </w:r>
      <w:r>
        <w:rPr>
          <w:lang w:val="en-US"/>
        </w:rPr>
        <w:fldChar w:fldCharType="separate"/>
      </w:r>
      <w:r>
        <w:rPr>
          <w:lang w:val="en-US"/>
        </w:rPr>
        <w:t>Miao (2005)</w:t>
      </w:r>
      <w:r>
        <w:rPr>
          <w:lang w:val="en-US"/>
        </w:rPr>
      </w:r>
      <w:r>
        <w:rPr>
          <w:lang w:val="en-US"/>
        </w:rPr>
        <w:fldChar w:fldCharType="end"/>
      </w:r>
      <w:r>
        <w:rPr>
          <w:lang w:val="en-US"/>
        </w:rPr>
        <w:t xml:space="preserve"> show that the choice of financing mix relates to these non-debt tax shields, in addition to financial and trade cycles. Hence the capital structure is firm-specific and mean-reverting. Still, the capital structure theories cannot explain the observed under-leveraged firms. Moreover, while the profit motive drives commercial firms, the capital structure theories may not fully apply to hybrid firms that have a dual mission, like MFIs.</w:t>
      </w:r>
    </w:p>
    <w:p>
      <w:pPr>
        <w:pStyle w:val="Normal"/>
        <w:spacing w:lineRule="auto" w:line="360"/>
        <w:rPr>
          <w:lang w:val="en-US"/>
        </w:rPr>
      </w:pPr>
      <w:r>
        <w:rPr>
          <w:lang w:val="en-US"/>
        </w:rPr>
      </w:r>
    </w:p>
    <w:p>
      <w:pPr>
        <w:pStyle w:val="Normal"/>
        <w:spacing w:lineRule="auto" w:line="360"/>
        <w:rPr>
          <w:lang w:val="en-US"/>
        </w:rPr>
      </w:pPr>
      <w:r>
        <w:rPr>
          <w:lang w:val="en-US"/>
        </w:rPr>
        <w:t xml:space="preserve">The institutional theory does have some congruence with the capital structure of MFIs. Expressly, the observed rise in debt financing and the concurrent drop in donations could point to a shift by MFIs towards a financially sustainable MFI model. The pressure to move towards the financial sustainability model could reflect a broader change in the MF industry or result from pressure from donors. The pressure would be especially intense for MFIs that are highly dependent on donations </w:t>
      </w:r>
      <w:r>
        <w:fldChar w:fldCharType="begin"/>
      </w:r>
      <w:r>
        <w:rPr>
          <w:lang w:val="en-US"/>
        </w:rPr>
        <w:instrText>ADDIN EN.CITE &lt;EndNote&gt;&lt;Cite&gt;&lt;Author&gt;DiMaggio&lt;/Author&gt;&lt;Year&gt;1991&lt;/Year&gt;&lt;RecNum&gt;332&lt;/RecNum&gt;&lt;DisplayText&gt;(DiMaggio &amp;amp; Powell, 1991)&lt;/DisplayText&gt;&lt;record&gt;&lt;rec-number&gt;332&lt;/rec-number&gt;&lt;foreign-keys&gt;&lt;key app="EN" db-id="wds9909saar09se5x9txwfw7ax9wfe2ftrt2" timestamp="1516692348" guid="7caae15a-1f29-4294-a675-77575120258d"&gt;332&lt;/key&gt;&lt;/foreign-keys&gt;&lt;ref-type name="Book Section"&gt;5&lt;/ref-type&gt;&lt;contributors&gt;&lt;authors&gt;&lt;author&gt;DiMaggio, P.&lt;/author&gt;&lt;author&gt;Powell, W.&lt;/author&gt;&lt;/authors&gt;&lt;/contributors&gt;&lt;titles&gt;&lt;title&gt;Introduction&lt;/title&gt;&lt;secondary-title&gt;The new institutionalism and organizational analysis&lt;/secondary-title&gt;&lt;/titles&gt;&lt;pages&gt;1-38&lt;/pages&gt;&lt;dates&gt;&lt;year&gt;1991&lt;/year&gt;&lt;/dates&gt;&lt;pub-location&gt;Chicago&lt;/pub-location&gt;&lt;publisher&gt;University of Chicago Press&lt;/publisher&gt;&lt;urls&gt;&lt;/urls&gt;&lt;/record&gt;&lt;/Cite&gt;&lt;/EndNote&gt;</w:instrText>
      </w:r>
      <w:r>
        <w:rPr>
          <w:lang w:val="en-US"/>
        </w:rPr>
      </w:r>
      <w:r>
        <w:rPr>
          <w:lang w:val="en-US"/>
        </w:rPr>
        <w:fldChar w:fldCharType="separate"/>
      </w:r>
      <w:r>
        <w:rPr>
          <w:lang w:val="en-US"/>
        </w:rPr>
        <w:t>(DiMaggio &amp; Powell, 1991)</w:t>
      </w:r>
      <w:r>
        <w:rPr>
          <w:lang w:val="en-US"/>
        </w:rPr>
      </w:r>
      <w:r>
        <w:rPr>
          <w:lang w:val="en-US"/>
        </w:rPr>
        <w:fldChar w:fldCharType="end"/>
      </w:r>
      <w:r>
        <w:rPr>
          <w:lang w:val="en-US"/>
        </w:rPr>
        <w:t xml:space="preserve">, underlining the role of donors such as USAID in the push towards sustainability </w:t>
      </w:r>
      <w:r>
        <w:fldChar w:fldCharType="begin"/>
      </w:r>
      <w:r>
        <w:rPr>
          <w:lang w:val="en-US"/>
        </w:rPr>
        <w:instrText>ADDIN EN.CITE &lt;EndNote&gt;&lt;Cite&gt;&lt;Author&gt;Bateman&lt;/Author&gt;&lt;Year&gt;2010&lt;/Year&gt;&lt;RecNum&gt;348&lt;/RecNum&gt;&lt;DisplayText&gt;(Bateman, 2010)&lt;/DisplayText&gt;&lt;record&gt;&lt;rec-number&gt;348&lt;/rec-number&gt;&lt;foreign-keys&gt;&lt;key app="EN" db-id="wds9909saar09se5x9txwfw7ax9wfe2ftrt2" timestamp="1517396361" guid="1a72424c-109d-488b-8e43-dd1efacda194"&gt;348&lt;/key&gt;&lt;/foreign-keys&gt;&lt;ref-type name="Book"&gt;6&lt;/ref-type&gt;&lt;contributors&gt;&lt;authors&gt;&lt;author&gt;Bateman, Milford&lt;/author&gt;&lt;/authors&gt;&lt;/contributors&gt;&lt;titles&gt;&lt;title&gt;Why doesn&amp;apos;t microfinance work?: the destructive rise of local neoliberalism&lt;/title&gt;&lt;/titles&gt;&lt;dates&gt;&lt;year&gt;2010&lt;/year&gt;&lt;/dates&gt;&lt;pub-location&gt;London&lt;/pub-location&gt;&lt;publisher&gt;Zed Books Ltd.&lt;/publisher&gt;&lt;isbn&gt;1848138954&lt;/isbn&gt;&lt;urls&gt;&lt;/urls&gt;&lt;/record&gt;&lt;/Cite&gt;&lt;/EndNote&gt;</w:instrText>
      </w:r>
      <w:r>
        <w:rPr>
          <w:lang w:val="en-US"/>
        </w:rPr>
      </w:r>
      <w:r>
        <w:rPr>
          <w:lang w:val="en-US"/>
        </w:rPr>
        <w:fldChar w:fldCharType="separate"/>
      </w:r>
      <w:r>
        <w:rPr>
          <w:lang w:val="en-US"/>
        </w:rPr>
        <w:t>(Bateman, 2010)</w:t>
      </w:r>
      <w:r>
        <w:rPr>
          <w:lang w:val="en-US"/>
        </w:rPr>
      </w:r>
      <w:r>
        <w:rPr>
          <w:lang w:val="en-US"/>
        </w:rPr>
        <w:fldChar w:fldCharType="end"/>
      </w:r>
      <w:r>
        <w:rPr>
          <w:lang w:val="en-US"/>
        </w:rPr>
        <w:t xml:space="preserve">. Although the institutional theory cannot fully account for the MFIs that have not changed from NGOs to commercial models, the changing capital structures do indicate that financial sustainability is gaining traction. Figure 4 shows that even without a change in legal forms, the proportion of donations is dropping. The next section details the empirical approach adopted in the study. </w:t>
      </w:r>
    </w:p>
    <w:p>
      <w:pPr>
        <w:pStyle w:val="Heading2"/>
        <w:numPr>
          <w:ilvl w:val="0"/>
          <w:numId w:val="3"/>
        </w:numPr>
        <w:spacing w:lineRule="auto" w:line="360"/>
        <w:ind w:left="426" w:hanging="360"/>
        <w:rPr/>
      </w:pPr>
      <w:r>
        <w:rPr/>
        <w:t>Method</w:t>
      </w:r>
    </w:p>
    <w:p>
      <w:pPr>
        <w:pStyle w:val="Normal"/>
        <w:spacing w:lineRule="auto" w:line="360" w:before="0" w:after="160"/>
        <w:rPr>
          <w:rFonts w:eastAsia="Calibri"/>
        </w:rPr>
      </w:pPr>
      <w:r>
        <w:rPr/>
        <w:t xml:space="preserve">The study adopts the fixed and random effects models depending on the outcome of the Hausman tests (see appendix 2). </w:t>
      </w:r>
      <w:r>
        <w:rPr>
          <w:rFonts w:eastAsia="Calibri"/>
        </w:rPr>
        <w:t xml:space="preserve">Following </w:t>
      </w:r>
      <w:r>
        <w:fldChar w:fldCharType="begin"/>
      </w:r>
      <w:r>
        <w:rPr>
          <w:rFonts w:eastAsia="Calibri"/>
        </w:rPr>
        <w:instrText>ADDIN EN.CITE &lt;EndNote&gt;&lt;Cite AuthorYear="1"&gt;&lt;Author&gt;Roberts&lt;/Author&gt;&lt;Year&gt;2013&lt;/Year&gt;&lt;RecNum&gt;361&lt;/RecNum&gt;&lt;DisplayText&gt;Roberts and Whited (2013)&lt;/DisplayText&gt;&lt;record&gt;&lt;rec-number&gt;361&lt;/rec-number&gt;&lt;foreign-keys&gt;&lt;key app="EN" db-id="wds9909saar09se5x9txwfw7ax9wfe2ftrt2" timestamp="1518441232" guid="f93664ca-b30d-4679-8402-900442238de1"&gt;361&lt;/key&gt;&lt;/foreign-keys&gt;&lt;ref-type name="Book Section"&gt;5&lt;/ref-type&gt;&lt;contributors&gt;&lt;authors&gt;&lt;author&gt;Roberts, M.R. &lt;/author&gt;&lt;author&gt;Whited, T.M.&lt;/author&gt;&lt;/authors&gt;&lt;secondary-authors&gt;&lt;author&gt;George M. Constantinides&lt;/author&gt;&lt;author&gt;Milton Harris&lt;/author&gt;&lt;author&gt;Rene M. Stulz&lt;/author&gt;&lt;/secondary-authors&gt;&lt;/contributors&gt;&lt;titles&gt;&lt;title&gt;Endogeneity in empirical corporate finance&lt;/title&gt;&lt;secondary-title&gt;Handbook of the Economics of Finance&lt;/secondary-title&gt;&lt;/titles&gt;&lt;pages&gt;494-567&lt;/pages&gt;&lt;volume&gt;2A&lt;/volume&gt;&lt;section&gt;7&lt;/section&gt;&lt;dates&gt;&lt;year&gt;2013&lt;/year&gt;&lt;/dates&gt;&lt;pub-location&gt;Amsterdam&lt;/pub-location&gt;&lt;publisher&gt;North-Holland&lt;/publisher&gt;&lt;urls&gt;&lt;/urls&gt;&lt;/record&gt;&lt;/Cite&gt;&lt;/EndNote&gt;</w:instrText>
      </w:r>
      <w:r>
        <w:rPr>
          <w:rFonts w:eastAsia="Calibri"/>
        </w:rPr>
      </w:r>
      <w:r>
        <w:rPr>
          <w:rFonts w:eastAsia="Calibri"/>
        </w:rPr>
        <w:fldChar w:fldCharType="separate"/>
      </w:r>
      <w:r>
        <w:rPr>
          <w:rFonts w:eastAsia="Calibri"/>
        </w:rPr>
        <w:t>Roberts and Whited (2013)</w:t>
      </w:r>
      <w:r>
        <w:rPr>
          <w:rFonts w:eastAsia="Calibri"/>
        </w:rPr>
      </w:r>
      <w:r>
        <w:rPr>
          <w:rFonts w:eastAsia="Calibri"/>
        </w:rPr>
        <w:fldChar w:fldCharType="end"/>
      </w:r>
      <w:r>
        <w:rPr>
          <w:rFonts w:eastAsia="Calibri"/>
        </w:rPr>
        <w:t>, consider a model that follows.</w:t>
      </w:r>
    </w:p>
    <w:p>
      <w:pPr>
        <w:pStyle w:val="Normal"/>
        <w:spacing w:lineRule="auto" w:line="360" w:before="0" w:after="160"/>
        <w:rPr/>
      </w:pPr>
      <w:r>
        <w:rPr/>
        <mc:AlternateContent>
          <mc:Choice Requires="wps">
            <w:drawing>
              <wp:inline distT="0" distB="101600" distL="0" distR="0">
                <wp:extent cx="1437640" cy="19685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437120" cy="19620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3.5pt;width:113.1pt;height:15.4pt;mso-wrap-style:none;v-text-anchor:middle;mso-position-vertical:top" type="shapetype_75">
                <v:imagedata r:id="rId2" o:detectmouseclick="t"/>
                <v:stroke color="#3465a4" joinstyle="round" endcap="flat"/>
                <w10:wrap type="none"/>
              </v:shape>
            </w:pict>
          </mc:Fallback>
        </mc:AlternateContent>
      </w:r>
      <w:r>
        <w:rPr>
          <w:rFonts w:eastAsia="Calibri"/>
        </w:rPr>
        <w:tab/>
        <w:tab/>
        <w:tab/>
        <w:tab/>
        <w:tab/>
        <w:tab/>
        <w:tab/>
        <w:tab/>
        <w:t>&lt;1&gt;</w:t>
      </w:r>
      <w:bookmarkStart w:id="0" w:name="_Hlk530594315"/>
      <w:bookmarkEnd w:id="0"/>
    </w:p>
    <w:p>
      <w:pPr>
        <w:pStyle w:val="Normal"/>
        <w:spacing w:lineRule="auto" w:line="360" w:before="0" w:after="160"/>
        <w:rPr>
          <w:rFonts w:eastAsia="Calibri"/>
        </w:rPr>
      </w:pPr>
      <w:r>
        <w:rPr>
          <w:rFonts w:eastAsia="Calibri"/>
        </w:rPr>
        <w:t>Further, assume that,</w:t>
      </w:r>
    </w:p>
    <w:p>
      <w:pPr>
        <w:pStyle w:val="Normal"/>
        <w:spacing w:lineRule="auto" w:line="360" w:before="0" w:after="160"/>
        <w:rPr/>
      </w:pPr>
      <w:r>
        <w:rPr/>
        <mc:AlternateContent>
          <mc:Choice Requires="wps">
            <w:drawing>
              <wp:inline distT="0" distB="101600" distL="0" distR="0">
                <wp:extent cx="915035" cy="1968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914400" cy="196200"/>
                        </a:xfrm>
                        <a:prstGeom prst="rect">
                          <a:avLst/>
                        </a:prstGeom>
                        <a:ln w="0">
                          <a:noFill/>
                        </a:ln>
                      </pic:spPr>
                    </pic:pic>
                  </a:graphicData>
                </a:graphic>
              </wp:inline>
            </w:drawing>
          </mc:Choice>
          <mc:Fallback>
            <w:pict>
              <v:shape id="shape_0" stroked="f" style="position:absolute;margin-left:0pt;margin-top:-23.5pt;width:71.95pt;height:15.4pt;mso-wrap-style:none;v-text-anchor:middle;mso-position-vertical:top" type="shapetype_75">
                <v:imagedata r:id="rId3" o:detectmouseclick="t"/>
                <v:stroke color="#3465a4" joinstyle="round" endcap="flat"/>
                <w10:wrap type="none"/>
              </v:shape>
            </w:pict>
          </mc:Fallback>
        </mc:AlternateContent>
      </w:r>
      <w:r>
        <w:rPr>
          <w:rFonts w:eastAsia="Calibri"/>
        </w:rPr>
        <w:tab/>
        <w:tab/>
        <w:tab/>
        <w:tab/>
        <w:tab/>
        <w:tab/>
        <w:tab/>
        <w:tab/>
        <w:tab/>
        <w:tab/>
        <w:t>&lt;2&gt;</w:t>
      </w:r>
    </w:p>
    <w:p>
      <w:pPr>
        <w:pStyle w:val="Normal"/>
        <w:spacing w:lineRule="auto" w:line="360" w:before="0" w:after="160"/>
        <w:rPr/>
      </w:pPr>
      <w:r>
        <w:rPr>
          <w:rFonts w:eastAsia="Calibri"/>
        </w:rPr>
        <w:t xml:space="preserve">Where </w:t>
      </w:r>
      <w:r>
        <w:fldChar w:fldCharType="begin"/>
      </w:r>
      <w:r>
        <w:rPr>
          <w:rFonts w:eastAsia="Calibri"/>
        </w:rPr>
        <w:instrText>QUOTE</w:instrText>
      </w:r>
      <w:r>
        <w:rPr>
          <w:rFonts w:eastAsia="Calibri"/>
        </w:rPr>
      </w:r>
      <w:r>
        <w:rPr/>
        <mc:AlternateContent>
          <mc:Choice Requires="wps">
            <w:drawing>
              <wp:inline distT="0" distB="101600" distL="0" distR="0">
                <wp:extent cx="196850" cy="19685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4"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4"/>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4" o:detectmouseclick="t"/>
                <v:stroke color="#3465a4" joinstyle="round" endcap="flat"/>
                <w10:wrap type="none"/>
              </v:shape>
            </w:pict>
          </mc:Fallback>
        </mc:AlternateContent>
      </w:r>
      <w:r>
        <w:rPr/>
      </w:r>
      <w:r>
        <w:rPr/>
        <w:fldChar w:fldCharType="end"/>
      </w:r>
      <w:r>
        <w:rPr/>
        <w:t xml:space="preserve"> captures the aggregate effects of the unobserved, time-invariant explanatory variables for </w:t>
      </w:r>
      <w:r>
        <w:fldChar w:fldCharType="begin"/>
      </w:r>
      <w:r>
        <w:rPr/>
        <w:instrText>QUOTE</w:instrText>
      </w:r>
      <w:r>
        <w:rPr/>
      </w:r>
      <w:r>
        <w:rPr/>
        <mc:AlternateContent>
          <mc:Choice Requires="wps">
            <w:drawing>
              <wp:inline distT="0" distB="101600" distL="0" distR="0">
                <wp:extent cx="196850" cy="19685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5"/>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5"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5"/>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5" o:detectmouseclick="t"/>
                <v:stroke color="#3465a4" joinstyle="round" endcap="flat"/>
                <w10:wrap type="none"/>
              </v:shape>
            </w:pict>
          </mc:Fallback>
        </mc:AlternateContent>
      </w:r>
      <w:r>
        <w:rPr/>
      </w:r>
      <w:r>
        <w:rPr/>
        <w:fldChar w:fldCharType="end"/>
      </w:r>
      <w:r>
        <w:rPr/>
        <w:t xml:space="preserve">. Further, assume that  </w:t>
      </w:r>
      <w:r>
        <w:fldChar w:fldCharType="begin"/>
      </w:r>
      <w:r>
        <w:rPr/>
        <w:instrText>QUOTE</w:instrText>
      </w:r>
      <w:r>
        <w:rPr/>
      </w:r>
      <w:r>
        <w:rPr/>
        <mc:AlternateContent>
          <mc:Choice Requires="wps">
            <w:drawing>
              <wp:inline distT="0" distB="101600" distL="0" distR="0">
                <wp:extent cx="196850" cy="19685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6"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6"/>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6" o:detectmouseclick="t"/>
                <v:stroke color="#3465a4" joinstyle="round" endcap="flat"/>
                <w10:wrap type="none"/>
              </v:shape>
            </w:pict>
          </mc:Fallback>
        </mc:AlternateContent>
      </w:r>
      <w:r>
        <w:rPr/>
      </w:r>
      <w:r>
        <w:rPr/>
        <w:fldChar w:fldCharType="end"/>
      </w:r>
      <w:r>
        <w:rPr/>
        <w:t xml:space="preserve"> has zero mean conditional on </w:t>
      </w:r>
      <w:r>
        <w:fldChar w:fldCharType="begin"/>
      </w:r>
      <w:r>
        <w:rPr/>
        <w:instrText>QUOTE</w:instrText>
      </w:r>
      <w:r>
        <w:rPr/>
      </w:r>
      <w:r>
        <w:rPr/>
        <mc:AlternateContent>
          <mc:Choice Requires="wps">
            <w:drawing>
              <wp:inline distT="0" distB="101600" distL="0" distR="0">
                <wp:extent cx="196850" cy="196850"/>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7"/>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7"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7"/>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7" o:detectmouseclick="t"/>
                <v:stroke color="#3465a4" joinstyle="round" endcap="flat"/>
                <w10:wrap type="none"/>
              </v:shape>
            </w:pict>
          </mc:Fallback>
        </mc:AlternateContent>
      </w:r>
      <w:r>
        <w:rPr/>
      </w:r>
      <w:r>
        <w:rPr/>
        <w:fldChar w:fldCharType="end"/>
      </w:r>
      <w:r>
        <w:rPr/>
        <w:t xml:space="preserve">. In the case where </w:t>
      </w:r>
      <w:r>
        <w:fldChar w:fldCharType="begin"/>
      </w:r>
      <w:r>
        <w:rPr/>
        <w:instrText>QUOTE</w:instrText>
      </w:r>
      <w:r>
        <w:rPr/>
      </w:r>
      <w:r>
        <w:rPr/>
        <mc:AlternateContent>
          <mc:Choice Requires="wps">
            <w:drawing>
              <wp:inline distT="0" distB="101600" distL="0" distR="0">
                <wp:extent cx="196850" cy="196850"/>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4"/>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4"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4"/>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4" o:detectmouseclick="t"/>
                <v:stroke color="#3465a4" joinstyle="round" endcap="flat"/>
                <w10:wrap type="none"/>
              </v:shape>
            </w:pict>
          </mc:Fallback>
        </mc:AlternateContent>
      </w:r>
      <w:r>
        <w:rPr/>
      </w:r>
      <w:r>
        <w:rPr/>
        <w:fldChar w:fldCharType="end"/>
      </w:r>
      <w:r>
        <w:rPr/>
        <w:t xml:space="preserve"> and </w:t>
      </w:r>
      <w:r>
        <w:fldChar w:fldCharType="begin"/>
      </w:r>
      <w:r>
        <w:rPr/>
        <w:instrText>QUOTE</w:instrText>
      </w:r>
      <w:r>
        <w:rPr/>
      </w:r>
      <w:r>
        <w:rPr/>
        <mc:AlternateContent>
          <mc:Choice Requires="wps">
            <w:drawing>
              <wp:inline distT="0" distB="101600" distL="0" distR="0">
                <wp:extent cx="196850" cy="196850"/>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7"/>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7"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7"/>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7" o:detectmouseclick="t"/>
                <v:stroke color="#3465a4" joinstyle="round" endcap="flat"/>
                <w10:wrap type="none"/>
              </v:shape>
            </w:pict>
          </mc:Fallback>
        </mc:AlternateContent>
      </w:r>
      <w:r>
        <w:rPr/>
      </w:r>
      <w:r>
        <w:rPr/>
        <w:fldChar w:fldCharType="end"/>
      </w:r>
      <w:r>
        <w:rPr/>
        <w:t xml:space="preserve"> are correlated, then </w:t>
      </w:r>
      <w:r>
        <w:fldChar w:fldCharType="begin"/>
      </w:r>
      <w:r>
        <w:rPr/>
        <w:instrText>QUOTE</w:instrText>
      </w:r>
      <w:r>
        <w:rPr/>
      </w:r>
      <w:r>
        <w:rPr/>
        <mc:AlternateContent>
          <mc:Choice Requires="wps">
            <w:drawing>
              <wp:inline distT="0" distB="101600" distL="0" distR="0">
                <wp:extent cx="196850" cy="196850"/>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4"/>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4"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196850" cy="196850"/>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4"/>
                        <a:stretch/>
                      </pic:blipFill>
                      <pic:spPr>
                        <a:xfrm>
                          <a:off x="0" y="0"/>
                          <a:ext cx="196200" cy="196200"/>
                        </a:xfrm>
                        <a:prstGeom prst="rect">
                          <a:avLst/>
                        </a:prstGeom>
                        <a:ln w="0">
                          <a:noFill/>
                        </a:ln>
                      </pic:spPr>
                    </pic:pic>
                  </a:graphicData>
                </a:graphic>
              </wp:inline>
            </w:drawing>
          </mc:Choice>
          <mc:Fallback>
            <w:pict>
              <v:shape id="shape_0" stroked="f" style="position:absolute;margin-left:0pt;margin-top:-23.5pt;width:15.4pt;height:15.4pt;mso-wrap-style:none;v-text-anchor:middle;mso-position-vertical:top" type="shapetype_75">
                <v:imagedata r:id="rId4" o:detectmouseclick="t"/>
                <v:stroke color="#3465a4" joinstyle="round" endcap="flat"/>
                <w10:wrap type="none"/>
              </v:shape>
            </w:pict>
          </mc:Fallback>
        </mc:AlternateContent>
      </w:r>
      <w:r>
        <w:rPr/>
      </w:r>
      <w:r>
        <w:rPr/>
        <w:fldChar w:fldCharType="end"/>
      </w:r>
      <w:r>
        <w:rPr/>
        <w:t xml:space="preserve"> is a fixed effect; otherwise, it is a random effect. Note that the existence of fixed effects implies the presence of endogeneity. For random effects, on the other hand, endogeneity is not a concern. However, the random-effects model affects the computation of standard errors </w:t>
      </w:r>
      <w:r>
        <w:fldChar w:fldCharType="begin"/>
      </w:r>
      <w:r>
        <w:rPr/>
        <w:instrText>ADDIN EN.CITE &lt;EndNote&gt;&lt;Cite&gt;&lt;Author&gt;Roberts&lt;/Author&gt;&lt;Year&gt;2013&lt;/Year&gt;&lt;RecNum&gt;361&lt;/RecNum&gt;&lt;DisplayText&gt;(Roberts &amp;amp; Whited, 2013)&lt;/DisplayText&gt;&lt;record&gt;&lt;rec-number&gt;361&lt;/rec-number&gt;&lt;foreign-keys&gt;&lt;key app="EN" db-id="wds9909saar09se5x9txwfw7ax9wfe2ftrt2" timestamp="1518441232" guid="f93664ca-b30d-4679-8402-900442238de1"&gt;361&lt;/key&gt;&lt;/foreign-keys&gt;&lt;ref-type name="Book Section"&gt;5&lt;/ref-type&gt;&lt;contributors&gt;&lt;authors&gt;&lt;author&gt;Roberts, M.R. &lt;/author&gt;&lt;author&gt;Whited, T.M.&lt;/author&gt;&lt;/authors&gt;&lt;secondary-authors&gt;&lt;author&gt;George M. Constantinides&lt;/author&gt;&lt;author&gt;Milton Harris&lt;/author&gt;&lt;author&gt;Rene M. Stulz&lt;/author&gt;&lt;/secondary-authors&gt;&lt;/contributors&gt;&lt;titles&gt;&lt;title&gt;Endogeneity in empirical corporate finance&lt;/title&gt;&lt;secondary-title&gt;Handbook of the Economics of Finance&lt;/secondary-title&gt;&lt;/titles&gt;&lt;pages&gt;494-567&lt;/pages&gt;&lt;volume&gt;2A&lt;/volume&gt;&lt;section&gt;7&lt;/section&gt;&lt;dates&gt;&lt;year&gt;2013&lt;/year&gt;&lt;/dates&gt;&lt;pub-location&gt;Amsterdam&lt;/pub-location&gt;&lt;publisher&gt;North-Holland&lt;/publisher&gt;&lt;urls&gt;&lt;/urls&gt;&lt;/record&gt;&lt;/Cite&gt;&lt;/EndNote&gt;</w:instrText>
      </w:r>
      <w:r>
        <w:rPr/>
      </w:r>
      <w:r>
        <w:rPr/>
        <w:fldChar w:fldCharType="separate"/>
      </w:r>
      <w:r>
        <w:rPr/>
        <w:t>(Roberts &amp; Whited, 2013)</w:t>
      </w:r>
      <w:r>
        <w:rPr/>
      </w:r>
      <w:r>
        <w:rPr/>
        <w:fldChar w:fldCharType="end"/>
      </w:r>
      <w:r>
        <w:rPr/>
        <w:t xml:space="preserve">.  </w:t>
      </w:r>
    </w:p>
    <w:p>
      <w:pPr>
        <w:pStyle w:val="Normal"/>
        <w:spacing w:lineRule="auto" w:line="360" w:before="0" w:after="160"/>
        <w:rPr>
          <w:rFonts w:eastAsia="Calibri"/>
        </w:rPr>
      </w:pPr>
      <w:r>
        <w:rPr>
          <w:rFonts w:eastAsia="Calibri"/>
        </w:rPr>
        <w:t xml:space="preserve">Thus, the fixed effects models seek the causes of changes within an entity. The fixed-effects model does this by </w:t>
      </w:r>
      <w:bookmarkStart w:id="1" w:name="_Hlk529660675"/>
      <w:r>
        <w:rPr>
          <w:rFonts w:eastAsia="Calibri"/>
        </w:rPr>
        <w:t>controlling for all time-invariant differences</w:t>
      </w:r>
      <w:bookmarkEnd w:id="1"/>
      <w:r>
        <w:rPr>
          <w:rFonts w:eastAsia="Calibri"/>
        </w:rPr>
        <w:t xml:space="preserve"> between the individuals, so the estimated coefficients of the fixed-effects models cannot be biased because of omitted time-invariant characteristics, such as culture </w:t>
      </w:r>
      <w:r>
        <w:fldChar w:fldCharType="begin"/>
      </w:r>
      <w:r>
        <w:rPr>
          <w:rFonts w:eastAsia="Calibri"/>
        </w:rPr>
        <w:instrText>ADDIN EN.CITE &lt;EndNote&gt;&lt;Cite&gt;&lt;Author&gt;Torres-Reyna&lt;/Author&gt;&lt;Year&gt;2007&lt;/Year&gt;&lt;RecNum&gt;0&lt;/RecNum&gt;&lt;IDText&gt;Panel Data Analysis: Fixed and Random Effects Using Stata (V. 4.2)&lt;/IDText&gt;&lt;DisplayText&gt;(Torres-Reyna, 2007)&lt;/DisplayText&gt;&lt;record&gt;&lt;ref-type name="Book"&gt;6&lt;/ref-type&gt;&lt;contributors&gt;&lt;authors&gt;&lt;author&gt;Torres-Reyna, O.&lt;/author&gt;&lt;/authors&gt;&lt;/contributors&gt;&lt;titles&gt;&lt;title&gt;Panel Data Analysis: Fixed and Random Effects Using Stata (V. 4.2)&lt;/title&gt;&lt;/titles&gt;&lt;dates&gt;&lt;year&gt;2007&lt;/year&gt;&lt;/dates&gt;&lt;pub-location&gt;Princeton&lt;/pub-location&gt;&lt;publisher&gt;Princeton University Press&lt;/publisher&gt;&lt;/record&gt;&lt;/Cite&gt;&lt;/EndNote&gt;</w:instrText>
      </w:r>
      <w:r>
        <w:rPr>
          <w:rFonts w:eastAsia="Calibri"/>
        </w:rPr>
      </w:r>
      <w:r>
        <w:rPr>
          <w:rFonts w:eastAsia="Calibri"/>
        </w:rPr>
        <w:fldChar w:fldCharType="separate"/>
      </w:r>
      <w:r>
        <w:rPr>
          <w:rFonts w:eastAsia="Calibri"/>
        </w:rPr>
        <w:t>(Torres-Reyna, 2007)</w:t>
      </w:r>
      <w:r>
        <w:rPr>
          <w:rFonts w:eastAsia="Calibri"/>
        </w:rPr>
      </w:r>
      <w:r>
        <w:rPr>
          <w:rFonts w:eastAsia="Calibri"/>
        </w:rPr>
        <w:fldChar w:fldCharType="end"/>
      </w:r>
      <w:r>
        <w:rPr>
          <w:rFonts w:eastAsia="Calibri"/>
        </w:rPr>
        <w:t>. To deal with the endogeneity inherent in the fixed effects model, researchers recommend two strategies. The first approach involves the inclusion of firm-specific intercepts by running the least squares dummy variable regression. The approach is not feasible with medium to large datasets. In the alternative within-estimator approach, researchers apply OLS to the deviations-from-the-within estimator, which eliminates the fixed effect that is prone to endogeneity. The within-estimator regression is as follows</w:t>
      </w:r>
      <w:r>
        <w:rPr>
          <w:rStyle w:val="FootnoteAnchor"/>
          <w:rFonts w:eastAsia="Calibri"/>
          <w:vertAlign w:val="superscript"/>
        </w:rPr>
        <w:footnoteReference w:id="2"/>
      </w:r>
      <w:r>
        <w:rPr>
          <w:rFonts w:eastAsia="Calibri"/>
        </w:rPr>
        <w:t>.</w:t>
      </w:r>
    </w:p>
    <w:p>
      <w:pPr>
        <w:pStyle w:val="Normal"/>
        <w:spacing w:lineRule="auto" w:line="360" w:before="0" w:after="160"/>
        <w:rPr/>
      </w:pPr>
      <w:r>
        <w:rPr/>
        <mc:AlternateContent>
          <mc:Choice Requires="wps">
            <w:drawing>
              <wp:inline distT="0" distB="101600" distL="0" distR="0">
                <wp:extent cx="1568450" cy="196850"/>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8"/>
                        <a:stretch/>
                      </pic:blipFill>
                      <pic:spPr>
                        <a:xfrm>
                          <a:off x="0" y="0"/>
                          <a:ext cx="1567800" cy="196200"/>
                        </a:xfrm>
                        <a:prstGeom prst="rect">
                          <a:avLst/>
                        </a:prstGeom>
                        <a:ln w="0">
                          <a:noFill/>
                        </a:ln>
                      </pic:spPr>
                    </pic:pic>
                  </a:graphicData>
                </a:graphic>
              </wp:inline>
            </w:drawing>
          </mc:Choice>
          <mc:Fallback>
            <w:pict>
              <v:shape id="shape_0" stroked="f" style="position:absolute;margin-left:0pt;margin-top:-23.5pt;width:123.4pt;height:15.4pt;mso-wrap-style:none;v-text-anchor:middle;mso-position-vertical:top" type="shapetype_75">
                <v:imagedata r:id="rId8" o:detectmouseclick="t"/>
                <v:stroke color="#3465a4" joinstyle="round" endcap="flat"/>
                <w10:wrap type="none"/>
              </v:shape>
            </w:pict>
          </mc:Fallback>
        </mc:AlternateContent>
      </w:r>
      <w:r>
        <w:rPr>
          <w:rFonts w:eastAsia="Calibri"/>
        </w:rPr>
        <w:t xml:space="preserve">                                                                                                      </w:t>
      </w:r>
      <w:r>
        <w:rPr>
          <w:rFonts w:eastAsia="Calibri"/>
        </w:rPr>
        <w:t>&lt;3&gt;</w:t>
      </w:r>
    </w:p>
    <w:p>
      <w:pPr>
        <w:pStyle w:val="Normal"/>
        <w:spacing w:lineRule="auto" w:line="360" w:before="0" w:after="160"/>
        <w:rPr>
          <w:rFonts w:eastAsia="Calibri"/>
        </w:rPr>
      </w:pPr>
      <w:r>
        <w:rPr>
          <w:rFonts w:eastAsia="Calibri"/>
        </w:rPr>
        <w:t xml:space="preserve">The model does not deal with the potential endogeneity between </w:t>
      </w:r>
      <w:r>
        <w:fldChar w:fldCharType="begin"/>
      </w:r>
      <w:r>
        <w:rPr>
          <w:rFonts w:eastAsia="Calibri"/>
        </w:rPr>
        <w:instrText>QUOTE</w:instrText>
      </w:r>
      <w:r>
        <w:rPr>
          <w:rFonts w:eastAsia="Calibri"/>
        </w:rPr>
      </w:r>
      <w:r>
        <w:rPr/>
        <mc:AlternateContent>
          <mc:Choice Requires="wps">
            <w:drawing>
              <wp:inline distT="0" distB="101600" distL="0" distR="0">
                <wp:extent cx="392430" cy="196850"/>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9"/>
                        <a:stretch/>
                      </pic:blipFill>
                      <pic:spPr>
                        <a:xfrm>
                          <a:off x="0" y="0"/>
                          <a:ext cx="391680" cy="196200"/>
                        </a:xfrm>
                        <a:prstGeom prst="rect">
                          <a:avLst/>
                        </a:prstGeom>
                        <a:ln w="0">
                          <a:noFill/>
                        </a:ln>
                      </pic:spPr>
                    </pic:pic>
                  </a:graphicData>
                </a:graphic>
              </wp:inline>
            </w:drawing>
          </mc:Choice>
          <mc:Fallback>
            <w:pict>
              <v:shape id="shape_0" stroked="f" style="position:absolute;margin-left:0pt;margin-top:-23.5pt;width:30.8pt;height:15.4pt;mso-wrap-style:none;v-text-anchor:middle;mso-position-vertical:top" type="shapetype_75">
                <v:imagedata r:id="rId9"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392430" cy="196850"/>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9"/>
                        <a:stretch/>
                      </pic:blipFill>
                      <pic:spPr>
                        <a:xfrm>
                          <a:off x="0" y="0"/>
                          <a:ext cx="391680" cy="196200"/>
                        </a:xfrm>
                        <a:prstGeom prst="rect">
                          <a:avLst/>
                        </a:prstGeom>
                        <a:ln w="0">
                          <a:noFill/>
                        </a:ln>
                      </pic:spPr>
                    </pic:pic>
                  </a:graphicData>
                </a:graphic>
              </wp:inline>
            </w:drawing>
          </mc:Choice>
          <mc:Fallback>
            <w:pict>
              <v:shape id="shape_0" stroked="f" style="position:absolute;margin-left:0pt;margin-top:-23.5pt;width:30.8pt;height:15.4pt;mso-wrap-style:none;v-text-anchor:middle;mso-position-vertical:top" type="shapetype_75">
                <v:imagedata r:id="rId9" o:detectmouseclick="t"/>
                <v:stroke color="#3465a4" joinstyle="round" endcap="flat"/>
                <w10:wrap type="none"/>
              </v:shape>
            </w:pict>
          </mc:Fallback>
        </mc:AlternateContent>
      </w:r>
      <w:r>
        <w:rPr/>
      </w:r>
      <w:r>
        <w:rPr/>
        <w:fldChar w:fldCharType="end"/>
      </w:r>
      <w:r>
        <w:rPr>
          <w:rFonts w:eastAsia="Calibri"/>
        </w:rPr>
        <w:t xml:space="preserve"> and </w:t>
      </w:r>
      <w:r>
        <w:fldChar w:fldCharType="begin"/>
      </w:r>
      <w:r>
        <w:rPr>
          <w:rFonts w:eastAsia="Calibri"/>
        </w:rPr>
        <w:instrText>QUOTE</w:instrText>
      </w:r>
      <w:r>
        <w:rPr>
          <w:rFonts w:eastAsia="Calibri"/>
        </w:rPr>
      </w:r>
      <w:r>
        <w:rPr/>
        <mc:AlternateContent>
          <mc:Choice Requires="wps">
            <w:drawing>
              <wp:inline distT="0" distB="101600" distL="0" distR="0">
                <wp:extent cx="392430" cy="196850"/>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10"/>
                        <a:stretch/>
                      </pic:blipFill>
                      <pic:spPr>
                        <a:xfrm>
                          <a:off x="0" y="0"/>
                          <a:ext cx="391680" cy="196200"/>
                        </a:xfrm>
                        <a:prstGeom prst="rect">
                          <a:avLst/>
                        </a:prstGeom>
                        <a:ln w="0">
                          <a:noFill/>
                        </a:ln>
                      </pic:spPr>
                    </pic:pic>
                  </a:graphicData>
                </a:graphic>
              </wp:inline>
            </w:drawing>
          </mc:Choice>
          <mc:Fallback>
            <w:pict>
              <v:shape id="shape_0" stroked="f" style="position:absolute;margin-left:0pt;margin-top:-23.5pt;width:30.8pt;height:15.4pt;mso-wrap-style:none;v-text-anchor:middle;mso-position-vertical:top" type="shapetype_75">
                <v:imagedata r:id="rId10" o:detectmouseclick="t"/>
                <v:stroke color="#3465a4" joinstyle="round" endcap="flat"/>
                <w10:wrap type="none"/>
              </v:shape>
            </w:pict>
          </mc:Fallback>
        </mc:AlternateContent>
      </w:r>
      <w:r>
        <w:rPr/>
        <w:fldChar w:fldCharType="separate"/>
      </w:r>
      <w:r>
        <w:rPr/>
      </w:r>
      <w:r>
        <w:rPr/>
        <mc:AlternateContent>
          <mc:Choice Requires="wps">
            <w:drawing>
              <wp:inline distT="0" distB="101600" distL="0" distR="0">
                <wp:extent cx="392430" cy="196850"/>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10"/>
                        <a:stretch/>
                      </pic:blipFill>
                      <pic:spPr>
                        <a:xfrm>
                          <a:off x="0" y="0"/>
                          <a:ext cx="391680" cy="196200"/>
                        </a:xfrm>
                        <a:prstGeom prst="rect">
                          <a:avLst/>
                        </a:prstGeom>
                        <a:ln w="0">
                          <a:noFill/>
                        </a:ln>
                      </pic:spPr>
                    </pic:pic>
                  </a:graphicData>
                </a:graphic>
              </wp:inline>
            </w:drawing>
          </mc:Choice>
          <mc:Fallback>
            <w:pict>
              <v:shape id="shape_0" stroked="f" style="position:absolute;margin-left:0pt;margin-top:-23.5pt;width:30.8pt;height:15.4pt;mso-wrap-style:none;v-text-anchor:middle;mso-position-vertical:top" type="shapetype_75">
                <v:imagedata r:id="rId10" o:detectmouseclick="t"/>
                <v:stroke color="#3465a4" joinstyle="round" endcap="flat"/>
                <w10:wrap type="none"/>
              </v:shape>
            </w:pict>
          </mc:Fallback>
        </mc:AlternateContent>
      </w:r>
      <w:r>
        <w:rPr/>
      </w:r>
      <w:r>
        <w:rPr/>
        <w:fldChar w:fldCharType="end"/>
      </w:r>
      <w:r>
        <w:rPr>
          <w:rFonts w:eastAsia="Calibri"/>
        </w:rPr>
        <w:t xml:space="preserve"> . Besides, differencing reduces the efficiency of the estimates if there is a correlation between the fixed effect (differenced out of the model) and the dependent variable </w:t>
      </w:r>
      <w:r>
        <w:fldChar w:fldCharType="begin"/>
      </w:r>
      <w:r>
        <w:rPr>
          <w:rFonts w:eastAsia="Calibri"/>
        </w:rPr>
        <w:instrText>ADDIN EN.CITE &lt;EndNote&gt;&lt;Cite&gt;&lt;Author&gt;Clark&lt;/Author&gt;&lt;Year&gt;2015&lt;/Year&gt;&lt;RecNum&gt;395&lt;/RecNum&gt;&lt;DisplayText&gt;(Clark &amp;amp; Linzer, 2015)&lt;/DisplayText&gt;&lt;record&gt;&lt;rec-number&gt;395&lt;/rec-number&gt;&lt;foreign-keys&gt;&lt;key app="EN" db-id="wds9909saar09se5x9txwfw7ax9wfe2ftrt2" timestamp="1520437571" guid="93b0820b-28e9-4611-a401-2c0e0531d0f8"&gt;395&lt;/key&gt;&lt;/foreign-keys&gt;&lt;ref-type name="Journal Article"&gt;17&lt;/ref-type&gt;&lt;contributors&gt;&lt;authors&gt;&lt;author&gt;Clark, Tom S.&lt;/author&gt;&lt;author&gt;Linzer, Drew A.&lt;/author&gt;&lt;/authors&gt;&lt;/contributors&gt;&lt;titles&gt;&lt;title&gt;Should I Use Fixed or Random Effects?&lt;/title&gt;&lt;secondary-title&gt;Political Science Research and Methods&lt;/secondary-title&gt;&lt;/titles&gt;&lt;pages&gt;399-408&lt;/pages&gt;&lt;volume&gt;3&lt;/volume&gt;&lt;number&gt;2&lt;/number&gt;&lt;edition&gt;2014/11/21&lt;/edition&gt;&lt;dates&gt;&lt;year&gt;2015&lt;/year&gt;&lt;/dates&gt;&lt;publisher&gt;Cambridge University Press&lt;/publisher&gt;&lt;isbn&gt;2049-8470&lt;/isbn&gt;&lt;urls&gt;&lt;related-urls&gt;&lt;url&gt;https://www.cambridge.org/core/article/should-i-use-fixed-or-random-effects/12DFCB222123587A37163F2226E85C67&lt;/url&gt;&lt;/related-urls&gt;&lt;/urls&gt;&lt;electronic-resource-num&gt;10.1017/psrm.2014.32&lt;/electronic-resource-num&gt;&lt;remote-database-name&gt;Cambridge Core&lt;/remote-database-name&gt;&lt;remote-database-provider&gt;Cambridge University Press&lt;/remote-database-provider&gt;&lt;/record&gt;&lt;/Cite&gt;&lt;/EndNote&gt;</w:instrText>
      </w:r>
      <w:r>
        <w:rPr>
          <w:rFonts w:eastAsia="Calibri"/>
        </w:rPr>
      </w:r>
      <w:r>
        <w:rPr>
          <w:rFonts w:eastAsia="Calibri"/>
        </w:rPr>
        <w:fldChar w:fldCharType="separate"/>
      </w:r>
      <w:r>
        <w:rPr>
          <w:rFonts w:eastAsia="Calibri"/>
        </w:rPr>
        <w:t>(Clark &amp; Linzer, 2015)</w:t>
      </w:r>
      <w:r>
        <w:rPr>
          <w:rFonts w:eastAsia="Calibri"/>
        </w:rPr>
      </w:r>
      <w:r>
        <w:rPr>
          <w:rFonts w:eastAsia="Calibri"/>
        </w:rPr>
        <w:fldChar w:fldCharType="end"/>
      </w:r>
      <w:r>
        <w:rPr>
          <w:rFonts w:eastAsia="Calibri"/>
        </w:rPr>
        <w:t xml:space="preserve">. Consequently, we run both fixed and random effects, even where the Hausmann test recommends one over the other. </w:t>
      </w:r>
    </w:p>
    <w:p>
      <w:pPr>
        <w:pStyle w:val="Heading3"/>
        <w:rPr>
          <w:lang w:val="en-US"/>
        </w:rPr>
      </w:pPr>
      <w:r>
        <w:rPr>
          <w:lang w:val="en-US"/>
        </w:rPr>
        <w:t>4.1</w:t>
        <w:tab/>
        <w:t xml:space="preserve">Variables Definitions and Data Sources </w:t>
      </w:r>
    </w:p>
    <w:p>
      <w:pPr>
        <w:pStyle w:val="Normal"/>
        <w:spacing w:lineRule="auto" w:line="360"/>
        <w:rPr>
          <w:lang w:val="en-US"/>
        </w:rPr>
      </w:pPr>
      <w:r>
        <w:rPr>
          <w:lang w:val="en-US"/>
        </w:rPr>
        <w:t>We source panel data from the Microfinance Information Exchange (MIX) pooled database, the Worldwide Governance Indicators (WGI), and World Development Indicators (WDI) from the World Bank databases. Table 1 below describes the variables.</w:t>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Caption1"/>
        <w:rPr>
          <w:i w:val="false"/>
          <w:i w:val="false"/>
          <w:sz w:val="24"/>
          <w:szCs w:val="24"/>
          <w:lang w:val="en-US"/>
        </w:rPr>
      </w:pPr>
      <w:r>
        <w:rPr>
          <w:i w:val="false"/>
          <w:sz w:val="24"/>
          <w:szCs w:val="24"/>
        </w:rPr>
        <w:t xml:space="preserve">Table </w:t>
      </w:r>
      <w:r>
        <w:rPr>
          <w:i w:val="false"/>
          <w:iCs w:val="false"/>
          <w:sz w:val="24"/>
          <w:szCs w:val="24"/>
        </w:rPr>
        <w:fldChar w:fldCharType="begin"/>
      </w:r>
      <w:r>
        <w:rPr>
          <w:sz w:val="24"/>
          <w:i w:val="false"/>
          <w:szCs w:val="24"/>
          <w:iCs w:val="false"/>
        </w:rPr>
        <w:instrText> SEQ Table \* ARABIC </w:instrText>
      </w:r>
      <w:r>
        <w:rPr>
          <w:sz w:val="24"/>
          <w:i w:val="false"/>
          <w:szCs w:val="24"/>
          <w:iCs w:val="false"/>
        </w:rPr>
        <w:fldChar w:fldCharType="separate"/>
      </w:r>
      <w:r>
        <w:rPr>
          <w:sz w:val="24"/>
          <w:i w:val="false"/>
          <w:szCs w:val="24"/>
          <w:iCs w:val="false"/>
        </w:rPr>
        <w:t>2</w:t>
      </w:r>
      <w:r>
        <w:rPr>
          <w:sz w:val="24"/>
          <w:i w:val="false"/>
          <w:szCs w:val="24"/>
          <w:iCs w:val="false"/>
        </w:rPr>
        <w:fldChar w:fldCharType="end"/>
      </w:r>
      <w:r>
        <w:rPr>
          <w:i w:val="false"/>
          <w:iCs w:val="false"/>
          <w:sz w:val="24"/>
          <w:szCs w:val="24"/>
          <w:lang w:val="en-US"/>
        </w:rPr>
        <w:t>:</w:t>
      </w:r>
      <w:r>
        <w:rPr>
          <w:i w:val="false"/>
          <w:sz w:val="24"/>
          <w:szCs w:val="24"/>
          <w:lang w:val="en-US"/>
        </w:rPr>
        <w:t xml:space="preserve"> Variables Definitions and Data Sources</w:t>
      </w:r>
    </w:p>
    <w:tbl>
      <w:tblPr>
        <w:tblStyle w:val="TableSimple1"/>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27"/>
      </w:tblGrid>
      <w:tr>
        <w:trPr>
          <w:trHeight w:val="290" w:hRule="atLeast"/>
          <w:cnfStyle w:val="100000000000" w:firstRow="1" w:lastRow="0" w:firstColumn="0" w:lastColumn="0" w:oddVBand="0" w:evenVBand="0" w:oddHBand="0" w:evenHBand="0" w:firstRowFirstColumn="0" w:firstRowLastColumn="0" w:lastRowFirstColumn="0" w:lastRowLastColumn="0"/>
        </w:trPr>
        <w:tc>
          <w:tcPr>
            <w:tcW w:w="9027" w:type="dxa"/>
            <w:tcBorders>
              <w:bottom w:val="single" w:sz="6" w:space="0" w:color="008000"/>
            </w:tcBorders>
            <w:shd w:color="auto" w:fill="auto" w:val="clear"/>
          </w:tcPr>
          <w:p>
            <w:pPr>
              <w:pStyle w:val="Normal"/>
              <w:widowControl/>
              <w:spacing w:lineRule="auto" w:line="360" w:before="0" w:after="160"/>
              <w:rPr>
                <w:b/>
                <w:b/>
                <w:i/>
                <w:i/>
                <w:szCs w:val="24"/>
              </w:rPr>
            </w:pPr>
            <w:r>
              <w:rPr>
                <w:rFonts w:eastAsia="Times New Roman" w:cs="Times New Roman"/>
                <w:b/>
                <w:bCs/>
                <w:kern w:val="0"/>
                <w:szCs w:val="24"/>
                <w:lang w:eastAsia="en-GB" w:bidi="ar-SA"/>
              </w:rPr>
              <w:t>Variable Description and Data Sources (All data from MIX unless stated otherwise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Debt to Equity Ratio</w:t>
            </w:r>
          </w:p>
          <w:p>
            <w:pPr>
              <w:pStyle w:val="Normal"/>
              <w:widowControl/>
              <w:spacing w:lineRule="auto" w:line="360" w:before="0" w:after="160"/>
              <w:rPr>
                <w:szCs w:val="24"/>
              </w:rPr>
            </w:pPr>
            <w:r>
              <w:rPr>
                <w:rFonts w:eastAsia="Times New Roman" w:cs="Times New Roman"/>
                <w:kern w:val="0"/>
                <w:szCs w:val="24"/>
                <w:lang w:eastAsia="en-GB" w:bidi="ar-SA"/>
              </w:rPr>
              <w:t>The ratio of total liabilities to equity, the capital contributed by shareholders. The ratio shows the way an MFI finances its portfolio and assets and the cushion to absorb losses after paying off all liabilities. Much of the extant research examines the debt-equity mix and its relationship with performance of MFIs.</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Deposits to Total Assets</w:t>
            </w:r>
          </w:p>
          <w:p>
            <w:pPr>
              <w:pStyle w:val="Normal"/>
              <w:widowControl/>
              <w:spacing w:lineRule="auto" w:line="360" w:before="0" w:after="160"/>
              <w:rPr>
                <w:szCs w:val="24"/>
              </w:rPr>
            </w:pPr>
            <w:r>
              <w:rPr>
                <w:rFonts w:eastAsia="Times New Roman" w:cs="Times New Roman"/>
                <w:kern w:val="0"/>
                <w:szCs w:val="24"/>
                <w:lang w:eastAsia="en-GB" w:bidi="ar-SA"/>
              </w:rPr>
              <w:t xml:space="preserve">The ratio of deposits to assets that aids in determining the extent to which MFIs use deposits to finance assets. NGOs transitioning to the commercial model can access deposits to fund their operations over and above donations and equity.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Capital Assets Ratio</w:t>
            </w:r>
          </w:p>
          <w:p>
            <w:pPr>
              <w:pStyle w:val="Normal"/>
              <w:widowControl/>
              <w:spacing w:lineRule="auto" w:line="360" w:before="0" w:after="160"/>
              <w:rPr>
                <w:szCs w:val="24"/>
              </w:rPr>
            </w:pPr>
            <w:r>
              <w:rPr>
                <w:rFonts w:eastAsia="Times New Roman" w:cs="Times New Roman"/>
                <w:kern w:val="0"/>
                <w:szCs w:val="24"/>
                <w:lang w:eastAsia="en-GB" w:bidi="ar-SA"/>
              </w:rPr>
              <w:t xml:space="preserve">Capital Assets Ratio is the ratio of total equity to total assets, the reciprocal of the debt to equity ratio above. Hence, it captures the ability to meet obligations and to absorb unexpected losses </w:t>
            </w:r>
            <w:r>
              <w:fldChar w:fldCharType="begin"/>
            </w:r>
            <w:r>
              <w:rPr>
                <w:kern w:val="0"/>
                <w:szCs w:val="24"/>
                <w:rFonts w:eastAsia="Times New Roman" w:cs="Times New Roman"/>
                <w:lang w:eastAsia="en-GB" w:bidi="ar-SA"/>
              </w:rPr>
              <w:instrText>ADDIN EN.CITE &lt;EndNote&gt;&lt;Cite&gt;&lt;Author&gt;Kimmel&lt;/Author&gt;&lt;Year&gt;2018&lt;/Year&gt;&lt;RecNum&gt;591&lt;/RecNum&gt;&lt;DisplayText&gt;(Kimmel, Weygandt, &amp;amp; Kieso, 2018)&lt;/DisplayText&gt;&lt;record&gt;&lt;rec-number&gt;591&lt;/rec-number&gt;&lt;foreign-keys&gt;&lt;key app="EN" db-id="wds9909saar09se5x9txwfw7ax9wfe2ftrt2" timestamp="1595883908"&gt;591&lt;/key&gt;&lt;/foreign-keys&gt;&lt;ref-type name="Book"&gt;6&lt;/ref-type&gt;&lt;contributors&gt;&lt;authors&gt;&lt;author&gt;Kimmel, Paul D&lt;/author&gt;&lt;author&gt;Weygandt, Jerry J&lt;/author&gt;&lt;author&gt;Kieso, Donald E&lt;/author&gt;&lt;/authors&gt;&lt;/contributors&gt;&lt;titles&gt;&lt;title&gt;Financial accounting: Tools for business decision making&lt;/title&gt;&lt;/titles&gt;&lt;dates&gt;&lt;year&gt;2018&lt;/year&gt;&lt;/dates&gt;&lt;publisher&gt;John Wiley &amp;amp; Sons&lt;/publisher&gt;&lt;isbn&gt;1119493633&lt;/isbn&gt;&lt;urls&gt;&lt;/urls&gt;&lt;/record&gt;&lt;/Cite&gt;&lt;/EndNote&gt;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(Kimmel, Weygandt, &amp; Kieso, 2018)</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Donations to Assets Ratio</w:t>
            </w:r>
          </w:p>
          <w:p>
            <w:pPr>
              <w:pStyle w:val="Normal"/>
              <w:widowControl/>
              <w:spacing w:lineRule="auto" w:line="360" w:before="0" w:after="160"/>
              <w:rPr>
                <w:szCs w:val="24"/>
              </w:rPr>
            </w:pPr>
            <w:r>
              <w:rPr>
                <w:rFonts w:eastAsia="Times New Roman" w:cs="Times New Roman"/>
                <w:kern w:val="0"/>
                <w:szCs w:val="24"/>
                <w:lang w:eastAsia="en-GB" w:bidi="ar-SA"/>
              </w:rPr>
              <w:t xml:space="preserve">The ratio of external donations to the total assets indicates the extent to which an MFI finances its operations using donations. The sustainability school of microfinance holds that donations allow MFIs to reach the poorest without focusing on profits </w:t>
            </w:r>
            <w:r>
              <w:fldChar w:fldCharType="begin"/>
            </w:r>
            <w:r>
              <w:rPr>
                <w:kern w:val="0"/>
                <w:szCs w:val="24"/>
                <w:rFonts w:eastAsia="Times New Roman" w:cs="Times New Roman"/>
                <w:lang w:eastAsia="en-GB" w:bidi="ar-SA"/>
              </w:rPr>
              <w:instrText>ADDIN EN.CITE &lt;EndNote&gt;&lt;Cite&gt;&lt;Author&gt;Kodongo&lt;/Author&gt;&lt;Year&gt;2013&lt;/Year&gt;&lt;RecNum&gt;155&lt;/RecNum&gt;&lt;DisplayText&gt;(Kodongo &amp;amp; Kendi, 2013)&lt;/DisplayText&gt;&lt;record&gt;&lt;rec-number&gt;155&lt;/rec-number&gt;&lt;foreign-keys&gt;&lt;key app="EN" db-id="wds9909saar09se5x9txwfw7ax9wfe2ftrt2" timestamp="1507733365" guid="4752037c-24b9-4c99-a2ad-6d6eabaa7aad"&gt;155&lt;/key&gt;&lt;/foreign-keys&gt;&lt;ref-type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(Kodongo &amp; Kendi, 2013)</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On the other hand, the financial sustainability school counters that donations are volatile and do not allow MFIs to expand their missions without external reliance </w:t>
            </w:r>
            <w:r>
              <w:fldChar w:fldCharType="begin"/>
            </w:r>
            <w:r>
              <w:rPr>
                <w:kern w:val="0"/>
                <w:szCs w:val="24"/>
                <w:rFonts w:eastAsia="Times New Roman" w:cs="Times New Roman"/>
                <w:lang w:eastAsia="en-GB" w:bidi="ar-SA"/>
              </w:rPr>
              <w:instrText>ADDIN EN.CITE &lt;EndNote&gt;&lt;Cite&gt;&lt;Author&gt;Mersland&lt;/Author&gt;&lt;Year&gt;2010&lt;/Year&gt;&lt;RecNum&gt;117&lt;/RecNum&gt;&lt;DisplayText&gt;(Mersland &amp;amp; Strøm, 2010)&lt;/DisplayText&gt;&lt;record&gt;&lt;rec-number&gt;117&lt;/rec-number&gt;&lt;foreign-keys&gt;&lt;key app="EN" db-id="wds9909saar09se5x9txwfw7ax9wfe2ftrt2" timestamp="1506511677" guid="1d8ae4ea-2a7a-444b-9901-ee7b4c316857"&gt;117&lt;/key&gt;&lt;/foreign-keys&gt;&lt;ref-type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(Mersland &amp; Strøm, 2010)</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Firm Size (Logarithm of Assets)</w:t>
            </w:r>
          </w:p>
          <w:p>
            <w:pPr>
              <w:pStyle w:val="Normal"/>
              <w:widowControl/>
              <w:spacing w:lineRule="auto" w:line="360" w:before="0" w:after="160"/>
              <w:rPr>
                <w:szCs w:val="24"/>
              </w:rPr>
            </w:pPr>
            <w:r>
              <w:rPr>
                <w:rFonts w:eastAsia="Times New Roman" w:cs="Times New Roman"/>
                <w:kern w:val="0"/>
                <w:szCs w:val="24"/>
                <w:lang w:eastAsia="en-GB" w:bidi="ar-SA"/>
              </w:rPr>
              <w:t>Assets are the sum of capital and liabilities- the total value of resources owned or controlled by the MFI resulting from past events and from which the MFI will derive future benefits. We expect firms with more assets to have a higher debt capacity and hence more debt to equity ratio and lower capital to equity ratio. Large firms draw their strength from holding diversified investments and hence higher capacity to absorb risk. Besides, they have easy access to debt markets</w:t>
            </w:r>
            <w:r>
              <w:fldChar w:fldCharType="begin"/>
            </w:r>
            <w:r>
              <w:rPr>
                <w:kern w:val="0"/>
                <w:szCs w:val="24"/>
                <w:rFonts w:eastAsia="Times New Roman" w:cs="Times New Roman"/>
                <w:lang w:eastAsia="en-GB" w:bidi="ar-SA"/>
              </w:rPr>
              <w:instrText>ADDIN EN.CITE &lt;EndNote&gt;&lt;Cite&gt;&lt;Author&gt;Kurshev&lt;/Author&gt;&lt;Year&gt;2015&lt;/Year&gt;&lt;RecNum&gt;596&lt;/RecNum&gt;&lt;DisplayText&gt;(Kurshev &amp;amp; Strebulaev, 2015)&lt;/DisplayText&gt;&lt;record&gt;&lt;rec-number&gt;596&lt;/rec-number&gt;&lt;foreign-keys&gt;&lt;key app="EN" db-id="wds9909saar09se5x9txwfw7ax9wfe2ftrt2" timestamp="1596701920"&gt;596&lt;/key&gt;&lt;/foreign-keys&gt;&lt;ref-type name="Journal Article"&gt;17&lt;/ref-type&gt;&lt;contributors&gt;&lt;authors&gt;&lt;author&gt;Kurshev, Alexander&lt;/author&gt;&lt;author&gt;Strebulaev, Ilya A&lt;/author&gt;&lt;/authors&gt;&lt;/contributors&gt;&lt;titles&gt;&lt;title&gt;Firm size and capital structure&lt;/title&gt;&lt;secondary-title&gt;Quarterly Journal of Finance&lt;/secondary-title&gt;&lt;/titles&gt;&lt;periodical&gt;&lt;full-title&gt;Quarterly Journal of Finance&lt;/full-title&gt;&lt;/periodical&gt;&lt;pages&gt;1550008&lt;/pages&gt;&lt;volume&gt;5&lt;/volume&gt;&lt;number&gt;03&lt;/number&gt;&lt;dates&gt;&lt;year&gt;2015&lt;/year&gt;&lt;/dates&gt;&lt;isbn&gt;2010-1392&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(Kurshev &amp; Strebulaev, 2015)</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Besides, these firms would attract more deposits, given the trust they inspire in depositors and marketing reach </w:t>
            </w:r>
            <w:r>
              <w:fldChar w:fldCharType="begin"/>
            </w:r>
            <w:r>
              <w:rPr>
                <w:kern w:val="0"/>
                <w:szCs w:val="24"/>
                <w:rFonts w:eastAsia="Times New Roman" w:cs="Times New Roman"/>
                <w:lang w:eastAsia="en-GB" w:bidi="ar-SA"/>
              </w:rPr>
              <w:instrText>ADDIN EN.CITE &lt;EndNote&gt;&lt;Cite&gt;&lt;Author&gt;Kimmel&lt;/Author&gt;&lt;Year&gt;2018&lt;/Year&gt;&lt;RecNum&gt;591&lt;/RecNum&gt;&lt;DisplayText&gt;(Kimmel et al., 2018)&lt;/DisplayText&gt;&lt;record&gt;&lt;rec-number&gt;591&lt;/rec-number&gt;&lt;foreign-keys&gt;&lt;key app="EN" db-id="wds9909saar09se5x9txwfw7ax9wfe2ftrt2" timestamp="1595883908"&gt;591&lt;/key&gt;&lt;/foreign-keys&gt;&lt;ref-type name="Book"&gt;6&lt;/ref-type&gt;&lt;contributors&gt;&lt;authors&gt;&lt;author&gt;Kimmel, Paul D&lt;/author&gt;&lt;author&gt;Weygandt, Jerry J&lt;/author&gt;&lt;author&gt;Kieso, Donald E&lt;/author&gt;&lt;/authors&gt;&lt;/contributors&gt;&lt;titles&gt;&lt;title&gt;Financial accounting: Tools for business decision making&lt;/title&gt;&lt;/titles&gt;&lt;dates&gt;&lt;year&gt;2018&lt;/year&gt;&lt;/dates&gt;&lt;publisher&gt;John Wiley &amp;amp; Sons&lt;/publisher&gt;&lt;isbn&gt;1119493633&lt;/isbn&gt;&lt;urls&gt;&lt;/urls&gt;&lt;/record&gt;&lt;/Cite&gt;&lt;/EndNote&gt;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(Kimmel et al., 2018)</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We hypothesise that donations vary positively with the size of MFI, as large, older firms have established a reputation with donors.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KKM - Institutional Quality (*)</w:t>
            </w:r>
          </w:p>
          <w:p>
            <w:pPr>
              <w:pStyle w:val="Normal"/>
              <w:widowControl/>
              <w:spacing w:lineRule="auto" w:line="360" w:before="0" w:after="160"/>
              <w:rPr>
                <w:szCs w:val="24"/>
              </w:rPr>
            </w:pPr>
            <w:r>
              <w:rPr>
                <w:rFonts w:eastAsia="Times New Roman" w:cs="Times New Roman"/>
                <w:kern w:val="0"/>
                <w:szCs w:val="24"/>
                <w:lang w:eastAsia="en-GB" w:bidi="ar-SA"/>
              </w:rPr>
              <w:t xml:space="preserve">We create the country level KKM index using the first principal component of the WGI available in the World Bank databases. The index captures the institutional quality in corruption control, government effectiveness, political stability, government effectiveness, the rule of law, and voice and accountability </w:t>
            </w:r>
            <w:r>
              <w:fldChar w:fldCharType="begin"/>
            </w:r>
            <w:r>
              <w:rPr>
                <w:kern w:val="0"/>
                <w:szCs w:val="24"/>
                <w:rFonts w:eastAsia="Times New Roman" w:cs="Times New Roman"/>
                <w:lang w:eastAsia="en-GB" w:bidi="ar-SA"/>
              </w:rPr>
              <w:instrText>ADDIN EN.CITE &lt;EndNote&gt;&lt;Cite&gt;&lt;Author&gt;Kaufmann&lt;/Author&gt;&lt;Year&gt;2011&lt;/Year&gt;&lt;RecNum&gt;536&lt;/RecNum&gt;&lt;DisplayText&gt;(Kaufmann, Kraay, &amp;amp; Mastruzzi, 2011)&lt;/DisplayText&gt;&lt;record&gt;&lt;rec-number&gt;536&lt;/rec-number&gt;&lt;foreign-keys&gt;&lt;key app="EN" db-id="wds9909saar09se5x9txwfw7ax9wfe2ftrt2" timestamp="1588153934"&gt;536&lt;/key&gt;&lt;/foreign-keys&gt;&lt;ref-type name="Journal Article"&gt;17&lt;/ref-type&gt;&lt;contributors&gt;&lt;authors&gt;&lt;author&gt;Kaufmann, Daniel&lt;/author&gt;&lt;author&gt;Kraay, Aart&lt;/author&gt;&lt;author&gt;Mastruzzi, Massimo&lt;/author&gt;&lt;/authors&gt;&lt;/contributors&gt;&lt;titles&gt;&lt;title&gt;The worldwide governance indicators: methodology and analytical issues&lt;/title&gt;&lt;secondary-title&gt;Hague Journal on the Rule of Law&lt;/secondary-title&gt;&lt;/titles&gt;&lt;periodical&gt;&lt;full-title&gt;Hague Journal on the Rule of Law&lt;/full-title&gt;&lt;/periodical&gt;&lt;pages&gt;220-246&lt;/pages&gt;&lt;volume&gt;3&lt;/volume&gt;&lt;number&gt;2&lt;/number&gt;&lt;dates&gt;&lt;year&gt;2011&lt;/year&gt;&lt;/dates&gt;&lt;isbn&gt;1876-4053&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(Kaufmann, Kraay, &amp; Mastruzzi, 2011)</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Firms in countries with better governance can quickly raise debt finance due to ease of contract enforcement — the result, a high debt-equity ratio, and a low capital asset ratio. Similarly, the level of deposits mobilisation may be higher in better-governed countries arising from consumer confidence in legislation relating to deposits protection </w:t>
            </w:r>
            <w:r>
              <w:fldChar w:fldCharType="begin"/>
            </w:r>
            <w:r>
              <w:rPr>
                <w:kern w:val="0"/>
                <w:szCs w:val="24"/>
                <w:rFonts w:eastAsia="Times New Roman" w:cs="Times New Roman"/>
                <w:lang w:eastAsia="en-GB" w:bidi="ar-SA"/>
              </w:rPr>
              <w:instrText>ADDIN EN.CITE &lt;EndNote&gt;&lt;Cite&gt;&lt;Author&gt;La Porta&lt;/Author&gt;&lt;Year&gt;2013&lt;/Year&gt;&lt;RecNum&gt;376&lt;/RecNum&gt;&lt;DisplayText&gt;(La Porta, Lopez-de-Silanes, &amp;amp; Shleifer, 2013; Allen et al., 2014)&lt;/DisplayText&gt;&lt;record&gt;&lt;rec-number&gt;376&lt;/rec-number&gt;&lt;foreign-keys&gt;&lt;key app="EN" db-id="wds9909saar09se5x9txwfw7ax9wfe2ftrt2" timestamp="1519742872" guid="9644f3bc-fcfe-4d76-9fc2-e71bbd4012e1"&gt;376&lt;/key&gt;&lt;/foreign-keys&gt;&lt;ref-type name="Book Section"&gt;5&lt;/ref-type&gt;&lt;contributors&gt;&lt;authors&gt;&lt;author&gt;La Porta, R.&lt;/author&gt;&lt;author&gt;Lopez-de-Silanes, F.&lt;/author&gt;&lt;author&gt;Shleifer, A. &lt;/author&gt;&lt;/authors&gt;&lt;secondary-authors&gt;&lt;author&gt;George M. Constantinides &lt;/author&gt;&lt;author&gt;Milton Harris&lt;/author&gt;&lt;author&gt;Rene M. Stulz &lt;/author&gt;&lt;/secondary-authors&gt;&lt;/contributors&gt;&lt;titles&gt;&lt;title&gt;Law and finance after a decade  of research&lt;/title&gt;&lt;secondary-title&gt;Handbook of the Economics of Finance &lt;/secondary-title&gt;&lt;/titles&gt;&lt;pages&gt;426-470&lt;/pages&gt;&lt;volume&gt;2A&lt;/volume&gt;&lt;dates&gt;&lt;year&gt;2013&lt;/year&gt;&lt;/dates&gt;&lt;pub-location&gt;Amsterdam&lt;/pub-location&gt;&lt;publisher&gt;North Holland&lt;/publisher&gt;&lt;urls&gt;&lt;/urls&gt;&lt;/record&gt;&lt;/Cite&gt;&lt;Cite&gt;&lt;Author&gt;Allen&lt;/Author&gt;&lt;Year&gt;2014&lt;/Year&gt;&lt;RecNum&gt;466&lt;/RecNum&gt;&lt;record&gt;&lt;rec-number&gt;466&lt;/rec-number&gt;&lt;foreign-keys&gt;&lt;key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(La Porta, Lopez-de-Silanes, &amp; Shleifer, 2013; Allen et al., 2014)</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Lastly, MFIs in countries with low KKM may have higher donations as donors opt to circumvent corrupt government channels.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Education (*)</w:t>
            </w:r>
          </w:p>
          <w:p>
            <w:pPr>
              <w:pStyle w:val="Normal"/>
              <w:widowControl/>
              <w:spacing w:lineRule="auto" w:line="360" w:before="0" w:after="160"/>
              <w:rPr>
                <w:szCs w:val="24"/>
              </w:rPr>
            </w:pPr>
            <w:r>
              <w:rPr>
                <w:rFonts w:eastAsia="Times New Roman" w:cs="Times New Roman"/>
                <w:kern w:val="0"/>
                <w:szCs w:val="24"/>
                <w:lang w:eastAsia="en-GB" w:bidi="ar-SA"/>
              </w:rPr>
              <w:t>Education is the ratio of gross secondary school enrolment to gross primary school enrolment that captures the extent of graduation from elementary to secondary education and the overall literacy rate. The data is available in the WDI. We hypothesise a positive relationship between education and debt/equity ratio, which implies a lower capital asset ratio. Similarly, education may enhance the capacity of the populace to use financial products like savings, and hence a higher deposit to assets ratio.  Also, education may directly or indirectly influence financial sector development, which eases the acquisition of capital in financial markets</w:t>
            </w:r>
            <w:r>
              <w:fldChar w:fldCharType="begin"/>
            </w:r>
            <w:r>
              <w:rPr>
                <w:kern w:val="0"/>
                <w:szCs w:val="24"/>
                <w:rFonts w:eastAsia="Times New Roman" w:cs="Times New Roman"/>
                <w:lang w:eastAsia="en-GB" w:bidi="ar-SA"/>
              </w:rPr>
              <w:instrText>ADDIN EN.CITE &lt;EndNote&gt;&lt;Cite&gt;&lt;Author&gt;Allen&lt;/Author&gt;&lt;Year&gt;2014&lt;/Year&gt;&lt;RecNum&gt;466&lt;/RecNum&gt;&lt;DisplayText&gt;(Allen et al.,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(Allen et al., 2014)</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Financial Development (Fdev) (*)</w:t>
            </w:r>
          </w:p>
          <w:p>
            <w:pPr>
              <w:pStyle w:val="Normal"/>
              <w:widowControl/>
              <w:spacing w:lineRule="auto" w:line="360" w:before="0" w:after="160"/>
              <w:rPr>
                <w:szCs w:val="24"/>
              </w:rPr>
            </w:pPr>
            <w:r>
              <w:rPr>
                <w:rFonts w:eastAsia="Times New Roman" w:cs="Times New Roman"/>
                <w:kern w:val="0"/>
                <w:szCs w:val="24"/>
                <w:lang w:eastAsia="en-GB" w:bidi="ar-SA"/>
              </w:rPr>
              <w:t xml:space="preserve">Fdev represents the financial resources provided to the private sector by domestic money banks as a share of GDP. Domestic money banks comprise commercial banks and other financial institutions that accept transferable deposits, such as demand deposits. The data is available in WDI. Financial sector development is central to the acquisition of both equity and debt financing. We hypothesise a high debt to equity ratio, and deposits to assets ratios in countries with more robust financial sectors as financial institutions tend to be highly leveraged.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Asset Structure/ Tangibility</w:t>
            </w:r>
          </w:p>
          <w:p>
            <w:pPr>
              <w:pStyle w:val="Normal"/>
              <w:widowControl/>
              <w:spacing w:lineRule="auto" w:line="360" w:before="0" w:after="160"/>
              <w:rPr>
                <w:szCs w:val="24"/>
              </w:rPr>
            </w:pPr>
            <w:r>
              <w:rPr>
                <w:rFonts w:eastAsia="Times New Roman" w:cs="Times New Roman"/>
                <w:kern w:val="0"/>
                <w:szCs w:val="24"/>
                <w:lang w:eastAsia="en-GB" w:bidi="ar-SA"/>
              </w:rPr>
              <w:t xml:space="preserve">Asset structure is the ratio of non-current assets to total assets of an MFI </w:t>
            </w:r>
            <w:r>
              <w:fldChar w:fldCharType="begin"/>
            </w:r>
            <w:r>
              <w:rPr>
                <w:kern w:val="0"/>
                <w:szCs w:val="24"/>
                <w:rFonts w:eastAsia="Times New Roman" w:cs="Times New Roman"/>
                <w:lang w:eastAsia="en-GB" w:bidi="ar-SA"/>
              </w:rPr>
              <w:instrText>ADDIN EN.CITE &lt;EndNote&gt;&lt;Cite&gt;&lt;Author&gt;Microfinance Information Exchange (MIX)&lt;/Author&gt;&lt;Year&gt;2019&lt;/Year&gt;&lt;RecNum&gt;486&lt;/RecNum&gt;&lt;DisplayText&gt;(Microfinance Information Exchange (MIX), 2019)&lt;/DisplayText&gt;&lt;record&gt;&lt;rec-number&gt;486&lt;/rec-number&gt;&lt;foreign-keys&gt;&lt;key app="EN" db-id="wds9909saar09se5x9txwfw7ax9wfe2ftrt2" timestamp="1569780389" guid="5f2e36d9-7b2b-473d-bb68-550982cb089b"&gt;486&lt;/key&gt;&lt;/foreign-keys&gt;&lt;ref-type name="Report"&gt;27&lt;/ref-type&gt;&lt;contributors&gt;&lt;authors&gt;&lt;author&gt;Microfinance Information Exchange (MIX), &lt;/author&gt;&lt;/authors&gt;&lt;/contributors&gt;&lt;titles&gt;&lt;title&gt;Global Outreach &amp;amp; Financial Performance Benchmark Report - 2017-2018&lt;/title&gt;&lt;/titles&gt;&lt;dates&gt;&lt;year&gt;2019&lt;/year&gt;&lt;/dates&gt;&lt;pub-location&gt;New York&lt;/pub-location&gt;&lt;publisher&gt;MIX&lt;/publisher&gt;&lt;urls&gt;&lt;related-urls&gt;&lt;url&gt;https://www.themix.org/sites/default/files/mix_market_global_outreach_financial_benchmark_report_2017-2018.pdf&lt;/url&gt;&lt;/related-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(Microfinance Information Exchange (MIX), 2019)</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The ratio indicates the extent of investment in physical infrastructure- a significant issue in banking for the poor due to the perceived lack of scale economies to warrant the erection, for instance, brick and mortar branches </w:t>
            </w:r>
            <w:r>
              <w:fldChar w:fldCharType="begin"/>
            </w:r>
            <w:r>
              <w:rPr>
                <w:kern w:val="0"/>
                <w:szCs w:val="24"/>
                <w:rFonts w:eastAsia="Times New Roman" w:cs="Times New Roman"/>
                <w:lang w:eastAsia="en-GB" w:bidi="ar-SA"/>
              </w:rPr>
              <w:instrText>ADDIN EN.CITE &lt;EndNote&gt;&lt;Cite&gt;&lt;Author&gt;Ledgerwood&lt;/Author&gt;&lt;Year&gt;1998&lt;/Year&gt;&lt;RecNum&gt;118&lt;/RecNum&gt;&lt;DisplayText&gt;(Ledgerwood, 1998)&lt;/DisplayText&gt;&lt;record&gt;&lt;rec-number&gt;118&lt;/rec-number&gt;&lt;foreign-keys&gt;&lt;key app="EN" db-id="wds9909saar09se5x9txwfw7ax9wfe2ftrt2" timestamp="1506515779" guid="1829cf26-e24a-4905-a152-5d451d4179d1"&gt;118&lt;/key&gt;&lt;/foreign-keys&gt;&lt;ref-type name="Book"&gt;6&lt;/ref-type&gt;&lt;contributors&gt;&lt;authors&gt;&lt;author&gt;Ledgerwood, Joanna&lt;/author&gt;&lt;/authors&gt;&lt;/contributors&gt;&lt;titles&gt;&lt;title&gt;Microfinance handbook: An institutional and financial perspective&lt;/title&gt;&lt;/titles&gt;&lt;dates&gt;&lt;year&gt;1998&lt;/year&gt;&lt;/dates&gt;&lt;pub-location&gt;New York&lt;/pub-location&gt;&lt;publisher&gt;World Bank Publications&lt;/publisher&gt;&lt;isbn&gt;0821384317&lt;/isbn&gt;&lt;urls&gt;&lt;/urls&gt;&lt;/record&gt;&lt;/Cite&gt;&lt;/EndNote&gt;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(Ledgerwood, 1998)</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MFIs with a more significant physical presence are likely to attract more deposits. They hence also have a higher capacity to borrow and service debt. Further, tangible assets serve to protect lenders from the moral hazard problem </w:t>
            </w:r>
            <w:r>
              <w:fldChar w:fldCharType="begin"/>
            </w:r>
            <w:r>
              <w:rPr>
                <w:kern w:val="0"/>
                <w:szCs w:val="24"/>
                <w:rFonts w:eastAsia="Times New Roman" w:cs="Times New Roman"/>
                <w:lang w:eastAsia="en-GB" w:bidi="ar-SA"/>
              </w:rPr>
              <w:instrText>ADDIN EN.CITE &lt;EndNote&gt;&lt;Cite&gt;&lt;Author&gt;Jensen&lt;/Author&gt;&lt;Year&gt;1976&lt;/Year&gt;&lt;RecNum&gt;166&lt;/RecNum&gt;&lt;DisplayText&gt;(Jensen &amp;amp; Meckling, 1976)&lt;/DisplayText&gt;&lt;record&gt;&lt;rec-number&gt;166&lt;/rec-number&gt;&lt;foreign-keys&gt;&lt;key app="EN" db-id="wds9909saar09se5x9txwfw7ax9wfe2ftrt2" timestamp="1509360922" guid="2f8dcba7-f953-48f5-8029-961755d5b371"&gt;166&lt;/key&gt;&lt;/foreign-keys&gt;&lt;ref-type name="Journal Article"&gt;17&lt;/ref-type&gt;&lt;contributors&gt;&lt;authors&gt;&lt;author&gt;Jensen, M.&lt;/author&gt;&lt;author&gt;Meckling, W.&lt;/author&gt;&lt;/authors&gt;&lt;/contributors&gt;&lt;titles&gt;&lt;title&gt;Theory of the firm: Managerial behavior, agency costs and ownership structure&lt;/title&gt;&lt;secondary-title&gt;Journal of Financial Economics&lt;/secondary-title&gt;&lt;/titles&gt;&lt;periodical&gt;&lt;full-title&gt;Journal of Financial Economics&lt;/full-title&gt;&lt;abbr-1&gt;J. Finan. Econ.&lt;/abbr-1&gt;&lt;abbr-2&gt;J Finan Econ&lt;/abbr-2&gt;&lt;/periodical&gt;&lt;pages&gt;305-360&lt;/pages&gt;&lt;volume&gt;3&lt;/volume&gt;&lt;number&gt;4&lt;/number&gt;&lt;dates&gt;&lt;year&gt;1976&lt;/year&gt;&lt;/dates&gt;&lt;urls&gt;&lt;/urls&gt;&lt;/record&gt;&lt;/Cite&gt;&lt;/EndNote&gt;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(Jensen &amp; Meckling, 1976)</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and hence a positive relationship between debt and asset tangibility </w:t>
            </w:r>
            <w:r>
              <w:fldChar w:fldCharType="begin"/>
            </w:r>
            <w:r>
              <w:rPr>
                <w:kern w:val="0"/>
                <w:szCs w:val="24"/>
                <w:rFonts w:eastAsia="Times New Roman" w:cs="Times New Roman"/>
                <w:lang w:eastAsia="en-GB" w:bidi="ar-SA"/>
              </w:rPr>
              <w:instrText>ADDIN EN.CITE &lt;EndNote&gt;&lt;Cite&gt;&lt;Author&gt;Titman&lt;/Author&gt;&lt;Year&gt;1988&lt;/Year&gt;&lt;RecNum&gt;595&lt;/RecNum&gt;&lt;DisplayText&gt;(Titman &amp;amp; Wessels, 1988; Kyereboah-Coleman, 2007a)&lt;/DisplayText&gt;&lt;record&gt;&lt;rec-number&gt;595&lt;/rec-number&gt;&lt;foreign-keys&gt;&lt;key app="EN" db-id="wds9909saar09se5x9txwfw7ax9wfe2ftrt2" timestamp="1596701018"&gt;595&lt;/key&gt;&lt;/foreign-keys&gt;&lt;ref-type name="Journal Article"&gt;17&lt;/ref-type&gt;&lt;contributors&gt;&lt;authors&gt;&lt;author&gt;Titman, Sheridan&lt;/author&gt;&lt;author&gt;Wessels, Roberto&lt;/author&gt;&lt;/authors&gt;&lt;/contributors&gt;&lt;titles&gt;&lt;title&gt;The determinants of capital structure choice&lt;/title&gt;&lt;secondary-title&gt;The Journal of finance&lt;/secondary-title&gt;&lt;/titles&gt;&lt;periodical&gt;&lt;full-title&gt;The Journal of finance&lt;/full-title&gt;&lt;/periodical&gt;&lt;pages&gt;1-19&lt;/pages&gt;&lt;volume&gt;43&lt;/volume&gt;&lt;number&gt;1&lt;/number&gt;&lt;dates&gt;&lt;year&gt;1988&lt;/year&gt;&lt;/dates&gt;&lt;isbn&gt;0022-1082&lt;/isbn&gt;&lt;urls&gt;&lt;/urls&gt;&lt;/record&gt;&lt;/Cite&gt;&lt;Cite&gt;&lt;Author&gt;Kyereboah-Coleman&lt;/Author&gt;&lt;Year&gt;2007&lt;/Year&gt;&lt;RecNum&gt;514&lt;/RecNum&gt;&lt;record&gt;&lt;rec-number&gt;514&lt;/rec-number&gt;&lt;foreign-keys&gt;&lt;key app="EN" db-id="wds9909saar09se5x9txwfw7ax9wfe2ftrt2" timestamp="1586531611"&gt;514&lt;/key&gt;&lt;/foreign-keys&gt;&lt;ref-type name="Journal Article"&gt;17&lt;/ref-type&gt;&lt;contributors&gt;&lt;authors&gt;&lt;author&gt;Kyereboah-Coleman, Anthony&lt;/author&gt;&lt;/authors&gt;&lt;/contributors&gt;&lt;titles&gt;&lt;title&gt;The determinants of capital structure of microfinance institutions in Ghana&lt;/title&gt;&lt;secondary-title&gt;South African Journal of Economic and Management Sciences&lt;/secondary-title&gt;&lt;/titles&gt;&lt;periodical&gt;&lt;full-title&gt;South African Journal of Economic and Management Sciences&lt;/full-title&gt;&lt;/periodical&gt;&lt;pages&gt;270-279&lt;/pages&gt;&lt;volume&gt;10&lt;/volume&gt;&lt;number&gt;2&lt;/number&gt;&lt;dates&gt;&lt;year&gt;2007&lt;/year&gt;&lt;/dates&gt;&lt;isbn&gt;1015-8812&lt;/isbn&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(Titman &amp; Wessels, 1988; Kyereboah-Coleman, 2007a)</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Profit margin</w:t>
            </w:r>
          </w:p>
          <w:p>
            <w:pPr>
              <w:pStyle w:val="Normal"/>
              <w:widowControl/>
              <w:spacing w:lineRule="auto" w:line="360" w:before="0" w:after="160"/>
              <w:rPr>
                <w:szCs w:val="24"/>
              </w:rPr>
            </w:pPr>
            <w:r>
              <w:rPr>
                <w:rFonts w:eastAsia="Times New Roman" w:cs="Times New Roman"/>
                <w:kern w:val="0"/>
                <w:szCs w:val="24"/>
                <w:lang w:eastAsia="en-GB" w:bidi="ar-SA"/>
              </w:rPr>
              <w:t xml:space="preserve">The profit margin is the net operating income divided by financial revenue. The ratio represents the ability of MFIs to generate income from the core mandate of offering financial services like lending, savings, insurance. Profitability may enhance the capacity of an MFI to secure debt leading to a higher debt to equity ratio and low capital to assets ratio. The opposite is the case when an MFI retains earnings and hence raises the level of equity. </w:t>
            </w:r>
          </w:p>
        </w:tc>
      </w:tr>
      <w:tr>
        <w:trPr>
          <w:trHeight w:val="290" w:hRule="atLeast"/>
        </w:trPr>
        <w:tc>
          <w:tcPr>
            <w:tcW w:w="9027" w:type="dxa"/>
            <w:tcBorders>
              <w:top w:val="nil"/>
              <w:bottom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Age</w:t>
            </w:r>
          </w:p>
          <w:p>
            <w:pPr>
              <w:pStyle w:val="Normal"/>
              <w:widowControl/>
              <w:spacing w:lineRule="auto" w:line="360" w:before="0" w:after="160"/>
              <w:rPr>
                <w:szCs w:val="24"/>
              </w:rPr>
            </w:pPr>
            <w:r>
              <w:rPr>
                <w:rFonts w:eastAsia="Times New Roman" w:cs="Times New Roman"/>
                <w:kern w:val="0"/>
                <w:szCs w:val="24"/>
                <w:lang w:eastAsia="en-GB" w:bidi="ar-SA"/>
              </w:rPr>
              <w:t xml:space="preserve">MIX classifies MFIs into three categories depending on the time elapsed since the MFI started operations- new (0-4 years), young (4-8 years) and mature (over eight years). The variable is hence a dummy. Older firms are likely better established, have a solid reputation and hence likely to attract more debt and deposits. The correspondence between age and debt is captured in the institutional life cycle view of </w:t>
            </w:r>
            <w:r>
              <w:fldChar w:fldCharType="begin"/>
            </w:r>
            <w:r>
              <w:rPr>
                <w:kern w:val="0"/>
                <w:szCs w:val="24"/>
                <w:rFonts w:eastAsia="Times New Roman" w:cs="Times New Roman"/>
                <w:lang w:eastAsia="en-GB" w:bidi="ar-SA"/>
              </w:rPr>
              <w:instrText>ADDIN EN.CITE &lt;EndNote&gt;&lt;Cite AuthorYear="1"&gt;&lt;Author&gt;Bayai&lt;/Author&gt;&lt;Year&gt;2016&lt;/Year&gt;&lt;RecNum&gt;319&lt;/RecNum&gt;&lt;DisplayText&gt;Bayai and Ikhide (2016)&lt;/DisplayText&gt;&lt;record&gt;&lt;rec-number&gt;319&lt;/rec-number&gt;&lt;foreign-keys&gt;&lt;key app="EN" db-id="wds9909saar09se5x9txwfw7ax9wfe2ftrt2" timestamp="1516045851" guid="ee8d8706-126d-4050-a2c3-6dce19924f49"&gt;319&lt;/key&gt;&lt;/foreign-keys&gt;&lt;ref-type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Pr>
                <w:rFonts w:eastAsia="Times New Roman" w:cs="Times New Roman"/>
                <w:kern w:val="0"/>
                <w:szCs w:val="24"/>
                <w:lang w:eastAsia="en-GB" w:bidi="ar-SA"/>
              </w:rPr>
            </w:r>
            <w:r>
              <w:rPr>
                <w:kern w:val="0"/>
                <w:szCs w:val="24"/>
                <w:rFonts w:eastAsia="Times New Roman" w:cs="Times New Roman"/>
                <w:lang w:eastAsia="en-GB" w:bidi="ar-SA"/>
              </w:rPr>
              <w:fldChar w:fldCharType="separate"/>
            </w:r>
            <w:r>
              <w:rPr>
                <w:rFonts w:eastAsia="Times New Roman" w:cs="Times New Roman"/>
                <w:kern w:val="0"/>
                <w:szCs w:val="24"/>
                <w:lang w:eastAsia="en-GB" w:bidi="ar-SA"/>
              </w:rPr>
              <w:t>Bayai and Ikhide (2016)</w:t>
            </w:r>
            <w:r>
              <w:rPr>
                <w:rFonts w:eastAsia="Times New Roman" w:cs="Times New Roman"/>
                <w:kern w:val="0"/>
                <w:szCs w:val="24"/>
                <w:lang w:eastAsia="en-GB" w:bidi="ar-SA"/>
              </w:rPr>
            </w:r>
            <w:r>
              <w:rPr>
                <w:kern w:val="0"/>
                <w:szCs w:val="24"/>
                <w:rFonts w:eastAsia="Times New Roman" w:cs="Times New Roman"/>
                <w:lang w:eastAsia="en-GB" w:bidi="ar-SA"/>
              </w:rPr>
              <w:fldChar w:fldCharType="end"/>
            </w:r>
            <w:r>
              <w:rPr>
                <w:rFonts w:eastAsia="Times New Roman" w:cs="Times New Roman"/>
                <w:kern w:val="0"/>
                <w:szCs w:val="24"/>
                <w:lang w:eastAsia="en-GB" w:bidi="ar-SA"/>
              </w:rPr>
              <w:t xml:space="preserve">. </w:t>
            </w:r>
          </w:p>
        </w:tc>
      </w:tr>
      <w:tr>
        <w:trPr>
          <w:trHeight w:val="290" w:hRule="atLeast"/>
        </w:trPr>
        <w:tc>
          <w:tcPr>
            <w:tcW w:w="9027" w:type="dxa"/>
            <w:tcBorders>
              <w:top w:val="nil"/>
            </w:tcBorders>
            <w:shd w:color="auto" w:fill="auto" w:val="clear"/>
          </w:tcPr>
          <w:p>
            <w:pPr>
              <w:pStyle w:val="Normal"/>
              <w:widowControl/>
              <w:spacing w:lineRule="auto" w:line="360" w:before="0" w:after="160"/>
              <w:rPr>
                <w:b/>
                <w:b/>
                <w:bCs/>
                <w:szCs w:val="24"/>
              </w:rPr>
            </w:pPr>
            <w:r>
              <w:rPr>
                <w:rFonts w:eastAsia="Times New Roman" w:cs="Times New Roman"/>
                <w:b/>
                <w:bCs/>
                <w:kern w:val="0"/>
                <w:szCs w:val="24"/>
                <w:lang w:eastAsia="en-GB" w:bidi="ar-SA"/>
              </w:rPr>
              <w:t>Current Legal Status</w:t>
            </w:r>
          </w:p>
          <w:p>
            <w:pPr>
              <w:pStyle w:val="Normal"/>
              <w:widowControl/>
              <w:spacing w:lineRule="auto" w:line="360" w:before="0" w:after="160"/>
              <w:rPr>
                <w:szCs w:val="24"/>
              </w:rPr>
            </w:pPr>
            <w:r>
              <w:rPr>
                <w:rFonts w:eastAsia="Times New Roman" w:cs="Times New Roman"/>
                <w:kern w:val="0"/>
                <w:szCs w:val="24"/>
                <w:lang w:eastAsia="en-GB" w:bidi="ar-SA"/>
              </w:rPr>
              <w:t xml:space="preserve">The legal form of registration of an MFI- Commercial Bank, Non-Bank Financial Institution (NBFI), Non-Governmental Organization (NGO), Credit Union/ Cooperative, or Rural Bank. The legal status may dictate the profit orientation and sources of capital for the MFIs. The legal status of an MFI may impact the financing structure in several ways. First, legal restrictions typically restrict NGOs from taking deposits which lowers both the debt-equity ratio and deposit to assets, hence raising the capital asset ratio. Also, NGOs may not venture into capital markets for funds given their mostly not-for-profit orientation. The opposite is the case for MFIs like commercial banks whose legal status allows for deposits. </w:t>
            </w:r>
          </w:p>
        </w:tc>
      </w:tr>
    </w:tbl>
    <w:p>
      <w:pPr>
        <w:pStyle w:val="Normal"/>
        <w:spacing w:lineRule="auto" w:line="360"/>
        <w:jc w:val="right"/>
        <w:rPr/>
      </w:pPr>
      <w:r>
        <w:rPr/>
        <w:t>Source: Adapted from MIX, WDI and WGI Databases</w:t>
      </w:r>
    </w:p>
    <w:p>
      <w:pPr>
        <w:pStyle w:val="Heading2"/>
        <w:numPr>
          <w:ilvl w:val="0"/>
          <w:numId w:val="3"/>
        </w:numPr>
        <w:spacing w:lineRule="auto" w:line="360"/>
        <w:rPr>
          <w:lang w:val="en-US"/>
        </w:rPr>
      </w:pPr>
      <w:r>
        <w:rPr>
          <w:lang w:val="en-US"/>
        </w:rPr>
        <w:t xml:space="preserve">Exploratory Data Analysis </w:t>
      </w:r>
    </w:p>
    <w:p>
      <w:pPr>
        <w:pStyle w:val="Normal"/>
        <w:widowControl w:val="false"/>
        <w:spacing w:lineRule="auto" w:line="360"/>
        <w:rPr>
          <w:bCs/>
          <w:szCs w:val="24"/>
          <w:lang w:val="en-US"/>
        </w:rPr>
      </w:pPr>
      <w:r>
        <w:rPr>
          <w:bCs/>
          <w:szCs w:val="24"/>
          <w:lang w:val="en-US"/>
        </w:rPr>
        <w:t>Figure 1 shows the correlation matrix and scatter plots for the numeric variables used in the model. Debt-to-equity ratio, deposits-to-assets ratio, capital-to-assets ratio, and donations to assets ratio (the first three entries of the rows and columns) are the dependent variables. The rest are the independent variables. The main diagonal shows the distribution of variables – in place of correlation of a variable with itself. The diagonal shows that most variables are highly skewed, except for assets. To normalise the data, we take the logarithms of these variables. The lower half of the Table shows the pairwise scatter plots between the variables, with the axis interpreted as we do correlation matrices described next.</w:t>
      </w:r>
    </w:p>
    <w:p>
      <w:pPr>
        <w:pStyle w:val="Normal"/>
        <w:widowControl w:val="false"/>
        <w:spacing w:lineRule="auto" w:line="360"/>
        <w:rPr>
          <w:bCs/>
          <w:szCs w:val="24"/>
          <w:lang w:val="en-US"/>
        </w:rPr>
      </w:pPr>
      <w:r>
        <w:rPr>
          <w:bCs/>
          <w:szCs w:val="24"/>
          <w:lang w:val="en-US"/>
        </w:rPr>
      </w:r>
    </w:p>
    <w:p>
      <w:pPr>
        <w:pStyle w:val="Normal"/>
        <w:widowControl w:val="false"/>
        <w:spacing w:lineRule="auto" w:line="360"/>
        <w:rPr>
          <w:bCs/>
          <w:szCs w:val="24"/>
          <w:lang w:val="en-US"/>
        </w:rPr>
      </w:pPr>
      <w:r>
        <w:rPr>
          <w:bCs/>
          <w:szCs w:val="24"/>
          <w:lang w:val="en-US"/>
        </w:rPr>
        <w:t xml:space="preserve">For dependent variables, there is a substantial negative and significant relationship between capital-asset-ratio (which captures the ratio of equity capital to total assets) and deposits-assets-ratio. The correlations indicate that for MFIs that garner deposits, the injection of equity capital is not a priority as these MFIs, like commercial banks, tend to leverage on deposits and just put in enough equity to meet regulatory requirements. Debt-equity ratio and deposit-asset ratio have a significant positive relationship, although the magnitude is not high. Capital-asset ratio and debt-equity ratio have no meaningful association. For the dependent variables, the interpretation is similar- with high correlations notable between education, KKM- institutional quality, and financial market development (FINDEV).  </w:t>
      </w:r>
    </w:p>
    <w:p>
      <w:pPr>
        <w:pStyle w:val="Normal"/>
        <w:widowControl w:val="false"/>
        <w:spacing w:lineRule="auto" w:line="360"/>
        <w:rPr>
          <w:bCs/>
          <w:szCs w:val="24"/>
          <w:lang w:val="en-US"/>
        </w:rPr>
      </w:pPr>
      <w:r>
        <w:rPr>
          <w:bCs/>
          <w:szCs w:val="24"/>
          <w:lang w:val="en-US"/>
        </w:rPr>
      </w:r>
    </w:p>
    <w:p>
      <w:pPr>
        <w:pStyle w:val="Normal"/>
        <w:spacing w:lineRule="auto" w:line="360"/>
        <w:rPr>
          <w:bCs/>
          <w:szCs w:val="24"/>
          <w:lang w:val="en-US"/>
        </w:rPr>
      </w:pPr>
      <w:r>
        <w:rPr>
          <w:bCs/>
          <w:szCs w:val="24"/>
          <w:lang w:val="en-US"/>
        </w:rPr>
        <w:t xml:space="preserve">Finally, as we expect, most independent variables have significant relationships with the dependent variables. Specifically, for the debt to equity ratio, only financial development is not significant. For deposits to assets ratio, all the independent variables are essential except the profit margin. The capital asset ratio lacks a substantial relationship with profit margin, asset structure, and financial development. While correlation does not imply causation, these results point to the need for further investigation that we do the section on regression models where we shall revisit this result to allow for an in-depth interrogation of the pertinent issues arising. Table 3 shows the summary statistics for the variables and, importantly, the results of stationarity tests. </w:t>
      </w:r>
    </w:p>
    <w:p>
      <w:pPr>
        <w:pStyle w:val="Normal"/>
        <w:spacing w:lineRule="auto" w:line="360"/>
        <w:rPr>
          <w:bCs/>
          <w:szCs w:val="24"/>
          <w:lang w:val="en-US"/>
        </w:rPr>
      </w:pPr>
      <w:r>
        <w:rPr>
          <w:bCs/>
          <w:szCs w:val="24"/>
          <w:lang w:val="en-US"/>
        </w:rPr>
      </w:r>
    </w:p>
    <w:p>
      <w:pPr>
        <w:pStyle w:val="Normal"/>
        <w:spacing w:lineRule="auto" w:line="360"/>
        <w:rPr/>
      </w:pPr>
      <w:r>
        <w:rPr/>
        <w:t xml:space="preserve">Figure 2 shows the distribution of the dependent variables across MFI legal status and MFI age. Note that rural banks and commercial banks have the highest median debt to equity and deposits to assets ratios, followed by credit unions, NBFI, and NGOs. The former could indicate ease in accessing capital markets. At the same time, deposits reflect the capacity of banks to mobilise deposits, and for rural banks their focus on niche rural markets with the unbanked populace that makes it easier to garner deposits.  Consequently, commercial banks and rural banks have the least capital assets ratio. The results show that commercial banks and rural banks do emphasise offering a broader range of financial services, specifically savings products in place of credit alone. For NGOs, Garnering deposits is a challenge due to legal hurdles. Coupled with the emphasis on the social aspect of reaching the poor, NGOs would have a more significant difficulty accessing commercial funding compared to other legal types of MFIs. </w:t>
      </w:r>
    </w:p>
    <w:p>
      <w:pPr>
        <w:pStyle w:val="Normal"/>
        <w:spacing w:lineRule="auto" w:line="360"/>
        <w:rPr/>
      </w:pPr>
      <w:r>
        <w:rPr/>
      </w:r>
    </w:p>
    <w:p>
      <w:pPr>
        <w:pStyle w:val="Normal"/>
        <w:spacing w:lineRule="auto" w:line="360"/>
        <w:rPr/>
      </w:pPr>
      <w:r>
        <w:rPr/>
        <w:t xml:space="preserve">The second row of Figure 2 shows the dependent variables disaggregated by age. It shows that older firms have marginally more debt, while newer firms receive relatively more deposits than the mature MFIs. The observation could be due to the correspondence between age and the size of MFIs which has a bearing on the ease of accessing capital markets. The access to capital markets is easier for older firms as they typically have more assets to pledge as collateral and hence better credit rating. Thus, older firms tend t have a lower capital to assets ratio as they use debt to finance their operations. </w:t>
      </w:r>
    </w:p>
    <w:p>
      <w:pPr>
        <w:pStyle w:val="Normal"/>
        <w:spacing w:lineRule="auto" w:line="360"/>
        <w:rPr/>
      </w:pPr>
      <w:r>
        <w:rPr/>
      </w:r>
    </w:p>
    <w:p>
      <w:pPr>
        <w:pStyle w:val="Normal"/>
        <w:spacing w:lineRule="auto" w:line="360"/>
        <w:rPr/>
      </w:pPr>
      <w:r>
        <w:rPr/>
        <w:t xml:space="preserve">Figure 3 shows the breakdown of donations to assets. As shown in table 1, NGOs have the highest median donations to assets ratios, followed by NBFIs, while commercial banks and rural banks come last. These results arise out of the mission of MFIs, where donors fund MFIs that explicitly put a focus on social aspects of reaching the unbanked- meaning that donors still do value the welfare approach to microfinance. Newer firms tend to have more deposits to assets. The result could be due to two reasons. First, newer firms have fewer assets meaning that the proportion of donations is higher than for the well-established MFIs; with larger MFIs receiving more donor funding in absolute terms. Alternatively, donors could be keener on supporting startups given that they have limited access to capital markets. </w:t>
      </w:r>
    </w:p>
    <w:p>
      <w:pPr>
        <w:pStyle w:val="Normal"/>
        <w:spacing w:lineRule="auto" w:line="360"/>
        <w:rPr/>
      </w:pPr>
      <w:r>
        <w:rPr/>
      </w:r>
    </w:p>
    <w:p>
      <w:pPr>
        <w:pStyle w:val="Normal"/>
        <w:spacing w:lineRule="auto" w:line="360"/>
        <w:rPr/>
      </w:pPr>
      <w:r>
        <w:rPr/>
        <w:t>Figure 4 shows the trends in the dependent variables over time, with leverage (debt-equity) trending gradually upwards while capital to assets ratio trends downwards. It shows that over this period, MFIs have steadily been increasing their debt capital as they grow and get to access capital markets.  Likewise, deposits have been trending upwards as more MFIs reach a higher number of consumers or as they mature and get the legal mandate to garner deposits. The trend for the donations to assets ratio is like literature in microfinance suggests; donors have gradually been lessening their relative contribution to MFIs. The implication here is that both donors and MFIs have gradually been embracing the financial sustainability approach to microfinance and require MFIs to be financially sustainable while fulfilling their social mandate.</w:t>
      </w:r>
    </w:p>
    <w:p>
      <w:pPr>
        <w:pStyle w:val="Normal"/>
        <w:spacing w:lineRule="auto" w:line="360"/>
        <w:rPr/>
      </w:pPr>
      <w:r>
        <w:rPr/>
      </w:r>
    </w:p>
    <w:p>
      <w:pPr>
        <w:sectPr>
          <w:footerReference w:type="default" r:id="rId11"/>
          <w:footnotePr>
            <w:numFmt w:val="decimal"/>
          </w:footnotePr>
          <w:type w:val="nextPage"/>
          <w:pgSz w:w="11906" w:h="16838"/>
          <w:pgMar w:left="1440" w:right="1440" w:header="0" w:top="1440" w:footer="720" w:bottom="1440" w:gutter="0"/>
          <w:pgNumType w:fmt="decimal"/>
          <w:formProt w:val="false"/>
          <w:textDirection w:val="lrTb"/>
          <w:docGrid w:type="default" w:linePitch="360" w:charSpace="0"/>
        </w:sectPr>
        <w:pStyle w:val="Normal"/>
        <w:spacing w:lineRule="auto" w:line="360"/>
        <w:rPr/>
      </w:pPr>
      <w:r>
        <w:rPr/>
      </w:r>
    </w:p>
    <w:p>
      <w:pPr>
        <w:pStyle w:val="Caption1"/>
        <w:rPr>
          <w:i w:val="false"/>
          <w:i w:val="false"/>
          <w:sz w:val="24"/>
          <w:szCs w:val="24"/>
          <w:lang w:val="en-US"/>
        </w:rPr>
      </w:pPr>
      <w:r>
        <w:rPr>
          <w:i w:val="false"/>
          <w:sz w:val="24"/>
          <w:szCs w:val="24"/>
        </w:rPr>
        <w:t xml:space="preserve">Figure </w:t>
      </w:r>
      <w:r>
        <w:rPr>
          <w:i w:val="false"/>
          <w:iCs w:val="false"/>
          <w:sz w:val="24"/>
          <w:szCs w:val="24"/>
        </w:rPr>
        <w:fldChar w:fldCharType="begin"/>
      </w:r>
      <w:r>
        <w:rPr>
          <w:sz w:val="24"/>
          <w:i w:val="false"/>
          <w:szCs w:val="24"/>
          <w:iCs w:val="false"/>
        </w:rPr>
        <w:instrText> SEQ Figure \* ARABIC </w:instrText>
      </w:r>
      <w:r>
        <w:rPr>
          <w:sz w:val="24"/>
          <w:i w:val="false"/>
          <w:szCs w:val="24"/>
          <w:iCs w:val="false"/>
        </w:rPr>
        <w:fldChar w:fldCharType="separate"/>
      </w:r>
      <w:r>
        <w:rPr>
          <w:sz w:val="24"/>
          <w:i w:val="false"/>
          <w:szCs w:val="24"/>
          <w:iCs w:val="false"/>
        </w:rPr>
        <w:t>1</w:t>
      </w:r>
      <w:r>
        <w:rPr>
          <w:sz w:val="24"/>
          <w:i w:val="false"/>
          <w:szCs w:val="24"/>
          <w:iCs w:val="false"/>
        </w:rPr>
        <w:fldChar w:fldCharType="end"/>
      </w:r>
      <w:r>
        <w:rPr>
          <w:i w:val="false"/>
          <w:iCs w:val="false"/>
          <w:sz w:val="24"/>
          <w:szCs w:val="24"/>
          <w:lang w:val="en-US"/>
        </w:rPr>
        <w:t>:</w:t>
      </w:r>
      <w:r>
        <w:rPr>
          <w:i w:val="false"/>
          <w:sz w:val="24"/>
          <w:szCs w:val="24"/>
          <w:lang w:val="en-US"/>
        </w:rPr>
        <w:t xml:space="preserve"> Scatter Plots and Correlation Matrix for Numeric Dependent and Independent Variables </w:t>
      </w:r>
    </w:p>
    <w:p>
      <w:pPr>
        <w:pStyle w:val="Normal"/>
        <w:rPr>
          <w:lang w:val="en-US" w:eastAsia="en-US"/>
        </w:rPr>
      </w:pPr>
      <w:r>
        <w:rPr/>
        <w:drawing>
          <wp:inline distT="0" distB="0" distL="0" distR="0">
            <wp:extent cx="9492615" cy="5311140"/>
            <wp:effectExtent l="0" t="0" r="0" b="0"/>
            <wp:docPr id="2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
                    <pic:cNvPicPr>
                      <a:picLocks noChangeAspect="1" noChangeArrowheads="1"/>
                    </pic:cNvPicPr>
                  </pic:nvPicPr>
                  <pic:blipFill>
                    <a:blip r:embed="rId12"/>
                    <a:stretch>
                      <a:fillRect/>
                    </a:stretch>
                  </pic:blipFill>
                  <pic:spPr bwMode="auto">
                    <a:xfrm>
                      <a:off x="0" y="0"/>
                      <a:ext cx="9492615" cy="5311140"/>
                    </a:xfrm>
                    <a:prstGeom prst="rect">
                      <a:avLst/>
                    </a:prstGeom>
                  </pic:spPr>
                </pic:pic>
              </a:graphicData>
            </a:graphic>
          </wp:inline>
        </w:drawing>
      </w:r>
    </w:p>
    <w:p>
      <w:pPr>
        <w:pStyle w:val="Caption1"/>
        <w:rPr>
          <w:b/>
          <w:b/>
          <w:i w:val="false"/>
          <w:i w:val="false"/>
          <w:sz w:val="24"/>
          <w:szCs w:val="24"/>
          <w:lang w:val="en-US"/>
        </w:rPr>
      </w:pPr>
      <w:r>
        <w:rPr>
          <w:b/>
          <w:i w:val="false"/>
          <w:sz w:val="24"/>
          <w:szCs w:val="24"/>
        </w:rPr>
        <w:t xml:space="preserve">Table </w:t>
      </w:r>
      <w:r>
        <w:rPr>
          <w:b/>
          <w:bCs/>
          <w:i w:val="false"/>
          <w:iCs w:val="false"/>
          <w:sz w:val="24"/>
          <w:szCs w:val="24"/>
        </w:rPr>
        <w:fldChar w:fldCharType="begin"/>
      </w:r>
      <w:r>
        <w:rPr>
          <w:sz w:val="24"/>
          <w:i w:val="false"/>
          <w:b/>
          <w:szCs w:val="24"/>
          <w:iCs w:val="false"/>
          <w:bCs/>
        </w:rPr>
        <w:instrText> SEQ Table \* ARABIC </w:instrText>
      </w:r>
      <w:r>
        <w:rPr>
          <w:sz w:val="24"/>
          <w:i w:val="false"/>
          <w:b/>
          <w:szCs w:val="24"/>
          <w:iCs w:val="false"/>
          <w:bCs/>
        </w:rPr>
        <w:fldChar w:fldCharType="separate"/>
      </w:r>
      <w:r>
        <w:rPr>
          <w:sz w:val="24"/>
          <w:i w:val="false"/>
          <w:b/>
          <w:szCs w:val="24"/>
          <w:iCs w:val="false"/>
          <w:bCs/>
        </w:rPr>
        <w:t>3</w:t>
      </w:r>
      <w:r>
        <w:rPr>
          <w:sz w:val="24"/>
          <w:i w:val="false"/>
          <w:b/>
          <w:szCs w:val="24"/>
          <w:iCs w:val="false"/>
          <w:bCs/>
        </w:rPr>
        <w:fldChar w:fldCharType="end"/>
      </w:r>
      <w:r>
        <w:rPr>
          <w:b/>
          <w:bCs/>
          <w:i w:val="false"/>
          <w:iCs w:val="false"/>
          <w:sz w:val="24"/>
          <w:szCs w:val="24"/>
          <w:lang w:val="en-US"/>
        </w:rPr>
        <w:t>:</w:t>
      </w:r>
      <w:r>
        <w:rPr>
          <w:b/>
          <w:i w:val="false"/>
          <w:sz w:val="24"/>
          <w:szCs w:val="24"/>
          <w:lang w:val="en-US"/>
        </w:rPr>
        <w:t xml:space="preserve"> Summary Statistics </w:t>
      </w:r>
    </w:p>
    <w:tbl>
      <w:tblPr>
        <w:tblW w:w="14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2"/>
        <w:gridCol w:w="465"/>
        <w:gridCol w:w="966"/>
        <w:gridCol w:w="964"/>
        <w:gridCol w:w="929"/>
        <w:gridCol w:w="1161"/>
        <w:gridCol w:w="1013"/>
        <w:gridCol w:w="1176"/>
        <w:gridCol w:w="1071"/>
        <w:gridCol w:w="3055"/>
      </w:tblGrid>
      <w:tr>
        <w:trPr>
          <w:trHeight w:val="290" w:hRule="atLeast"/>
        </w:trPr>
        <w:tc>
          <w:tcPr>
            <w:tcW w:w="3232"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Variable</w:t>
            </w:r>
          </w:p>
        </w:tc>
        <w:tc>
          <w:tcPr>
            <w:tcW w:w="465"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N</w:t>
            </w:r>
          </w:p>
        </w:tc>
        <w:tc>
          <w:tcPr>
            <w:tcW w:w="966"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Mean</w:t>
            </w:r>
          </w:p>
        </w:tc>
        <w:tc>
          <w:tcPr>
            <w:tcW w:w="964"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SD</w:t>
            </w:r>
          </w:p>
        </w:tc>
        <w:tc>
          <w:tcPr>
            <w:tcW w:w="929"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Min</w:t>
            </w:r>
          </w:p>
        </w:tc>
        <w:tc>
          <w:tcPr>
            <w:tcW w:w="1161"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Quartile1</w:t>
            </w:r>
          </w:p>
        </w:tc>
        <w:tc>
          <w:tcPr>
            <w:tcW w:w="1013"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Median</w:t>
            </w:r>
          </w:p>
        </w:tc>
        <w:tc>
          <w:tcPr>
            <w:tcW w:w="1176"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Quartile3</w:t>
            </w:r>
          </w:p>
        </w:tc>
        <w:tc>
          <w:tcPr>
            <w:tcW w:w="1071"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Max</w:t>
            </w:r>
          </w:p>
        </w:tc>
        <w:tc>
          <w:tcPr>
            <w:tcW w:w="3055" w:type="dxa"/>
            <w:tcBorders>
              <w:top w:val="single" w:sz="12" w:space="0" w:color="008000"/>
              <w:bottom w:val="single" w:sz="6" w:space="0" w:color="008000"/>
            </w:tcBorders>
            <w:shd w:color="auto" w:fill="auto" w:val="clear"/>
          </w:tcPr>
          <w:p>
            <w:pPr>
              <w:pStyle w:val="Normal"/>
              <w:widowControl w:val="false"/>
              <w:spacing w:lineRule="auto" w:line="240" w:before="0" w:after="160"/>
              <w:rPr>
                <w:b/>
                <w:b/>
                <w:bCs/>
                <w:sz w:val="18"/>
                <w:szCs w:val="18"/>
              </w:rPr>
            </w:pPr>
            <w:r>
              <w:rPr>
                <w:b/>
                <w:bCs/>
                <w:sz w:val="18"/>
                <w:szCs w:val="18"/>
              </w:rPr>
              <w:t>Fisher Type</w:t>
            </w:r>
          </w:p>
          <w:p>
            <w:pPr>
              <w:pStyle w:val="Normal"/>
              <w:widowControl w:val="false"/>
              <w:spacing w:lineRule="auto" w:line="240" w:before="0" w:after="160"/>
              <w:rPr>
                <w:b/>
                <w:b/>
                <w:bCs/>
                <w:sz w:val="18"/>
                <w:szCs w:val="18"/>
              </w:rPr>
            </w:pPr>
            <w:r>
              <w:rPr>
                <w:b/>
                <w:bCs/>
                <w:sz w:val="18"/>
                <w:szCs w:val="18"/>
              </w:rPr>
              <w:t>Stationarity</w:t>
            </w:r>
          </w:p>
        </w:tc>
      </w:tr>
      <w:tr>
        <w:trPr>
          <w:trHeight w:val="290" w:hRule="atLeast"/>
        </w:trPr>
        <w:tc>
          <w:tcPr>
            <w:tcW w:w="3232"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465"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966"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964"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929"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1161"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1013"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1176"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1071" w:type="dxa"/>
            <w:tcBorders/>
            <w:shd w:color="auto" w:fill="auto" w:val="clear"/>
          </w:tcPr>
          <w:p>
            <w:pPr>
              <w:pStyle w:val="Normal"/>
              <w:widowControl w:val="false"/>
              <w:spacing w:lineRule="auto" w:line="240" w:before="0" w:after="160"/>
              <w:rPr>
                <w:b/>
                <w:b/>
                <w:bCs/>
                <w:sz w:val="18"/>
                <w:szCs w:val="18"/>
              </w:rPr>
            </w:pPr>
            <w:r>
              <w:rPr>
                <w:b/>
                <w:bCs/>
                <w:sz w:val="18"/>
                <w:szCs w:val="18"/>
              </w:rPr>
            </w:r>
          </w:p>
        </w:tc>
        <w:tc>
          <w:tcPr>
            <w:tcW w:w="3055" w:type="dxa"/>
            <w:tcBorders/>
            <w:shd w:color="auto" w:fill="auto" w:val="clear"/>
          </w:tcPr>
          <w:p>
            <w:pPr>
              <w:pStyle w:val="Normal"/>
              <w:widowControl w:val="false"/>
              <w:spacing w:lineRule="auto" w:line="240" w:before="0" w:after="160"/>
              <w:rPr>
                <w:b/>
                <w:b/>
                <w:bCs/>
                <w:sz w:val="18"/>
                <w:szCs w:val="18"/>
              </w:rPr>
            </w:pPr>
            <w:r>
              <w:rPr>
                <w:b/>
                <w:bCs/>
                <w:sz w:val="18"/>
                <w:szCs w:val="18"/>
              </w:rPr>
              <w:t>Chi-Square</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Debt to Equity Ratio</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5.3626</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24.0072</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0.8400</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2.3900</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5.0100</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585.2400</w:t>
            </w:r>
          </w:p>
        </w:tc>
        <w:tc>
          <w:tcPr>
            <w:tcW w:w="3055" w:type="dxa"/>
            <w:tcBorders/>
            <w:shd w:color="auto" w:fill="auto" w:val="clear"/>
          </w:tcPr>
          <w:p>
            <w:pPr>
              <w:pStyle w:val="Normal"/>
              <w:widowControl w:val="false"/>
              <w:spacing w:lineRule="auto" w:line="240" w:before="0" w:after="160"/>
              <w:rPr>
                <w:sz w:val="18"/>
                <w:szCs w:val="18"/>
              </w:rPr>
            </w:pPr>
            <w:r>
              <w:rPr>
                <w:sz w:val="18"/>
                <w:szCs w:val="18"/>
              </w:rPr>
              <w:t>2431.177***</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Deposits to Total Assets</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0.4174</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0.2877</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0.1674</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0.4043</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0.6676</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1.0000</w:t>
            </w:r>
          </w:p>
        </w:tc>
        <w:tc>
          <w:tcPr>
            <w:tcW w:w="3055" w:type="dxa"/>
            <w:tcBorders/>
            <w:shd w:color="auto" w:fill="auto" w:val="clear"/>
          </w:tcPr>
          <w:p>
            <w:pPr>
              <w:pStyle w:val="Normal"/>
              <w:widowControl w:val="false"/>
              <w:spacing w:lineRule="auto" w:line="240" w:before="0" w:after="160"/>
              <w:rPr>
                <w:sz w:val="18"/>
                <w:szCs w:val="18"/>
              </w:rPr>
            </w:pPr>
            <w:r>
              <w:rPr>
                <w:sz w:val="18"/>
                <w:szCs w:val="18"/>
              </w:rPr>
              <w:t>1371.861***</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Capital Assets Ratio</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0.3425</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0.2553</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0.1511</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0.2731</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0.4877</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1.0000</w:t>
            </w:r>
          </w:p>
        </w:tc>
        <w:tc>
          <w:tcPr>
            <w:tcW w:w="3055" w:type="dxa"/>
            <w:tcBorders/>
            <w:shd w:color="auto" w:fill="auto" w:val="clear"/>
          </w:tcPr>
          <w:p>
            <w:pPr>
              <w:pStyle w:val="Normal"/>
              <w:widowControl w:val="false"/>
              <w:spacing w:lineRule="auto" w:line="240" w:before="0" w:after="160"/>
              <w:rPr>
                <w:sz w:val="18"/>
                <w:szCs w:val="18"/>
              </w:rPr>
            </w:pPr>
            <w:r>
              <w:rPr>
                <w:sz w:val="18"/>
                <w:szCs w:val="18"/>
              </w:rPr>
              <w:t>2513.218***</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Donations to Assets Ratio</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0.0455</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0.1287</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0.0012</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0.0245</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1.0000</w:t>
            </w:r>
          </w:p>
        </w:tc>
        <w:tc>
          <w:tcPr>
            <w:tcW w:w="3055" w:type="dxa"/>
            <w:tcBorders/>
            <w:shd w:color="auto" w:fill="auto" w:val="clear"/>
          </w:tcPr>
          <w:p>
            <w:pPr>
              <w:pStyle w:val="Normal"/>
              <w:widowControl w:val="false"/>
              <w:spacing w:lineRule="auto" w:line="240" w:before="0" w:after="160"/>
              <w:rPr>
                <w:sz w:val="18"/>
                <w:szCs w:val="18"/>
              </w:rPr>
            </w:pPr>
            <w:r>
              <w:rPr>
                <w:sz w:val="18"/>
                <w:szCs w:val="18"/>
              </w:rPr>
              <w:t>3382.8581***</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Assets (log)</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6.4911</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0.9911</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5.8654</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6.4543</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7.1366</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9.9795</w:t>
            </w:r>
          </w:p>
        </w:tc>
        <w:tc>
          <w:tcPr>
            <w:tcW w:w="3055" w:type="dxa"/>
            <w:tcBorders/>
            <w:shd w:color="auto" w:fill="auto" w:val="clear"/>
          </w:tcPr>
          <w:p>
            <w:pPr>
              <w:pStyle w:val="Normal"/>
              <w:widowControl w:val="false"/>
              <w:spacing w:lineRule="auto" w:line="240" w:before="0" w:after="160"/>
              <w:rPr>
                <w:sz w:val="18"/>
                <w:szCs w:val="18"/>
              </w:rPr>
            </w:pPr>
            <w:r>
              <w:rPr>
                <w:sz w:val="18"/>
                <w:szCs w:val="18"/>
              </w:rPr>
              <w:t>1844.833***</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KKM - Institutional Quality</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0.0055</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2.0647</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-5.2332</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-1.4000</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-0.2082</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1.7250</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7.3690</w:t>
            </w:r>
          </w:p>
        </w:tc>
        <w:tc>
          <w:tcPr>
            <w:tcW w:w="3055" w:type="dxa"/>
            <w:tcBorders/>
            <w:shd w:color="auto" w:fill="auto" w:val="clear"/>
          </w:tcPr>
          <w:p>
            <w:pPr>
              <w:pStyle w:val="Normal"/>
              <w:widowControl w:val="false"/>
              <w:spacing w:lineRule="auto" w:line="240" w:before="0" w:after="160"/>
              <w:rPr>
                <w:sz w:val="18"/>
                <w:szCs w:val="18"/>
              </w:rPr>
            </w:pPr>
            <w:r>
              <w:rPr>
                <w:sz w:val="18"/>
                <w:szCs w:val="18"/>
              </w:rPr>
              <w:t>1330.653***</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Education</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0.3858</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0.1468</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0.0748</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0.2709</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0.3832</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0.4866</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1.0496</w:t>
            </w:r>
          </w:p>
        </w:tc>
        <w:tc>
          <w:tcPr>
            <w:tcW w:w="3055" w:type="dxa"/>
            <w:tcBorders/>
            <w:shd w:color="auto" w:fill="auto" w:val="clear"/>
          </w:tcPr>
          <w:p>
            <w:pPr>
              <w:pStyle w:val="Normal"/>
              <w:widowControl w:val="false"/>
              <w:spacing w:lineRule="auto" w:line="240" w:before="0" w:after="160"/>
              <w:rPr>
                <w:sz w:val="18"/>
                <w:szCs w:val="18"/>
              </w:rPr>
            </w:pPr>
            <w:r>
              <w:rPr>
                <w:sz w:val="18"/>
                <w:szCs w:val="18"/>
              </w:rPr>
              <w:t>2033.682***</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Financial Development (fdev)**</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20.8410</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54.3120</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0.3473</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9.9378</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14.7702</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20.7617</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972.2050</w:t>
            </w:r>
          </w:p>
        </w:tc>
        <w:tc>
          <w:tcPr>
            <w:tcW w:w="3055" w:type="dxa"/>
            <w:tcBorders/>
            <w:shd w:color="auto" w:fill="auto" w:val="clear"/>
          </w:tcPr>
          <w:p>
            <w:pPr>
              <w:pStyle w:val="Normal"/>
              <w:widowControl w:val="false"/>
              <w:spacing w:lineRule="auto" w:line="240" w:before="0" w:after="160"/>
              <w:rPr>
                <w:sz w:val="18"/>
                <w:szCs w:val="18"/>
              </w:rPr>
            </w:pPr>
            <w:r>
              <w:rPr>
                <w:sz w:val="18"/>
                <w:szCs w:val="18"/>
              </w:rPr>
              <w:t>1801.3872***</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Asset Structure (log)**</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0.0782</w:t>
            </w:r>
          </w:p>
        </w:tc>
        <w:tc>
          <w:tcPr>
            <w:tcW w:w="964"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0.0740</w:t>
            </w:r>
          </w:p>
        </w:tc>
        <w:tc>
          <w:tcPr>
            <w:tcW w:w="929"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6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0.0316</w:t>
            </w:r>
          </w:p>
        </w:tc>
        <w:tc>
          <w:tcPr>
            <w:tcW w:w="1013"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0.0597</w:t>
            </w:r>
          </w:p>
        </w:tc>
        <w:tc>
          <w:tcPr>
            <w:tcW w:w="1176"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0.1003</w:t>
            </w:r>
          </w:p>
        </w:tc>
        <w:tc>
          <w:tcPr>
            <w:tcW w:w="1071" w:type="dxa"/>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0.8598</w:t>
            </w:r>
          </w:p>
        </w:tc>
        <w:tc>
          <w:tcPr>
            <w:tcW w:w="3055" w:type="dxa"/>
            <w:tcBorders/>
            <w:shd w:color="auto" w:fill="auto" w:val="clear"/>
          </w:tcPr>
          <w:p>
            <w:pPr>
              <w:pStyle w:val="Normal"/>
              <w:widowControl w:val="false"/>
              <w:spacing w:lineRule="auto" w:line="240" w:before="0" w:after="160"/>
              <w:rPr>
                <w:sz w:val="18"/>
                <w:szCs w:val="18"/>
              </w:rPr>
            </w:pPr>
            <w:r>
              <w:rPr>
                <w:sz w:val="18"/>
                <w:szCs w:val="18"/>
              </w:rPr>
              <w:t>1590.121***</w:t>
            </w:r>
          </w:p>
        </w:tc>
      </w:tr>
      <w:tr>
        <w:trPr>
          <w:trHeight w:val="290" w:hRule="atLeast"/>
        </w:trPr>
        <w:tc>
          <w:tcPr>
            <w:tcW w:w="3232" w:type="dxa"/>
            <w:tcBorders/>
            <w:shd w:color="auto" w:fill="auto" w:val="clear"/>
          </w:tcPr>
          <w:p>
            <w:pPr>
              <w:pStyle w:val="Normal"/>
              <w:widowControl w:val="false"/>
              <w:spacing w:lineRule="auto" w:line="240" w:before="0" w:after="160"/>
              <w:rPr>
                <w:sz w:val="18"/>
                <w:szCs w:val="18"/>
              </w:rPr>
            </w:pPr>
            <w:r>
              <w:rPr>
                <w:sz w:val="18"/>
                <w:szCs w:val="18"/>
              </w:rPr>
              <w:t>Profit margin</w:t>
            </w:r>
          </w:p>
        </w:tc>
        <w:tc>
          <w:tcPr>
            <w:tcW w:w="465" w:type="dxa"/>
            <w:tcBorders/>
            <w:shd w:color="auto" w:fill="auto" w:val="clear"/>
            <w:vAlign w:val="bottom"/>
          </w:tcPr>
          <w:p>
            <w:pPr>
              <w:pStyle w:val="Normal"/>
              <w:widowControl w:val="false"/>
              <w:spacing w:lineRule="auto" w:line="240" w:before="0" w:after="160"/>
              <w:rPr>
                <w:sz w:val="18"/>
                <w:szCs w:val="18"/>
              </w:rPr>
            </w:pPr>
            <w:r>
              <w:rPr>
                <w:sz w:val="18"/>
                <w:szCs w:val="18"/>
              </w:rPr>
            </w:r>
          </w:p>
        </w:tc>
        <w:tc>
          <w:tcPr>
            <w:tcW w:w="966"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-0.0008</w:t>
            </w:r>
          </w:p>
        </w:tc>
        <w:tc>
          <w:tcPr>
            <w:tcW w:w="964"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0.0534</w:t>
            </w:r>
          </w:p>
        </w:tc>
        <w:tc>
          <w:tcPr>
            <w:tcW w:w="929"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-3.5496</w:t>
            </w:r>
          </w:p>
        </w:tc>
        <w:tc>
          <w:tcPr>
            <w:tcW w:w="1161"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013"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176"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0.0000</w:t>
            </w:r>
          </w:p>
        </w:tc>
        <w:tc>
          <w:tcPr>
            <w:tcW w:w="1071" w:type="dxa"/>
            <w:tcBorders>
              <w:bottom w:val="single" w:sz="12" w:space="0" w:color="000000"/>
            </w:tcBorders>
            <w:shd w:color="000000" w:fill="FFFFFF" w:val="clear"/>
            <w:vAlign w:val="bottom"/>
          </w:tcPr>
          <w:p>
            <w:pPr>
              <w:pStyle w:val="Normal"/>
              <w:widowControl w:val="false"/>
              <w:spacing w:lineRule="auto" w:line="240" w:before="0" w:after="160"/>
              <w:rPr>
                <w:sz w:val="18"/>
                <w:szCs w:val="18"/>
              </w:rPr>
            </w:pPr>
            <w:r>
              <w:rPr>
                <w:rFonts w:cs="Calibri"/>
                <w:color w:val="000000"/>
                <w:sz w:val="18"/>
                <w:szCs w:val="18"/>
              </w:rPr>
              <w:t>0.0006</w:t>
            </w:r>
          </w:p>
        </w:tc>
        <w:tc>
          <w:tcPr>
            <w:tcW w:w="3055" w:type="dxa"/>
            <w:tcBorders/>
            <w:shd w:color="auto" w:fill="auto" w:val="clear"/>
          </w:tcPr>
          <w:p>
            <w:pPr>
              <w:pStyle w:val="Normal"/>
              <w:widowControl w:val="false"/>
              <w:spacing w:lineRule="auto" w:line="240" w:before="0" w:after="160"/>
              <w:rPr>
                <w:sz w:val="18"/>
                <w:szCs w:val="18"/>
              </w:rPr>
            </w:pPr>
            <w:r>
              <w:rPr>
                <w:sz w:val="18"/>
                <w:szCs w:val="18"/>
              </w:rPr>
              <w:t>3819.894***</w:t>
            </w:r>
          </w:p>
        </w:tc>
      </w:tr>
      <w:tr>
        <w:trPr>
          <w:trHeight w:val="290" w:hRule="atLeast"/>
        </w:trPr>
        <w:tc>
          <w:tcPr>
            <w:tcW w:w="14032" w:type="dxa"/>
            <w:gridSpan w:val="10"/>
            <w:tcBorders>
              <w:top w:val="single" w:sz="4" w:space="0" w:color="000000"/>
              <w:bottom w:val="single" w:sz="12" w:space="0" w:color="008000"/>
            </w:tcBorders>
            <w:shd w:color="auto" w:fill="auto" w:val="clear"/>
          </w:tcPr>
          <w:p>
            <w:pPr>
              <w:pStyle w:val="Normal"/>
              <w:widowControl w:val="false"/>
              <w:numPr>
                <w:ilvl w:val="0"/>
                <w:numId w:val="2"/>
              </w:numPr>
              <w:spacing w:lineRule="auto" w:line="240" w:before="0" w:after="160"/>
              <w:rPr>
                <w:sz w:val="18"/>
                <w:szCs w:val="18"/>
              </w:rPr>
            </w:pPr>
            <w:r>
              <w:rPr>
                <w:sz w:val="18"/>
                <w:szCs w:val="18"/>
              </w:rPr>
              <w:t xml:space="preserve">We ran the Fisher type unit root tests based on the augmented Dickey-Fuller tests of stationarity that can handle instances of missing data points in a panel setting. </w:t>
            </w:r>
            <w:r>
              <w:rPr>
                <w:b/>
                <w:sz w:val="18"/>
                <w:szCs w:val="18"/>
              </w:rPr>
              <w:t>Hypotheses: HO:</w:t>
            </w:r>
            <w:r>
              <w:rPr>
                <w:sz w:val="18"/>
                <w:szCs w:val="18"/>
              </w:rPr>
              <w:t xml:space="preserve"> All panels contain unit-roots         </w:t>
            </w:r>
            <w:r>
              <w:rPr>
                <w:b/>
                <w:sz w:val="18"/>
                <w:szCs w:val="18"/>
              </w:rPr>
              <w:t>H1:</w:t>
            </w:r>
            <w:r>
              <w:rPr>
                <w:sz w:val="18"/>
                <w:szCs w:val="18"/>
              </w:rPr>
              <w:t xml:space="preserve">  At least one panel is stationary.</w:t>
            </w:r>
          </w:p>
          <w:p>
            <w:pPr>
              <w:pStyle w:val="Normal"/>
              <w:widowControl w:val="false"/>
              <w:numPr>
                <w:ilvl w:val="0"/>
                <w:numId w:val="2"/>
              </w:numPr>
              <w:spacing w:lineRule="auto" w:line="240" w:before="0" w:after="160"/>
              <w:rPr>
                <w:sz w:val="18"/>
                <w:szCs w:val="18"/>
              </w:rPr>
            </w:pPr>
            <w:r>
              <w:rPr>
                <w:b/>
                <w:bCs/>
                <w:sz w:val="18"/>
                <w:szCs w:val="18"/>
              </w:rPr>
              <w:t>DUMMIES</w:t>
            </w:r>
            <w:r>
              <w:rPr>
                <w:sz w:val="18"/>
                <w:szCs w:val="18"/>
              </w:rPr>
              <w:t>: The other variables absent in the unit root test are dummies- current legal status, and age, region.</w:t>
            </w:r>
          </w:p>
          <w:p>
            <w:pPr>
              <w:pStyle w:val="Normal"/>
              <w:widowControl w:val="false"/>
              <w:numPr>
                <w:ilvl w:val="0"/>
                <w:numId w:val="1"/>
              </w:numPr>
              <w:spacing w:lineRule="auto" w:line="240" w:before="0" w:after="160"/>
              <w:rPr>
                <w:sz w:val="18"/>
                <w:szCs w:val="18"/>
              </w:rPr>
            </w:pPr>
            <w:r>
              <w:rPr>
                <w:sz w:val="18"/>
                <w:szCs w:val="18"/>
              </w:rPr>
              <w:t>Financial development (Fdev) became stationary after taking the first difference.</w:t>
            </w:r>
          </w:p>
          <w:p>
            <w:pPr>
              <w:pStyle w:val="Normal"/>
              <w:widowControl w:val="false"/>
              <w:numPr>
                <w:ilvl w:val="0"/>
                <w:numId w:val="2"/>
              </w:numPr>
              <w:spacing w:lineRule="auto" w:line="240" w:before="0" w:after="160"/>
              <w:rPr>
                <w:sz w:val="18"/>
                <w:szCs w:val="18"/>
              </w:rPr>
            </w:pPr>
            <w:r>
              <w:rPr>
                <w:sz w:val="18"/>
                <w:szCs w:val="18"/>
              </w:rPr>
              <w:t xml:space="preserve">We ran the Fisher type unit root tests based on the augmented Dickey-Fuller tests of stationarity that can handle instances of missing data points in a panel setting. </w:t>
            </w:r>
            <w:r>
              <w:rPr>
                <w:b/>
                <w:sz w:val="18"/>
                <w:szCs w:val="18"/>
              </w:rPr>
              <w:t>Hypotheses: HO:</w:t>
            </w:r>
            <w:r>
              <w:rPr>
                <w:sz w:val="18"/>
                <w:szCs w:val="18"/>
              </w:rPr>
              <w:t xml:space="preserve"> All panels contain unit-roots         </w:t>
            </w:r>
            <w:r>
              <w:rPr>
                <w:b/>
                <w:sz w:val="18"/>
                <w:szCs w:val="18"/>
              </w:rPr>
              <w:t>H1:</w:t>
            </w:r>
            <w:r>
              <w:rPr>
                <w:sz w:val="18"/>
                <w:szCs w:val="18"/>
              </w:rPr>
              <w:t xml:space="preserve">  At least one panel is stationary.</w:t>
            </w:r>
          </w:p>
          <w:p>
            <w:pPr>
              <w:pStyle w:val="Normal"/>
              <w:widowControl w:val="false"/>
              <w:numPr>
                <w:ilvl w:val="0"/>
                <w:numId w:val="2"/>
              </w:numPr>
              <w:spacing w:lineRule="auto" w:line="240" w:before="0" w:after="160"/>
              <w:rPr>
                <w:sz w:val="18"/>
                <w:szCs w:val="18"/>
              </w:rPr>
            </w:pPr>
            <w:r>
              <w:rPr>
                <w:b/>
                <w:bCs/>
                <w:sz w:val="18"/>
                <w:szCs w:val="18"/>
              </w:rPr>
              <w:t>DUMMIES</w:t>
            </w:r>
            <w:r>
              <w:rPr>
                <w:sz w:val="18"/>
                <w:szCs w:val="18"/>
              </w:rPr>
              <w:t>: The other variables absent in the unit root test are dummies- current legal status, and age, region.</w:t>
            </w:r>
          </w:p>
          <w:p>
            <w:pPr>
              <w:pStyle w:val="Normal"/>
              <w:widowControl w:val="false"/>
              <w:numPr>
                <w:ilvl w:val="0"/>
                <w:numId w:val="1"/>
              </w:numPr>
              <w:spacing w:lineRule="auto" w:line="240" w:before="0" w:after="160"/>
              <w:rPr>
                <w:sz w:val="18"/>
                <w:szCs w:val="18"/>
              </w:rPr>
            </w:pPr>
            <w:r>
              <w:rPr>
                <w:sz w:val="18"/>
                <w:szCs w:val="18"/>
              </w:rPr>
              <w:t>Financial development (Fdev) became stationary after taking the first difference.</w:t>
            </w:r>
          </w:p>
          <w:p>
            <w:pPr>
              <w:pStyle w:val="Normal"/>
              <w:widowControl w:val="false"/>
              <w:numPr>
                <w:ilvl w:val="0"/>
                <w:numId w:val="1"/>
              </w:numPr>
              <w:spacing w:lineRule="auto" w:line="240" w:before="0" w:after="160"/>
              <w:rPr>
                <w:sz w:val="18"/>
                <w:szCs w:val="18"/>
              </w:rPr>
            </w:pPr>
            <w:r>
              <w:rPr>
                <w:sz w:val="18"/>
                <w:szCs w:val="18"/>
              </w:rPr>
              <w:t xml:space="preserve">The log of assets was stationary. </w:t>
            </w:r>
          </w:p>
        </w:tc>
      </w:tr>
    </w:tbl>
    <w:p>
      <w:pPr>
        <w:sectPr>
          <w:footerReference w:type="default" r:id="rId13"/>
          <w:footnotePr>
            <w:numFmt w:val="decimal"/>
          </w:footnotePr>
          <w:type w:val="nextPage"/>
          <w:pgSz w:orient="landscape" w:w="16838" w:h="11906"/>
          <w:pgMar w:left="1440" w:right="1440" w:header="0" w:top="1440" w:footer="720" w:bottom="1440" w:gutter="0"/>
          <w:pgNumType w:fmt="decimal"/>
          <w:formProt w:val="false"/>
          <w:textDirection w:val="lrTb"/>
          <w:docGrid w:type="default" w:linePitch="360" w:charSpace="0"/>
        </w:sectPr>
        <w:pStyle w:val="Normal"/>
        <w:spacing w:lineRule="auto" w:line="360"/>
        <w:rPr>
          <w:bCs/>
          <w:szCs w:val="24"/>
          <w:lang w:val="en-US"/>
        </w:rPr>
      </w:pPr>
      <w:r>
        <w:rPr>
          <w:b/>
        </w:rPr>
        <w:t>Source:</w:t>
      </w:r>
      <w:r>
        <w:rPr/>
        <w:t xml:space="preserve"> Authors' constructions from MIX data</w:t>
      </w:r>
    </w:p>
    <w:p>
      <w:pPr>
        <w:pStyle w:val="Caption1"/>
        <w:rPr>
          <w:i w:val="false"/>
          <w:i w:val="false"/>
          <w:iCs w:val="false"/>
          <w:sz w:val="24"/>
          <w:szCs w:val="24"/>
        </w:rPr>
      </w:pPr>
      <w:r>
        <w:rPr>
          <w:i w:val="false"/>
          <w:iCs w:val="false"/>
          <w:sz w:val="24"/>
          <w:szCs w:val="24"/>
        </w:rPr>
        <w:t xml:space="preserve">Figure </w:t>
      </w:r>
      <w:r>
        <w:rPr>
          <w:i w:val="false"/>
          <w:iCs w:val="false"/>
          <w:sz w:val="24"/>
          <w:szCs w:val="24"/>
        </w:rPr>
        <w:fldChar w:fldCharType="begin"/>
      </w:r>
      <w:r>
        <w:rPr>
          <w:sz w:val="24"/>
          <w:i w:val="false"/>
          <w:szCs w:val="24"/>
          <w:iCs w:val="false"/>
        </w:rPr>
        <w:instrText> SEQ Figure \* ARABIC </w:instrText>
      </w:r>
      <w:r>
        <w:rPr>
          <w:sz w:val="24"/>
          <w:i w:val="false"/>
          <w:szCs w:val="24"/>
          <w:iCs w:val="false"/>
        </w:rPr>
        <w:fldChar w:fldCharType="separate"/>
      </w:r>
      <w:r>
        <w:rPr>
          <w:sz w:val="24"/>
          <w:i w:val="false"/>
          <w:szCs w:val="24"/>
          <w:iCs w:val="false"/>
        </w:rPr>
        <w:t>2</w:t>
      </w:r>
      <w:r>
        <w:rPr>
          <w:sz w:val="24"/>
          <w:i w:val="false"/>
          <w:szCs w:val="24"/>
          <w:iCs w:val="false"/>
        </w:rPr>
        <w:fldChar w:fldCharType="end"/>
      </w:r>
      <w:r>
        <w:rPr>
          <w:i w:val="false"/>
          <w:iCs w:val="false"/>
          <w:sz w:val="24"/>
          <w:szCs w:val="24"/>
        </w:rPr>
        <w:t>: Dependent Variables vs Age and Legal Status of MFIs in Africa</w:t>
      </w:r>
    </w:p>
    <w:p>
      <w:pPr>
        <w:sectPr>
          <w:footerReference w:type="default" r:id="rId15"/>
          <w:footnotePr>
            <w:numFmt w:val="decimal"/>
          </w:footnotePr>
          <w:type w:val="nextPage"/>
          <w:pgSz w:orient="landscape" w:w="16838" w:h="11906"/>
          <w:pgMar w:left="1440" w:right="1440" w:header="0" w:top="1440" w:footer="720" w:bottom="1440" w:gutter="0"/>
          <w:pgNumType w:fmt="decimal"/>
          <w:formProt w:val="false"/>
          <w:textDirection w:val="lrTb"/>
          <w:docGrid w:type="default" w:linePitch="360" w:charSpace="0"/>
        </w:sectPr>
        <w:pStyle w:val="Normal"/>
        <w:tabs>
          <w:tab w:val="clear" w:pos="720"/>
          <w:tab w:val="left" w:pos="1670" w:leader="none"/>
        </w:tabs>
        <w:spacing w:lineRule="auto" w:line="360"/>
        <w:jc w:val="right"/>
        <w:rPr>
          <w:bCs/>
          <w:szCs w:val="24"/>
          <w:lang w:val="en-US"/>
        </w:rPr>
      </w:pPr>
      <w:r>
        <w:rPr/>
        <w:drawing>
          <wp:inline distT="0" distB="0" distL="0" distR="0">
            <wp:extent cx="9231630" cy="5152390"/>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14"/>
                    <a:stretch>
                      <a:fillRect/>
                    </a:stretch>
                  </pic:blipFill>
                  <pic:spPr bwMode="auto">
                    <a:xfrm>
                      <a:off x="0" y="0"/>
                      <a:ext cx="9231630" cy="5152390"/>
                    </a:xfrm>
                    <a:prstGeom prst="rect">
                      <a:avLst/>
                    </a:prstGeom>
                  </pic:spPr>
                </pic:pic>
              </a:graphicData>
            </a:graphic>
          </wp:inline>
        </w:drawing>
      </w:r>
      <w:r>
        <w:rPr>
          <w:b/>
          <w:bCs/>
        </w:rPr>
        <w:tab/>
        <w:tab/>
        <w:t>Source</w:t>
      </w:r>
      <w:r>
        <w:rPr/>
        <w:t>: Authors' construction from the MIX Dataset</w:t>
        <w:tab/>
      </w:r>
    </w:p>
    <w:tbl>
      <w:tblPr>
        <w:tblStyle w:val="TableGrid"/>
        <w:tblpPr w:bottomFromText="0" w:horzAnchor="margin" w:leftFromText="180" w:rightFromText="180" w:tblpX="0" w:tblpY="1941" w:topFromText="0" w:vertAnchor="page"/>
        <w:tblW w:w="100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28"/>
        <w:gridCol w:w="5028"/>
      </w:tblGrid>
      <w:tr>
        <w:trPr>
          <w:trHeight w:val="4352" w:hRule="atLeast"/>
        </w:trPr>
        <w:tc>
          <w:tcPr>
            <w:tcW w:w="5028" w:type="dxa"/>
            <w:tcBorders>
              <w:top w:val="nil"/>
              <w:left w:val="nil"/>
              <w:bottom w:val="nil"/>
              <w:right w:val="nil"/>
            </w:tcBorders>
          </w:tcPr>
          <w:p>
            <w:pPr>
              <w:pStyle w:val="Normal"/>
              <w:widowControl/>
              <w:tabs>
                <w:tab w:val="clear" w:pos="720"/>
                <w:tab w:val="left" w:pos="3470" w:leader="none"/>
              </w:tabs>
              <w:spacing w:lineRule="auto" w:line="360" w:before="0" w:after="0"/>
              <w:rPr>
                <w:bCs/>
                <w:szCs w:val="24"/>
                <w:lang w:val="en-US"/>
              </w:rPr>
            </w:pPr>
            <w:r>
              <w:rPr>
                <w:rFonts w:eastAsia="Times New Roman" w:cs="Times New Roman"/>
                <w:kern w:val="0"/>
                <w:lang w:eastAsia="en-GB" w:bidi="ar-SA"/>
              </w:rPr>
              <w:drawing>
                <wp:inline distT="0" distB="0" distL="0" distR="0">
                  <wp:extent cx="3055620" cy="2400935"/>
                  <wp:effectExtent l="0" t="0" r="0" b="0"/>
                  <wp:docPr id="2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
                          <pic:cNvPicPr>
                            <a:picLocks noChangeAspect="1" noChangeArrowheads="1"/>
                          </pic:cNvPicPr>
                        </pic:nvPicPr>
                        <pic:blipFill>
                          <a:blip r:embed="rId16"/>
                          <a:stretch>
                            <a:fillRect/>
                          </a:stretch>
                        </pic:blipFill>
                        <pic:spPr bwMode="auto">
                          <a:xfrm>
                            <a:off x="0" y="0"/>
                            <a:ext cx="3055620" cy="2400935"/>
                          </a:xfrm>
                          <a:prstGeom prst="rect">
                            <a:avLst/>
                          </a:prstGeom>
                        </pic:spPr>
                      </pic:pic>
                    </a:graphicData>
                  </a:graphic>
                </wp:inline>
              </w:drawing>
            </w:r>
          </w:p>
        </w:tc>
        <w:tc>
          <w:tcPr>
            <w:tcW w:w="5028" w:type="dxa"/>
            <w:tcBorders>
              <w:top w:val="nil"/>
              <w:left w:val="nil"/>
              <w:bottom w:val="nil"/>
              <w:right w:val="nil"/>
            </w:tcBorders>
          </w:tcPr>
          <w:p>
            <w:pPr>
              <w:pStyle w:val="Normal"/>
              <w:widowControl/>
              <w:tabs>
                <w:tab w:val="clear" w:pos="720"/>
                <w:tab w:val="left" w:pos="3470" w:leader="none"/>
              </w:tabs>
              <w:spacing w:lineRule="auto" w:line="360" w:before="0" w:after="0"/>
              <w:rPr>
                <w:bCs/>
                <w:szCs w:val="24"/>
                <w:lang w:val="en-US"/>
              </w:rPr>
            </w:pPr>
            <w:r>
              <w:rPr>
                <w:rFonts w:eastAsia="Times New Roman" w:cs="Times New Roman"/>
                <w:kern w:val="0"/>
                <w:lang w:eastAsia="en-GB" w:bidi="ar-SA"/>
              </w:rPr>
              <w:drawing>
                <wp:inline distT="0" distB="0" distL="0" distR="0">
                  <wp:extent cx="3056255" cy="248094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17"/>
                          <a:stretch>
                            <a:fillRect/>
                          </a:stretch>
                        </pic:blipFill>
                        <pic:spPr bwMode="auto">
                          <a:xfrm>
                            <a:off x="0" y="0"/>
                            <a:ext cx="3056255" cy="2480945"/>
                          </a:xfrm>
                          <a:prstGeom prst="rect">
                            <a:avLst/>
                          </a:prstGeom>
                        </pic:spPr>
                      </pic:pic>
                    </a:graphicData>
                  </a:graphic>
                </wp:inline>
              </w:drawing>
            </w:r>
          </w:p>
        </w:tc>
      </w:tr>
    </w:tbl>
    <w:p>
      <w:pPr>
        <w:pStyle w:val="Caption1"/>
        <w:rPr>
          <w:i w:val="false"/>
          <w:i w:val="false"/>
          <w:iCs w:val="false"/>
          <w:sz w:val="24"/>
          <w:szCs w:val="24"/>
        </w:rPr>
      </w:pPr>
      <w:r>
        <w:rPr>
          <w:i w:val="false"/>
          <w:iCs w:val="false"/>
          <w:sz w:val="24"/>
          <w:szCs w:val="24"/>
        </w:rPr>
        <w:t xml:space="preserve">Figure </w:t>
      </w:r>
      <w:r>
        <w:rPr>
          <w:i w:val="false"/>
          <w:iCs w:val="false"/>
          <w:sz w:val="24"/>
          <w:szCs w:val="24"/>
        </w:rPr>
        <w:fldChar w:fldCharType="begin"/>
      </w:r>
      <w:r>
        <w:rPr>
          <w:sz w:val="24"/>
          <w:i w:val="false"/>
          <w:szCs w:val="24"/>
          <w:iCs w:val="false"/>
        </w:rPr>
        <w:instrText> SEQ Figure \* ARABIC </w:instrText>
      </w:r>
      <w:r>
        <w:rPr>
          <w:sz w:val="24"/>
          <w:i w:val="false"/>
          <w:szCs w:val="24"/>
          <w:iCs w:val="false"/>
        </w:rPr>
        <w:fldChar w:fldCharType="separate"/>
      </w:r>
      <w:r>
        <w:rPr>
          <w:sz w:val="24"/>
          <w:i w:val="false"/>
          <w:szCs w:val="24"/>
          <w:iCs w:val="false"/>
        </w:rPr>
        <w:t>3</w:t>
      </w:r>
      <w:r>
        <w:rPr>
          <w:sz w:val="24"/>
          <w:i w:val="false"/>
          <w:szCs w:val="24"/>
          <w:iCs w:val="false"/>
        </w:rPr>
        <w:fldChar w:fldCharType="end"/>
      </w:r>
      <w:r>
        <w:rPr>
          <w:i w:val="false"/>
          <w:iCs w:val="false"/>
          <w:sz w:val="24"/>
          <w:szCs w:val="24"/>
        </w:rPr>
        <w:t>: Donations to Assets Ratio by MFI Legal Status and Age</w:t>
      </w:r>
    </w:p>
    <w:p>
      <w:pPr>
        <w:pStyle w:val="Normal"/>
        <w:rPr>
          <w:bCs/>
          <w:szCs w:val="24"/>
          <w:lang w:val="en-US"/>
        </w:rPr>
      </w:pPr>
      <w:r>
        <w:rPr/>
      </w:r>
    </w:p>
    <w:p>
      <w:pPr>
        <w:pStyle w:val="Normal"/>
        <w:rPr>
          <w:bCs/>
          <w:szCs w:val="24"/>
          <w:lang w:val="en-US"/>
        </w:rPr>
      </w:pPr>
      <w:r>
        <w:rPr/>
      </w:r>
    </w:p>
    <w:p>
      <w:pPr>
        <w:sectPr>
          <w:footerReference w:type="default" r:id="rId18"/>
          <w:footnotePr>
            <w:numFmt w:val="decimal"/>
          </w:footnotePr>
          <w:type w:val="nextPage"/>
          <w:pgSz w:w="11906" w:h="16838"/>
          <w:pgMar w:left="1440" w:right="1440" w:header="0" w:top="1440" w:footer="720" w:bottom="1440" w:gutter="0"/>
          <w:pgNumType w:fmt="decimal"/>
          <w:formProt w:val="false"/>
          <w:textDirection w:val="lrTb"/>
          <w:docGrid w:type="default" w:linePitch="360" w:charSpace="0"/>
        </w:sectPr>
        <w:pStyle w:val="Normal"/>
        <w:spacing w:lineRule="auto" w:line="360"/>
        <w:rPr>
          <w:bCs/>
          <w:szCs w:val="24"/>
          <w:lang w:val="en-US"/>
        </w:rPr>
      </w:pPr>
      <w:r>
        <w:rPr/>
        <w:t xml:space="preserve">   </w:t>
      </w:r>
    </w:p>
    <w:tbl>
      <w:tblPr>
        <w:tblpPr w:bottomFromText="0" w:horzAnchor="margin" w:leftFromText="180" w:rightFromText="180" w:tblpX="0" w:tblpY="670" w:topFromText="0" w:vertAnchor="margi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241"/>
        <w:gridCol w:w="6718"/>
      </w:tblGrid>
      <w:tr>
        <w:trPr>
          <w:trHeight w:val="4116" w:hRule="atLeast"/>
        </w:trPr>
        <w:tc>
          <w:tcPr>
            <w:tcW w:w="6241" w:type="dxa"/>
            <w:tcBorders/>
            <w:shd w:color="auto" w:fill="auto" w:val="clear"/>
          </w:tcPr>
          <w:p>
            <w:pPr>
              <w:pStyle w:val="Heading3"/>
              <w:widowControl w:val="false"/>
              <w:spacing w:lineRule="auto" w:line="360" w:before="240" w:after="60"/>
              <w:jc w:val="left"/>
              <w:rPr>
                <w:bCs/>
                <w:szCs w:val="24"/>
                <w:lang w:val="en-US"/>
              </w:rPr>
            </w:pPr>
            <w:r>
              <w:rPr/>
              <w:drawing>
                <wp:inline distT="0" distB="0" distL="0" distR="0">
                  <wp:extent cx="3466465" cy="2286000"/>
                  <wp:effectExtent l="0" t="0" r="0" b="0"/>
                  <wp:docPr id="2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
                          <pic:cNvPicPr>
                            <a:picLocks noChangeAspect="1" noChangeArrowheads="1"/>
                          </pic:cNvPicPr>
                        </pic:nvPicPr>
                        <pic:blipFill>
                          <a:blip r:embed="rId19"/>
                          <a:stretch>
                            <a:fillRect/>
                          </a:stretch>
                        </pic:blipFill>
                        <pic:spPr bwMode="auto">
                          <a:xfrm>
                            <a:off x="0" y="0"/>
                            <a:ext cx="3466465" cy="2286000"/>
                          </a:xfrm>
                          <a:prstGeom prst="rect">
                            <a:avLst/>
                          </a:prstGeom>
                        </pic:spPr>
                      </pic:pic>
                    </a:graphicData>
                  </a:graphic>
                </wp:inline>
              </w:drawing>
            </w:r>
          </w:p>
        </w:tc>
        <w:tc>
          <w:tcPr>
            <w:tcW w:w="6718" w:type="dxa"/>
            <w:tcBorders/>
            <w:shd w:color="auto" w:fill="auto" w:val="clear"/>
          </w:tcPr>
          <w:p>
            <w:pPr>
              <w:pStyle w:val="Heading3"/>
              <w:widowControl w:val="false"/>
              <w:spacing w:lineRule="auto" w:line="360" w:before="240" w:after="60"/>
              <w:jc w:val="left"/>
              <w:rPr>
                <w:bCs/>
                <w:szCs w:val="24"/>
                <w:lang w:val="en-US"/>
              </w:rPr>
            </w:pPr>
            <w:r>
              <w:rPr/>
              <w:drawing>
                <wp:inline distT="0" distB="0" distL="0" distR="0">
                  <wp:extent cx="4126230" cy="2286000"/>
                  <wp:effectExtent l="0" t="0" r="0" b="0"/>
                  <wp:docPr id="2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
                          <pic:cNvPicPr>
                            <a:picLocks noChangeAspect="1" noChangeArrowheads="1"/>
                          </pic:cNvPicPr>
                        </pic:nvPicPr>
                        <pic:blipFill>
                          <a:blip r:embed="rId20"/>
                          <a:stretch>
                            <a:fillRect/>
                          </a:stretch>
                        </pic:blipFill>
                        <pic:spPr bwMode="auto">
                          <a:xfrm>
                            <a:off x="0" y="0"/>
                            <a:ext cx="4126230" cy="2286000"/>
                          </a:xfrm>
                          <a:prstGeom prst="rect">
                            <a:avLst/>
                          </a:prstGeom>
                        </pic:spPr>
                      </pic:pic>
                    </a:graphicData>
                  </a:graphic>
                </wp:inline>
              </w:drawing>
            </w:r>
          </w:p>
        </w:tc>
      </w:tr>
      <w:tr>
        <w:trPr>
          <w:trHeight w:val="4116" w:hRule="atLeast"/>
        </w:trPr>
        <w:tc>
          <w:tcPr>
            <w:tcW w:w="6241" w:type="dxa"/>
            <w:tcBorders/>
            <w:shd w:color="auto" w:fill="auto" w:val="clear"/>
          </w:tcPr>
          <w:p>
            <w:pPr>
              <w:pStyle w:val="Heading3"/>
              <w:widowControl w:val="false"/>
              <w:spacing w:lineRule="auto" w:line="360" w:before="240" w:after="60"/>
              <w:jc w:val="left"/>
              <w:rPr>
                <w:bCs/>
                <w:szCs w:val="24"/>
                <w:lang w:val="en-US"/>
              </w:rPr>
            </w:pPr>
            <w:r>
              <w:rPr/>
              <w:drawing>
                <wp:inline distT="0" distB="0" distL="0" distR="0">
                  <wp:extent cx="3848100" cy="2280920"/>
                  <wp:effectExtent l="0" t="0" r="0" b="0"/>
                  <wp:docPr id="2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descr=""/>
                          <pic:cNvPicPr>
                            <a:picLocks noChangeAspect="1" noChangeArrowheads="1"/>
                          </pic:cNvPicPr>
                        </pic:nvPicPr>
                        <pic:blipFill>
                          <a:blip r:embed="rId21"/>
                          <a:stretch>
                            <a:fillRect/>
                          </a:stretch>
                        </pic:blipFill>
                        <pic:spPr bwMode="auto">
                          <a:xfrm>
                            <a:off x="0" y="0"/>
                            <a:ext cx="3848100" cy="2280920"/>
                          </a:xfrm>
                          <a:prstGeom prst="rect">
                            <a:avLst/>
                          </a:prstGeom>
                        </pic:spPr>
                      </pic:pic>
                    </a:graphicData>
                  </a:graphic>
                </wp:inline>
              </w:drawing>
            </w:r>
          </w:p>
        </w:tc>
        <w:tc>
          <w:tcPr>
            <w:tcW w:w="6718" w:type="dxa"/>
            <w:tcBorders/>
            <w:shd w:color="auto" w:fill="auto" w:val="clear"/>
          </w:tcPr>
          <w:p>
            <w:pPr>
              <w:pStyle w:val="Heading3"/>
              <w:widowControl w:val="false"/>
              <w:spacing w:lineRule="auto" w:line="360" w:before="240" w:after="60"/>
              <w:jc w:val="left"/>
              <w:rPr>
                <w:bCs/>
                <w:szCs w:val="24"/>
                <w:lang w:val="en-US"/>
              </w:rPr>
            </w:pPr>
            <w:r>
              <w:rPr/>
              <w:drawing>
                <wp:inline distT="0" distB="0" distL="0" distR="0">
                  <wp:extent cx="4150360" cy="2280920"/>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22"/>
                          <a:stretch>
                            <a:fillRect/>
                          </a:stretch>
                        </pic:blipFill>
                        <pic:spPr bwMode="auto">
                          <a:xfrm>
                            <a:off x="0" y="0"/>
                            <a:ext cx="4150360" cy="2280920"/>
                          </a:xfrm>
                          <a:prstGeom prst="rect">
                            <a:avLst/>
                          </a:prstGeom>
                        </pic:spPr>
                      </pic:pic>
                    </a:graphicData>
                  </a:graphic>
                </wp:inline>
              </w:drawing>
            </w:r>
          </w:p>
        </w:tc>
      </w:tr>
    </w:tbl>
    <w:p>
      <w:pPr>
        <w:sectPr>
          <w:footerReference w:type="default" r:id="rId23"/>
          <w:footnotePr>
            <w:numFmt w:val="decimal"/>
          </w:footnotePr>
          <w:type w:val="nextPage"/>
          <w:pgSz w:orient="landscape" w:w="15840" w:h="12240"/>
          <w:pgMar w:left="1440" w:right="1440" w:header="0" w:top="1440" w:footer="720" w:bottom="1440" w:gutter="0"/>
          <w:pgNumType w:fmt="decimal"/>
          <w:formProt w:val="false"/>
          <w:textDirection w:val="lrTb"/>
          <w:docGrid w:type="default" w:linePitch="326" w:charSpace="0"/>
        </w:sectPr>
        <w:pStyle w:val="Caption1"/>
        <w:rPr>
          <w:i w:val="false"/>
          <w:i w:val="false"/>
          <w:sz w:val="24"/>
          <w:szCs w:val="24"/>
        </w:rPr>
      </w:pPr>
      <w:r>
        <w:rPr>
          <w:i w:val="false"/>
          <w:iCs w:val="false"/>
          <w:sz w:val="24"/>
          <w:szCs w:val="24"/>
        </w:rPr>
        <w:t>Figure</w:t>
      </w:r>
      <w:r>
        <w:rPr>
          <w:i w:val="false"/>
          <w:sz w:val="24"/>
          <w:szCs w:val="24"/>
        </w:rPr>
        <w:t xml:space="preserve"> </w:t>
      </w:r>
      <w:r>
        <w:rPr>
          <w:i w:val="false"/>
          <w:iCs w:val="false"/>
          <w:sz w:val="24"/>
          <w:szCs w:val="24"/>
        </w:rPr>
        <w:fldChar w:fldCharType="begin"/>
      </w:r>
      <w:r>
        <w:rPr>
          <w:sz w:val="24"/>
          <w:i w:val="false"/>
          <w:szCs w:val="24"/>
          <w:iCs w:val="false"/>
        </w:rPr>
        <w:instrText> SEQ Figure \* ARABIC </w:instrText>
      </w:r>
      <w:r>
        <w:rPr>
          <w:sz w:val="24"/>
          <w:i w:val="false"/>
          <w:szCs w:val="24"/>
          <w:iCs w:val="false"/>
        </w:rPr>
        <w:fldChar w:fldCharType="separate"/>
      </w:r>
      <w:r>
        <w:rPr>
          <w:sz w:val="24"/>
          <w:i w:val="false"/>
          <w:szCs w:val="24"/>
          <w:iCs w:val="false"/>
        </w:rPr>
        <w:t>4</w:t>
      </w:r>
      <w:r>
        <w:rPr>
          <w:sz w:val="24"/>
          <w:i w:val="false"/>
          <w:szCs w:val="24"/>
          <w:iCs w:val="false"/>
        </w:rPr>
        <w:fldChar w:fldCharType="end"/>
      </w:r>
      <w:r>
        <w:rPr>
          <w:i w:val="false"/>
          <w:sz w:val="24"/>
          <w:szCs w:val="24"/>
        </w:rPr>
        <w:t xml:space="preserve">: Cross-Sectional Variation and Time Trends for Debt to Equity, Capital- Assets Ratio, and Deposits Assets Ratio </w:t>
      </w:r>
    </w:p>
    <w:p>
      <w:pPr>
        <w:pStyle w:val="Heading3"/>
        <w:numPr>
          <w:ilvl w:val="0"/>
          <w:numId w:val="3"/>
        </w:numPr>
        <w:spacing w:lineRule="auto" w:line="360"/>
        <w:ind w:left="426" w:hanging="360"/>
        <w:jc w:val="left"/>
        <w:rPr>
          <w:bCs/>
          <w:szCs w:val="24"/>
          <w:lang w:val="en-US"/>
        </w:rPr>
      </w:pPr>
      <w:r>
        <w:rPr/>
        <w:t xml:space="preserve">Regression Results </w:t>
      </w:r>
    </w:p>
    <w:p>
      <w:pPr>
        <w:pStyle w:val="Normal"/>
        <w:spacing w:lineRule="auto" w:line="360"/>
        <w:rPr>
          <w:bCs/>
          <w:szCs w:val="24"/>
          <w:lang w:val="en-US"/>
        </w:rPr>
      </w:pPr>
      <w:r>
        <w:rPr/>
        <w:t>The next section provides a discussion on the output from the regression models starting with the debt-equity ratio (random-effects model), the deposits to total assets ratio (random-effects model), and finally, the capital to assets ratio (fixed-effects model). Appendix () shows the results of the Hausmann Test and the choice over fixed and random effects models.</w:t>
      </w:r>
    </w:p>
    <w:p>
      <w:pPr>
        <w:pStyle w:val="Heading3"/>
        <w:spacing w:lineRule="auto" w:line="360"/>
        <w:rPr>
          <w:bCs/>
          <w:szCs w:val="24"/>
          <w:lang w:val="en-US"/>
        </w:rPr>
      </w:pPr>
      <w:r>
        <w:rPr/>
        <w:t>6.1</w:t>
        <w:tab/>
        <w:t xml:space="preserve">Drivers of Leverage (Debt-Equity Ratio) in Microfinance Institutions  </w:t>
      </w:r>
    </w:p>
    <w:p>
      <w:pPr>
        <w:pStyle w:val="Normal"/>
        <w:spacing w:lineRule="auto" w:line="360"/>
        <w:rPr>
          <w:bCs/>
          <w:szCs w:val="24"/>
          <w:lang w:val="en-US"/>
        </w:rPr>
      </w:pPr>
      <w:r>
        <w:rPr/>
        <w:t xml:space="preserve">Table 3 shows the output of regression models. The data at hand is an unbalanced panel. First, we ran a random-effects model on the full dataset. We then subset the data for instances with three or more years of data and then five or more years of data. These figures (three and five) correspond to the mean and median number of years of data per MFI in the dataset. Finally, we run a pooled OLS and a fixed-effects model using the full dataset. The regressions indicate that at the firm level, the size, profit margin and age matter the most in determining the debt-equity ratio. </w:t>
      </w:r>
    </w:p>
    <w:p>
      <w:pPr>
        <w:pStyle w:val="Normal"/>
        <w:spacing w:lineRule="auto" w:line="360"/>
        <w:rPr>
          <w:bCs/>
          <w:szCs w:val="24"/>
          <w:lang w:val="en-US"/>
        </w:rPr>
      </w:pPr>
      <w:r>
        <w:rPr/>
      </w:r>
    </w:p>
    <w:p>
      <w:pPr>
        <w:pStyle w:val="Normal"/>
        <w:spacing w:lineRule="auto" w:line="360"/>
        <w:rPr>
          <w:bCs/>
          <w:szCs w:val="24"/>
          <w:lang w:val="en-US"/>
        </w:rPr>
      </w:pPr>
      <w:r>
        <w:rPr/>
        <w:t xml:space="preserve">Larger MFIs with more assets tend to have a higher debt to equity ratio, holding other variables in the models constant. In this case, a 1% rise in assets corresponds to a 6% - 8% rise in leverage going by the random-effects model. The fixed-effects model indicates a modest 3.5% change. The result is consistent with the theory. Large firms can use the assets as collateral for debt and usually tend to be well established with a solid credit history and hence can quickly source funds in the capital markets </w:t>
      </w:r>
      <w:r>
        <w:fldChar w:fldCharType="begin"/>
      </w:r>
      <w:r>
        <w:rPr/>
        <w:instrText>ADDIN EN.CITE &lt;EndNote&gt;&lt;Cite&gt;&lt;Author&gt;Ojah&lt;/Author&gt;&lt;Year&gt;2016&lt;/Year&gt;&lt;RecNum&gt;421&lt;/RecNum&gt;&lt;DisplayText&gt;(Campello &amp;amp; Giambona, 2011; Ojah &amp;amp; Ombati, 2016)&lt;/DisplayText&gt;&lt;record&gt;&lt;rec-number&gt;421&lt;/rec-number&gt;&lt;foreign-keys&gt;&lt;key app="EN" db-id="wds9909saar09se5x9txwfw7ax9wfe2ftrt2" timestamp="1540241948" guid="ec290cd7-defd-4002-99f2-6b987aba3d2e"&gt;421&lt;/key&gt;&lt;/foreign-keys&gt;&lt;ref-type name="Journal Article"&gt;17&lt;/ref-type&gt;&lt;contributors&gt;&lt;authors&gt;&lt;author&gt;Ojah, Kalu&lt;/author&gt;&lt;author&gt;Ombati, Steven&lt;/author&gt;&lt;/authors&gt;&lt;/contributors&gt;&lt;titles&gt;&lt;title&gt;Effects of financing and institutional constraints on capital structure of firms in select African countries&lt;/title&gt;&lt;secondary-title&gt;African Finance Journal&lt;/secondary-title&gt;&lt;/titles&gt;&lt;periodical&gt;&lt;full-title&gt;African Finance Journal&lt;/full-title&gt;&lt;abbr-1&gt;African Finance J.&lt;/abbr-1&gt;&lt;abbr-2&gt;African Finance J&lt;/abbr-2&gt;&lt;/periodical&gt;&lt;pages&gt;1-44&lt;/pages&gt;&lt;volume&gt;18&lt;/volume&gt;&lt;number&gt;2&lt;/number&gt;&lt;dates&gt;&lt;year&gt;2016&lt;/year&gt;&lt;/dates&gt;&lt;isbn&gt;1605-9786&lt;/isbn&gt;&lt;urls&gt;&lt;/urls&gt;&lt;/record&gt;&lt;/Cite&gt;&lt;Cite&gt;&lt;Author&gt;Campello&lt;/Author&gt;&lt;Year&gt;2011&lt;/Year&gt;&lt;RecNum&gt;268&lt;/RecNum&gt;&lt;record&gt;&lt;rec-number&gt;268&lt;/rec-number&gt;&lt;foreign-keys&gt;&lt;key app="EN" db-id="wds9909saar09se5x9txwfw7ax9wfe2ftrt2" timestamp="1514228448" guid="5eb86318-e4af-4ecf-8aeb-7d918b3c0f79"&gt;268&lt;/key&gt;&lt;/foreign-keys&gt;&lt;ref-type name="Report"&gt;27&lt;/ref-type&gt;&lt;contributors&gt;&lt;authors&gt;&lt;author&gt;Campello, Murillo&lt;/author&gt;&lt;author&gt;Giambona, Erasmo&lt;/author&gt;&lt;/authors&gt;&lt;/contributors&gt;&lt;titles&gt;&lt;title&gt;Capital structure and the redeployability of tangible assets&lt;/title&gt;&lt;/titles&gt;&lt;dates&gt;&lt;year&gt;2011&lt;/year&gt;&lt;/dates&gt;&lt;pub-location&gt;The Hague&lt;/pub-location&gt;&lt;publisher&gt;Tinbergen Institute Discussion Paper&lt;/publisher&gt;&lt;urls&gt;&lt;/urls&gt;&lt;/record&gt;&lt;/Cite&gt;&lt;/EndNote&gt;</w:instrText>
      </w:r>
      <w:r>
        <w:rPr/>
      </w:r>
      <w:r>
        <w:rPr/>
        <w:fldChar w:fldCharType="separate"/>
      </w:r>
      <w:r>
        <w:rPr/>
        <w:t>(Campello &amp; Giambona, 2011; Ojah &amp; Ombati, 2016)</w:t>
      </w:r>
      <w:r>
        <w:rPr/>
      </w:r>
      <w:r>
        <w:rPr/>
        <w:fldChar w:fldCharType="end"/>
      </w:r>
      <w:r>
        <w:rPr/>
        <w:t xml:space="preserve">. Moreover, firms size corresponds to lower information asymmetry as the firm is well established with a traceable track record and well developed and reliable accounting information systems. </w:t>
      </w:r>
    </w:p>
    <w:p>
      <w:pPr>
        <w:pStyle w:val="Normal"/>
        <w:spacing w:lineRule="auto" w:line="360"/>
        <w:rPr>
          <w:bCs/>
          <w:szCs w:val="24"/>
          <w:lang w:val="en-US"/>
        </w:rPr>
      </w:pPr>
      <w:r>
        <w:rPr/>
      </w:r>
    </w:p>
    <w:p>
      <w:pPr>
        <w:pStyle w:val="Normal"/>
        <w:spacing w:lineRule="auto" w:line="360"/>
        <w:rPr>
          <w:bCs/>
          <w:szCs w:val="24"/>
          <w:lang w:val="en-US"/>
        </w:rPr>
      </w:pPr>
      <w:r>
        <w:rPr/>
        <w:t xml:space="preserve">On the other hand, MFIs with higher profit margins have less debt to equity ratio, with a 1% rise in profits corresponding with between 5.8% and 7.8% drop in leverage. In this case, MFIs could be utilising the profits to pay dividends and retained earnings, with the retained earnings counting as equity, which lowers the debt to equity ratio. Moreover, MFIs with higher profit margins have less pressure to borrow to bridge financing shortfalls, opting, instead, to maintain a higher reserve borrowing capacity </w:t>
      </w:r>
      <w:r>
        <w:fldChar w:fldCharType="begin"/>
      </w:r>
      <w:r>
        <w:rPr/>
        <w:instrText>ADDIN EN.CITE &lt;EndNote&gt;&lt;Cite&gt;&lt;Author&gt;Ojah&lt;/Author&gt;&lt;Year&gt;2009&lt;/Year&gt;&lt;RecNum&gt;405&lt;/RecNum&gt;&lt;DisplayText&gt;(Barclay &amp;amp; Smith, 2005; Ojah &amp;amp; Pillay, 2009)&lt;/DisplayText&gt;&lt;record&gt;&lt;rec-number&gt;405&lt;/rec-number&gt;&lt;foreign-keys&gt;&lt;key app="EN" db-id="wds9909saar09se5x9txwfw7ax9wfe2ftrt2" timestamp="1522144213" guid="d128da74-9499-4d8d-b149-1baf74031e80"&gt;405&lt;/key&gt;&lt;/foreign-keys&gt;&lt;ref-type name="Journal Article"&gt;17&lt;/ref-type&gt;&lt;contributors&gt;&lt;authors&gt;&lt;author&gt;Ojah, Kalu&lt;/author&gt;&lt;author&gt;Pillay, Kishan&lt;/author&gt;&lt;/authors&gt;&lt;/contributors&gt;&lt;titles&gt;&lt;title&gt;Debt markets and corporate debt structure in an emerging market: The South African example&lt;/title&gt;&lt;secondary-title&gt;Economic Modelling&lt;/secondary-title&gt;&lt;/titles&gt;&lt;periodical&gt;&lt;full-title&gt;Economic Modelling&lt;/full-title&gt;&lt;abbr-1&gt;Econ. Modelling&lt;/abbr-1&gt;&lt;abbr-2&gt;Econ Modelling&lt;/abbr-2&gt;&lt;/periodical&gt;&lt;pages&gt;1215-1227&lt;/pages&gt;&lt;volume&gt;26&lt;/volume&gt;&lt;number&gt;6&lt;/number&gt;&lt;dates&gt;&lt;year&gt;2009&lt;/year&gt;&lt;/dates&gt;&lt;isbn&gt;0264-9993&lt;/isbn&gt;&lt;urls&gt;&lt;/urls&gt;&lt;/record&gt;&lt;/Cite&gt;&lt;Cite&gt;&lt;Author&gt;Barclay&lt;/Author&gt;&lt;Year&gt;2005&lt;/Year&gt;&lt;RecNum&gt;269&lt;/RecNum&gt;&lt;record&gt;&lt;rec-number&gt;269&lt;/rec-number&gt;&lt;foreign-keys&gt;&lt;key app="EN" db-id="wds9909saar09se5x9txwfw7ax9wfe2ftrt2" timestamp="1514229133" guid="6da503cf-b728-45b1-a780-eab2f4114c07"&gt;269&lt;/key&gt;&lt;/foreign-keys&gt;&lt;ref-type name="Journal Article"&gt;17&lt;/ref-type&gt;&lt;contributors&gt;&lt;authors&gt;&lt;author&gt;Barclay, Michael J&lt;/author&gt;&lt;author&gt;Smith, Clifford W&lt;/author&gt;&lt;/authors&gt;&lt;/contributors&gt;&lt;titles&gt;&lt;title&gt;The capital structure puzzle: The evidence revisited&lt;/title&gt;&lt;secondary-title&gt;Journal of Applied Corporate Finance&lt;/secondary-title&gt;&lt;/titles&gt;&lt;pages&gt;8-17&lt;/pages&gt;&lt;volume&gt;17&lt;/volume&gt;&lt;number&gt;1&lt;/number&gt;&lt;dates&gt;&lt;year&gt;2005&lt;/year&gt;&lt;/dates&gt;&lt;isbn&gt;1745-6622&lt;/isbn&gt;&lt;urls&gt;&lt;/urls&gt;&lt;/record&gt;&lt;/Cite&gt;&lt;/EndNote&gt;</w:instrText>
      </w:r>
      <w:r>
        <w:rPr/>
      </w:r>
      <w:r>
        <w:rPr/>
        <w:fldChar w:fldCharType="separate"/>
      </w:r>
      <w:r>
        <w:rPr/>
        <w:t>(Barclay &amp; Smith, 2005; Ojah &amp; Pillay, 2009)</w:t>
      </w:r>
      <w:r>
        <w:rPr/>
      </w:r>
      <w:r>
        <w:rPr/>
        <w:fldChar w:fldCharType="end"/>
      </w:r>
      <w:r>
        <w:rPr/>
        <w:t xml:space="preserve">. The result is in line with the pecking order theory of capital structure, where firms prefer to raise funds internally before seeking external equity and debt. Also, firms with viable investment options but facing internal funds deficiency, tend to issue more debt </w:t>
      </w:r>
      <w:r>
        <w:fldChar w:fldCharType="begin"/>
      </w:r>
      <w:r>
        <w:rPr/>
        <w:instrText>ADDIN EN.CITE &lt;EndNote&gt;&lt;Cite&gt;&lt;Author&gt;De Jong&lt;/Author&gt;&lt;Year&gt;2011&lt;/Year&gt;&lt;RecNum&gt;135&lt;/RecNum&gt;&lt;DisplayText&gt;(De Jong et al., 2011)&lt;/DisplayText&gt;&lt;record&gt;&lt;rec-number&gt;135&lt;/rec-number&gt;&lt;foreign-keys&gt;&lt;key app="EN" db-id="wds9909saar09se5x9txwfw7ax9wfe2ftrt2" timestamp="1507209719" guid="400786b3-316d-400a-bb9b-af50b1b66e78"&gt;135&lt;/key&gt;&lt;/foreign-keys&gt;&lt;ref-type name="Journal Article"&gt;17&lt;/ref-type&gt;&lt;contributors&gt;&lt;authors&gt;&lt;author&gt;De Jong, Abe&lt;/author&gt;&lt;author&gt;Verbeek, Marno&lt;/author&gt;&lt;author&gt;Verwijmeren, Patrick&lt;/author&gt;&lt;/authors&gt;&lt;/contributors&gt;&lt;titles&gt;&lt;title&gt;Firms’ debt–equity decisions when the static tradeoff theory and the pecking order theory disagree&lt;/title&gt;&lt;secondary-title&gt;Journal of Banking &amp;amp; Finance&lt;/secondary-title&gt;&lt;/titles&gt;&lt;pages&gt;1303-1314&lt;/pages&gt;&lt;volume&gt;35&lt;/volume&gt;&lt;number&gt;5&lt;/number&gt;&lt;dates&gt;&lt;year&gt;2011&lt;/year&gt;&lt;/dates&gt;&lt;isbn&gt;0378-4266&lt;/isbn&gt;&lt;urls&gt;&lt;/urls&gt;&lt;/record&gt;&lt;/Cite&gt;&lt;/EndNote&gt;</w:instrText>
      </w:r>
      <w:r>
        <w:rPr/>
      </w:r>
      <w:r>
        <w:rPr/>
        <w:fldChar w:fldCharType="separate"/>
      </w:r>
      <w:r>
        <w:rPr/>
        <w:t>(De Jong et al., 2011)</w:t>
      </w:r>
      <w:r>
        <w:rPr/>
      </w:r>
      <w:r>
        <w:rPr/>
        <w:fldChar w:fldCharType="end"/>
      </w:r>
      <w:r>
        <w:rPr/>
        <w:t xml:space="preserve">. Ceteris paribus, asset structure, the ratio of non-current assets to total assets, relates negatively to leverage. However, the significance of the result is not consistent across models. These results suggest that firms that commit to fixed investments do so using equity – meaning that MFIs prefer financing expansion using equity instead of debt. </w:t>
      </w:r>
    </w:p>
    <w:p>
      <w:pPr>
        <w:pStyle w:val="Normal"/>
        <w:spacing w:lineRule="auto" w:line="360"/>
        <w:rPr>
          <w:bCs/>
          <w:szCs w:val="24"/>
          <w:lang w:val="en-US"/>
        </w:rPr>
      </w:pPr>
      <w:r>
        <w:rPr/>
      </w:r>
    </w:p>
    <w:p>
      <w:pPr>
        <w:pStyle w:val="Normal"/>
        <w:spacing w:lineRule="auto" w:line="360"/>
        <w:rPr>
          <w:bCs/>
          <w:szCs w:val="24"/>
          <w:lang w:val="en-US"/>
        </w:rPr>
      </w:pPr>
      <w:r>
        <w:rPr/>
        <w:t xml:space="preserve">The legal status of an MFI also appears to impact on leverage marginally. Specifically, except for credit unions/ cooperatives, commercial banks tend to have more leverage than NGOs and NBFIs – although the result is not significant for the latter two. The result could arise due to banks being well established and hence able to access the debt market easily. Cooperatives tend to have a limited geographic scope and restricted membership and rely mostly on members deposits </w:t>
      </w:r>
      <w:r>
        <w:fldChar w:fldCharType="begin"/>
      </w:r>
      <w:r>
        <w:rPr/>
        <w:instrText>ADDIN EN.CITE &lt;EndNote&gt;&lt;Cite&gt;&lt;Author&gt;Pashkova&lt;/Author&gt;&lt;Year&gt;2016&lt;/Year&gt;&lt;RecNum&gt;283&lt;/RecNum&gt;&lt;DisplayText&gt;(Pashkova et al., 2016)&lt;/DisplayText&gt;&lt;record&gt;&lt;rec-number&gt;283&lt;/rec-number&gt;&lt;foreign-keys&gt;&lt;key app="EN" db-id="wds9909saar09se5x9txwfw7ax9wfe2ftrt2" timestamp="1515455455" guid="61a245bb-f3e4-4e23-a2a5-799c9147475e"&gt;283&lt;/key&gt;&lt;/foreign-keys&gt;&lt;ref-type name="Journal Article"&gt;17&lt;/ref-type&gt;&lt;contributors&gt;&lt;authors&gt;&lt;author&gt;Pashkova, N.&lt;/author&gt;&lt;author&gt;Trujillo-Barrera, A.&lt;/author&gt;&lt;author&gt;Apostolakis, G.&lt;/author&gt;&lt;author&gt;Van Dijk, G.&lt;/author&gt;&lt;author&gt;Drakos, P.&lt;/author&gt;&lt;author&gt;Baourakis, G.&lt;/author&gt;&lt;/authors&gt;&lt;/contributors&gt;&lt;titles&gt;&lt;title&gt;Business management models of microfinance institutions (MFIs) in Africa: A study into their enabling environments&lt;/title&gt;&lt;secondary-title&gt;International Journal of Food and Beverage Manufacturing and Business Models &lt;/secondary-title&gt;&lt;/titles&gt;&lt;pages&gt;63-82&lt;/pages&gt;&lt;volume&gt;2&lt;/volume&gt;&lt;number&gt;2&lt;/number&gt;&lt;dates&gt;&lt;year&gt;2016&lt;/year&gt;&lt;/dates&gt;&lt;urls&gt;&lt;/urls&gt;&lt;/record&gt;&lt;/Cite&gt;&lt;/EndNote&gt;</w:instrText>
      </w:r>
      <w:r>
        <w:rPr/>
      </w:r>
      <w:r>
        <w:rPr/>
        <w:fldChar w:fldCharType="separate"/>
      </w:r>
      <w:r>
        <w:rPr/>
        <w:t>(Pashkova et al., 2016)</w:t>
      </w:r>
      <w:r>
        <w:rPr/>
      </w:r>
      <w:r>
        <w:rPr/>
        <w:fldChar w:fldCharType="end"/>
      </w:r>
      <w:r>
        <w:rPr/>
        <w:t xml:space="preserve">. NGOs, on the other hand, focus more on the social aspects of microfinance </w:t>
      </w:r>
      <w:r>
        <w:fldChar w:fldCharType="begin"/>
      </w:r>
      <w:r>
        <w:rPr/>
        <w:instrText>ADDIN EN.CITE &lt;EndNote&gt;&lt;Cite&gt;&lt;Author&gt;Tchakoute-Tchuigoua&lt;/Author&gt;&lt;Year&gt;2010&lt;/Year&gt;&lt;RecNum&gt;223&lt;/RecNum&gt;&lt;DisplayText&gt;(Tchakoute-Tchuigoua, 2010)&lt;/DisplayText&gt;&lt;record&gt;&lt;rec-number&gt;223&lt;/rec-number&gt;&lt;foreign-keys&gt;&lt;key app="EN" db-id="wds9909saar09se5x9txwfw7ax9wfe2ftrt2" timestamp="1512047893" guid="f8783d6f-3afb-4159-b7e3-911be4466fe3"&gt;223&lt;/key&gt;&lt;/foreign-keys&gt;&lt;ref-type name="Journal Article"&gt;17&lt;/ref-type&gt;&lt;contributors&gt;&lt;authors&gt;&lt;author&gt;Tchakoute-Tchuigoua, Hubert&lt;/author&gt;&lt;/authors&gt;&lt;/contributors&gt;&lt;titles&gt;&lt;title&gt;Is there a difference in performance by the legal status of microfinance institutions?&lt;/title&gt;&lt;secondary-title&gt;The Quarterly Review of Economics and Finance&lt;/secondary-title&gt;&lt;/titles&gt;&lt;pages&gt;436-442&lt;/pages&gt;&lt;volume&gt;50&lt;/volume&gt;&lt;number&gt;4&lt;/number&gt;&lt;dates&gt;&lt;year&gt;2010&lt;/year&gt;&lt;/dates&gt;&lt;isbn&gt;1062-9769&lt;/isbn&gt;&lt;urls&gt;&lt;/urls&gt;&lt;/record&gt;&lt;/Cite&gt;&lt;/EndNote&gt;</w:instrText>
      </w:r>
      <w:r>
        <w:rPr/>
      </w:r>
      <w:r>
        <w:rPr/>
        <w:fldChar w:fldCharType="separate"/>
      </w:r>
      <w:r>
        <w:rPr/>
        <w:t>(Tchakoute-Tchuigoua, 2010)</w:t>
      </w:r>
      <w:r>
        <w:rPr/>
      </w:r>
      <w:r>
        <w:rPr/>
        <w:fldChar w:fldCharType="end"/>
      </w:r>
      <w:r>
        <w:rPr/>
        <w:t>, which could negatively impact their credit rating.</w:t>
      </w:r>
    </w:p>
    <w:p>
      <w:pPr>
        <w:pStyle w:val="Normal"/>
        <w:spacing w:lineRule="auto" w:line="360"/>
        <w:rPr>
          <w:bCs/>
          <w:szCs w:val="24"/>
          <w:lang w:val="en-US"/>
        </w:rPr>
      </w:pPr>
      <w:r>
        <w:rPr/>
      </w:r>
    </w:p>
    <w:p>
      <w:pPr>
        <w:sectPr>
          <w:footerReference w:type="default" r:id="rId24"/>
          <w:footnotePr>
            <w:numFmt w:val="decimal"/>
          </w:footnotePr>
          <w:type w:val="nextPage"/>
          <w:pgSz w:w="12240" w:h="15840"/>
          <w:pgMar w:left="1440" w:right="1440" w:header="0" w:top="1440" w:footer="720" w:bottom="1440" w:gutter="0"/>
          <w:pgNumType w:fmt="decimal"/>
          <w:formProt w:val="false"/>
          <w:textDirection w:val="lrTb"/>
          <w:docGrid w:type="default" w:linePitch="326" w:charSpace="0"/>
        </w:sectPr>
        <w:pStyle w:val="Normal"/>
        <w:spacing w:lineRule="auto" w:line="360"/>
        <w:rPr>
          <w:bCs/>
          <w:szCs w:val="24"/>
          <w:lang w:val="en-US"/>
        </w:rPr>
      </w:pPr>
      <w:r>
        <w:rPr/>
        <w:t xml:space="preserve">Furthermore, in pursuing social goals, NGOs draw donations and subsidies </w:t>
      </w:r>
      <w:r>
        <w:fldChar w:fldCharType="begin"/>
      </w:r>
      <w:r>
        <w:rPr/>
        <w:instrText>ADDIN EN.CITE &lt;EndNote&gt;&lt;Cite&gt;&lt;Author&gt;D’Espallier&lt;/Author&gt;&lt;Year&gt;2017&lt;/Year&gt;&lt;RecNum&gt;104&lt;/RecNum&gt;&lt;DisplayText&gt;(D’Espallier, Goedecke, et al., 2017)&lt;/DisplayText&gt;&lt;record&gt;&lt;rec-number&gt;104&lt;/rec-number&gt;&lt;foreign-keys&gt;&lt;key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Devel&lt;/abbr-2&gt;&lt;/periodical&gt;&lt;pages&gt;19-33&lt;/pages&gt;&lt;volume&gt;89&lt;/volume&gt;&lt;dates&gt;&lt;year&gt;2017&lt;/year&gt;&lt;/dates&gt;&lt;isbn&gt;0305-750X&lt;/isbn&gt;&lt;urls&gt;&lt;/urls&gt;&lt;/record&gt;&lt;/Cite&gt;&lt;/EndNote&gt;</w:instrText>
      </w:r>
      <w:r>
        <w:rPr/>
      </w:r>
      <w:r>
        <w:rPr/>
        <w:fldChar w:fldCharType="separate"/>
      </w:r>
      <w:r>
        <w:rPr/>
        <w:t>(D’Espallier, Goedecke, et al., 2017)</w:t>
      </w:r>
      <w:r>
        <w:rPr/>
      </w:r>
      <w:r>
        <w:rPr/>
        <w:fldChar w:fldCharType="end"/>
      </w:r>
      <w:r>
        <w:rPr/>
        <w:t xml:space="preserve">. However, with the increased adoption of the for-profit model by NGOs, coupled with the ability to raise deposits, the gap is blurring </w:t>
      </w:r>
      <w:r>
        <w:fldChar w:fldCharType="begin"/>
      </w:r>
      <w:r>
        <w:rPr/>
        <w:instrText>ADDIN EN.CITE &lt;EndNote&gt;&lt;Cite&gt;&lt;Author&gt;Chahine&lt;/Author&gt;&lt;Year&gt;2010&lt;/Year&gt;&lt;RecNum&gt;128&lt;/RecNum&gt;&lt;DisplayText&gt;(Chahine &amp;amp; Tannir, 2010)&lt;/DisplayText&gt;&lt;record&gt;&lt;rec-number&gt;128&lt;/rec-number&gt;&lt;foreign-keys&gt;&lt;key app="EN" db-id="wds9909saar09se5x9txwfw7ax9wfe2ftrt2" timestamp="1506678814" guid="cfd84501-251e-478a-8d66-fa40cd24105f"&gt;128&lt;/key&gt;&lt;/foreign-keys&gt;&lt;ref-type name="Journal Article"&gt;17&lt;/ref-type&gt;&lt;contributors&gt;&lt;authors&gt;&lt;author&gt;Chahine, S&lt;/author&gt;&lt;author&gt;Tannir, L&lt;/author&gt;&lt;/authors&gt;&lt;/contributors&gt;&lt;titles&gt;&lt;title&gt;On the social and financial effects of the transformation of microfinance NGOs&lt;/title&gt;&lt;secondary-title&gt;Voluntas: International Journal of Voluntary and Nonprofit Organizations&lt;/secondary-title&gt;&lt;/titles&gt;&lt;pages&gt;440-461&lt;/pages&gt;&lt;volume&gt;21&lt;/volume&gt;&lt;number&gt;3&lt;/number&gt;&lt;dates&gt;&lt;year&gt;2010&lt;/year&gt;&lt;/dates&gt;&lt;isbn&gt;0957-8765&lt;/isbn&gt;&lt;urls&gt;&lt;/urls&gt;&lt;/record&gt;&lt;/Cite&gt;&lt;/EndNote&gt;</w:instrText>
      </w:r>
      <w:r>
        <w:rPr/>
      </w:r>
      <w:r>
        <w:rPr/>
        <w:fldChar w:fldCharType="separate"/>
      </w:r>
      <w:r>
        <w:rPr/>
        <w:t>(Chahine &amp; Tannir, 2010)</w:t>
      </w:r>
      <w:r>
        <w:rPr/>
      </w:r>
      <w:r>
        <w:rPr/>
        <w:fldChar w:fldCharType="end"/>
      </w:r>
      <w:r>
        <w:rPr/>
        <w:t xml:space="preserve">. Finally, older firms tend to have higher leverage than younger ones, which could be directly related to credit rating quality and having more collateral on account of maturity. </w:t>
      </w:r>
    </w:p>
    <w:p>
      <w:pPr>
        <w:pStyle w:val="Caption1"/>
        <w:rPr>
          <w:i w:val="false"/>
          <w:i w:val="false"/>
          <w:sz w:val="24"/>
          <w:szCs w:val="24"/>
        </w:rPr>
      </w:pPr>
      <w:r>
        <w:rPr>
          <w:i w:val="false"/>
          <w:sz w:val="24"/>
          <w:szCs w:val="24"/>
        </w:rPr>
        <w:t xml:space="preserve">Table </w:t>
      </w:r>
      <w:r>
        <w:rPr>
          <w:i w:val="false"/>
          <w:iCs w:val="false"/>
          <w:sz w:val="24"/>
          <w:szCs w:val="24"/>
        </w:rPr>
        <w:fldChar w:fldCharType="begin"/>
      </w:r>
      <w:r>
        <w:rPr>
          <w:sz w:val="24"/>
          <w:i w:val="false"/>
          <w:szCs w:val="24"/>
          <w:iCs w:val="false"/>
        </w:rPr>
        <w:instrText> SEQ Table \* ARABIC </w:instrText>
      </w:r>
      <w:r>
        <w:rPr>
          <w:sz w:val="24"/>
          <w:i w:val="false"/>
          <w:szCs w:val="24"/>
          <w:iCs w:val="false"/>
        </w:rPr>
        <w:fldChar w:fldCharType="separate"/>
      </w:r>
      <w:r>
        <w:rPr>
          <w:sz w:val="24"/>
          <w:i w:val="false"/>
          <w:szCs w:val="24"/>
          <w:iCs w:val="false"/>
        </w:rPr>
        <w:t>4</w:t>
      </w:r>
      <w:r>
        <w:rPr>
          <w:sz w:val="24"/>
          <w:i w:val="false"/>
          <w:szCs w:val="24"/>
          <w:iCs w:val="false"/>
        </w:rPr>
        <w:fldChar w:fldCharType="end"/>
      </w:r>
      <w:r>
        <w:rPr>
          <w:i w:val="false"/>
          <w:iCs w:val="false"/>
          <w:sz w:val="24"/>
          <w:szCs w:val="24"/>
        </w:rPr>
        <w:t>:</w:t>
      </w:r>
      <w:r>
        <w:rPr>
          <w:i w:val="false"/>
          <w:sz w:val="24"/>
          <w:szCs w:val="24"/>
        </w:rPr>
        <w:t xml:space="preserve"> Random Effects (RE), Fixed Effects (FE) and Pooled OLS Regression output for Debt-to-Equity Ratio </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13"/>
        <w:gridCol w:w="1598"/>
        <w:gridCol w:w="1747"/>
        <w:gridCol w:w="1747"/>
        <w:gridCol w:w="1458"/>
        <w:gridCol w:w="1726"/>
        <w:gridCol w:w="1770"/>
      </w:tblGrid>
      <w:tr>
        <w:trPr>
          <w:trHeight w:val="330" w:hRule="atLeast"/>
        </w:trPr>
        <w:tc>
          <w:tcPr>
            <w:tcW w:w="2913"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598"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(1)</w:t>
            </w:r>
          </w:p>
        </w:tc>
        <w:tc>
          <w:tcPr>
            <w:tcW w:w="1747"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(2)</w:t>
            </w:r>
          </w:p>
        </w:tc>
        <w:tc>
          <w:tcPr>
            <w:tcW w:w="1747"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(3)</w:t>
            </w:r>
          </w:p>
        </w:tc>
        <w:tc>
          <w:tcPr>
            <w:tcW w:w="1458"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(4)</w:t>
            </w:r>
          </w:p>
        </w:tc>
        <w:tc>
          <w:tcPr>
            <w:tcW w:w="1726"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(5)</w:t>
            </w:r>
          </w:p>
        </w:tc>
        <w:tc>
          <w:tcPr>
            <w:tcW w:w="1770" w:type="dxa"/>
            <w:tcBorders>
              <w:top w:val="single" w:sz="12" w:space="0" w:color="002060"/>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(6)</w:t>
            </w:r>
          </w:p>
        </w:tc>
      </w:tr>
      <w:tr>
        <w:trPr>
          <w:trHeight w:val="330" w:hRule="atLeast"/>
        </w:trPr>
        <w:tc>
          <w:tcPr>
            <w:tcW w:w="2913"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Model</w:t>
            </w:r>
          </w:p>
        </w:tc>
        <w:tc>
          <w:tcPr>
            <w:tcW w:w="1598"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 Full Data</w:t>
            </w:r>
          </w:p>
        </w:tc>
        <w:tc>
          <w:tcPr>
            <w:tcW w:w="1747"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(&gt;=5 Years)</w:t>
            </w:r>
          </w:p>
        </w:tc>
        <w:tc>
          <w:tcPr>
            <w:tcW w:w="1747"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(&gt;=3 Years)</w:t>
            </w:r>
          </w:p>
        </w:tc>
        <w:tc>
          <w:tcPr>
            <w:tcW w:w="1458"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FE- Full Data</w:t>
            </w:r>
          </w:p>
        </w:tc>
        <w:tc>
          <w:tcPr>
            <w:tcW w:w="1726"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Pooled OLS</w:t>
            </w:r>
          </w:p>
        </w:tc>
        <w:tc>
          <w:tcPr>
            <w:tcW w:w="1770"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 xml:space="preserve">RE- Winsorized </w:t>
            </w:r>
          </w:p>
        </w:tc>
      </w:tr>
      <w:tr>
        <w:trPr>
          <w:trHeight w:val="32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xml:space="preserve">Assets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0.071***</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0.090**</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0.083***</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0.034</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0.126***</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0.112***</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(0.025)</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(0.035)</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(0.030)</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(0.049)</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(0.025)</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(0.031)</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KKM - Institutional Quality</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0.007</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(0.023)</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(0.024)</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(0.023)</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(0.028)</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(0.029)</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(0.020)</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Education</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0.168</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0.151</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0.142</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0.041</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0.129</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0.04</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(0.128)</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(0.142)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(0.136)</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(0.198)</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(0.136)</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(0.128)</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Financial Development</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0.003</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0.001</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Asset Structure/ Tangibility</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-0.905*</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-0.446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-0.821</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-1.520**</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-0.208</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-0.34</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(0.513)</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(0.622)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(0.557)</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(0.670)</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(0.711)</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(0.813)</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Profit Margin</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-0.072***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-0.060**</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-0.071***</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-0.046**</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-0.174***</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-0.066***</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(0.024)</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(0.022)</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(0.023)</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(0.031)</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-0.022</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Legal Status: Bank</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0.077</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0.049</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0.03</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(0.065)</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(0.080)</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(0.076)</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(0.065)</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(0.067)</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Legal Status: Credit Union</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0.171***</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0.127*</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0.129**</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0.129**</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0.144***</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(0.063)</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(0.061)</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(0.054)</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Legal Status: NBFI</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0.048</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0.033</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0.008</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(0.055)</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(0.058)</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(0.057)</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(0.056)</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(0.051)</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Age: Young</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-0.022</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-0.023</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-0.038</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0.033</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0.007</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(0.028)</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(0.031)</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(0.029)</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(0.032)</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(0.036)</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(0.029)</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Age: New</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-0.086*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-0.093</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-0.099**</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-0.128**</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0.019</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-0.065</w:t>
            </w:r>
          </w:p>
        </w:tc>
      </w:tr>
      <w:tr>
        <w:trPr>
          <w:trHeight w:val="31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(0.044)</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(0.058)</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(0.049)</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(0.056)</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(0.047)</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(0.055)</w:t>
            </w:r>
          </w:p>
        </w:tc>
      </w:tr>
      <w:tr>
        <w:trPr>
          <w:trHeight w:val="310" w:hRule="atLeast"/>
        </w:trPr>
        <w:tc>
          <w:tcPr>
            <w:tcW w:w="2913" w:type="dxa"/>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Constant</w:t>
            </w:r>
          </w:p>
        </w:tc>
        <w:tc>
          <w:tcPr>
            <w:tcW w:w="159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-0.197</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-0.232</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-0.267</w:t>
            </w:r>
          </w:p>
        </w:tc>
        <w:tc>
          <w:tcPr>
            <w:tcW w:w="145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-1.097***</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-0.526**</w:t>
            </w:r>
          </w:p>
        </w:tc>
      </w:tr>
      <w:tr>
        <w:trPr>
          <w:trHeight w:val="310" w:hRule="atLeast"/>
        </w:trPr>
        <w:tc>
          <w:tcPr>
            <w:tcW w:w="2913" w:type="dxa"/>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(0.220)</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(0.276)</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(0.249)</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(0.254)</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(0.246)</w:t>
            </w:r>
          </w:p>
        </w:tc>
      </w:tr>
      <w:tr>
        <w:trPr>
          <w:trHeight w:val="320" w:hRule="atLeast"/>
        </w:trPr>
        <w:tc>
          <w:tcPr>
            <w:tcW w:w="2913" w:type="dxa"/>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59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26"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r>
      <w:tr>
        <w:trPr>
          <w:trHeight w:val="330" w:hRule="atLeast"/>
        </w:trPr>
        <w:tc>
          <w:tcPr>
            <w:tcW w:w="2913" w:type="dxa"/>
            <w:tcBorders>
              <w:top w:val="single" w:sz="12" w:space="0" w:color="000000"/>
              <w:bottom w:val="single" w:sz="12" w:space="0" w:color="000000"/>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Observations</w:t>
            </w:r>
          </w:p>
        </w:tc>
        <w:tc>
          <w:tcPr>
            <w:tcW w:w="1598" w:type="dxa"/>
            <w:tcBorders>
              <w:top w:val="single" w:sz="12" w:space="0" w:color="000000"/>
              <w:bottom w:val="single" w:sz="12"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897</w:t>
            </w:r>
          </w:p>
        </w:tc>
        <w:tc>
          <w:tcPr>
            <w:tcW w:w="1747" w:type="dxa"/>
            <w:tcBorders>
              <w:top w:val="single" w:sz="12" w:space="0" w:color="000000"/>
              <w:bottom w:val="single" w:sz="12"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769</w:t>
            </w:r>
          </w:p>
        </w:tc>
        <w:tc>
          <w:tcPr>
            <w:tcW w:w="1747" w:type="dxa"/>
            <w:tcBorders>
              <w:top w:val="single" w:sz="12" w:space="0" w:color="000000"/>
              <w:bottom w:val="single" w:sz="12"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845</w:t>
            </w:r>
          </w:p>
        </w:tc>
        <w:tc>
          <w:tcPr>
            <w:tcW w:w="1458" w:type="dxa"/>
            <w:tcBorders>
              <w:top w:val="single" w:sz="12" w:space="0" w:color="000000"/>
              <w:bottom w:val="single" w:sz="12"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897</w:t>
            </w:r>
          </w:p>
        </w:tc>
        <w:tc>
          <w:tcPr>
            <w:tcW w:w="1726" w:type="dxa"/>
            <w:tcBorders>
              <w:top w:val="single" w:sz="12" w:space="0" w:color="000000"/>
              <w:bottom w:val="single" w:sz="12"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897</w:t>
            </w:r>
          </w:p>
        </w:tc>
        <w:tc>
          <w:tcPr>
            <w:tcW w:w="1770" w:type="dxa"/>
            <w:tcBorders>
              <w:top w:val="single" w:sz="12" w:space="0" w:color="000000"/>
              <w:bottom w:val="single" w:sz="12"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720</w:t>
            </w:r>
          </w:p>
        </w:tc>
      </w:tr>
      <w:tr>
        <w:trPr>
          <w:trHeight w:val="34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R</w:t>
            </w:r>
            <w:r>
              <w:rPr>
                <w:color w:val="000000"/>
                <w:sz w:val="16"/>
                <w:szCs w:val="16"/>
                <w:vertAlign w:val="superscript"/>
              </w:rPr>
              <w:t>2</w:t>
            </w:r>
          </w:p>
        </w:tc>
        <w:tc>
          <w:tcPr>
            <w:tcW w:w="159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0.214</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0.181</w:t>
            </w:r>
          </w:p>
        </w:tc>
        <w:tc>
          <w:tcPr>
            <w:tcW w:w="1747"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0.186</w:t>
            </w:r>
          </w:p>
        </w:tc>
        <w:tc>
          <w:tcPr>
            <w:tcW w:w="1458"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0.094</w:t>
            </w:r>
          </w:p>
        </w:tc>
        <w:tc>
          <w:tcPr>
            <w:tcW w:w="172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0.221</w:t>
            </w:r>
          </w:p>
        </w:tc>
        <w:tc>
          <w:tcPr>
            <w:tcW w:w="177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0.234</w:t>
            </w:r>
          </w:p>
        </w:tc>
      </w:tr>
      <w:tr>
        <w:trPr>
          <w:trHeight w:val="330" w:hRule="atLeast"/>
        </w:trPr>
        <w:tc>
          <w:tcPr>
            <w:tcW w:w="2913" w:type="dxa"/>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Adjusted R</w:t>
            </w:r>
            <w:r>
              <w:rPr>
                <w:color w:val="000000"/>
                <w:sz w:val="16"/>
                <w:szCs w:val="16"/>
                <w:vertAlign w:val="superscript"/>
              </w:rPr>
              <w:t>2</w:t>
            </w:r>
          </w:p>
        </w:tc>
        <w:tc>
          <w:tcPr>
            <w:tcW w:w="159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0.186</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0.148</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0.156</w:t>
            </w:r>
          </w:p>
        </w:tc>
        <w:tc>
          <w:tcPr>
            <w:tcW w:w="145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-0.201</w:t>
            </w:r>
          </w:p>
        </w:tc>
        <w:tc>
          <w:tcPr>
            <w:tcW w:w="1726"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0.194</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0.201</w:t>
            </w:r>
          </w:p>
        </w:tc>
      </w:tr>
      <w:tr>
        <w:trPr>
          <w:trHeight w:val="330" w:hRule="atLeast"/>
        </w:trPr>
        <w:tc>
          <w:tcPr>
            <w:tcW w:w="2913"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F Statistic/ Chi2</w:t>
            </w:r>
          </w:p>
        </w:tc>
        <w:tc>
          <w:tcPr>
            <w:tcW w:w="159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232.668</w:t>
            </w:r>
            <w:r>
              <w:rPr>
                <w:color w:val="000000"/>
                <w:sz w:val="16"/>
                <w:szCs w:val="16"/>
                <w:vertAlign w:val="superscript"/>
              </w:rPr>
              <w:t>***</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163.099</w:t>
            </w:r>
            <w:r>
              <w:rPr>
                <w:color w:val="000000"/>
                <w:sz w:val="16"/>
                <w:szCs w:val="16"/>
                <w:vertAlign w:val="superscript"/>
              </w:rPr>
              <w:t>***</w:t>
            </w:r>
          </w:p>
        </w:tc>
        <w:tc>
          <w:tcPr>
            <w:tcW w:w="1747"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184.257</w:t>
            </w:r>
            <w:r>
              <w:rPr>
                <w:color w:val="000000"/>
                <w:sz w:val="16"/>
                <w:szCs w:val="16"/>
                <w:vertAlign w:val="superscript"/>
              </w:rPr>
              <w:t>***</w:t>
            </w:r>
          </w:p>
        </w:tc>
        <w:tc>
          <w:tcPr>
            <w:tcW w:w="1458"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2.598</w:t>
            </w:r>
            <w:r>
              <w:rPr>
                <w:color w:val="000000"/>
                <w:sz w:val="16"/>
                <w:szCs w:val="16"/>
                <w:vertAlign w:val="superscript"/>
              </w:rPr>
              <w:t>***</w:t>
            </w:r>
            <w:r>
              <w:rPr>
                <w:color w:val="000000"/>
                <w:sz w:val="16"/>
                <w:szCs w:val="16"/>
              </w:rPr>
              <w:t> </w:t>
            </w:r>
          </w:p>
        </w:tc>
        <w:tc>
          <w:tcPr>
            <w:tcW w:w="1726"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8.182</w:t>
            </w:r>
            <w:r>
              <w:rPr>
                <w:color w:val="000000"/>
                <w:sz w:val="16"/>
                <w:szCs w:val="16"/>
                <w:vertAlign w:val="superscript"/>
              </w:rPr>
              <w:t>***</w:t>
            </w:r>
            <w:r>
              <w:rPr>
                <w:color w:val="000000"/>
                <w:sz w:val="16"/>
                <w:szCs w:val="16"/>
              </w:rPr>
              <w:t> </w:t>
            </w:r>
          </w:p>
        </w:tc>
        <w:tc>
          <w:tcPr>
            <w:tcW w:w="1770" w:type="dxa"/>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209.552</w:t>
            </w:r>
            <w:r>
              <w:rPr>
                <w:color w:val="000000"/>
                <w:sz w:val="16"/>
                <w:szCs w:val="16"/>
                <w:vertAlign w:val="superscript"/>
              </w:rPr>
              <w:t>*</w:t>
            </w:r>
          </w:p>
        </w:tc>
      </w:tr>
      <w:tr>
        <w:trPr>
          <w:trHeight w:val="320" w:hRule="atLeast"/>
        </w:trPr>
        <w:tc>
          <w:tcPr>
            <w:tcW w:w="2913" w:type="dxa"/>
            <w:tcBorders>
              <w:bottom w:val="single" w:sz="4" w:space="0" w:color="000000"/>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DF</w:t>
            </w:r>
          </w:p>
        </w:tc>
        <w:tc>
          <w:tcPr>
            <w:tcW w:w="1598" w:type="dxa"/>
            <w:tcBorders>
              <w:bottom w:val="single" w:sz="4"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w:t>
            </w:r>
          </w:p>
        </w:tc>
        <w:tc>
          <w:tcPr>
            <w:tcW w:w="1747" w:type="dxa"/>
            <w:tcBorders>
              <w:bottom w:val="single" w:sz="4" w:space="0" w:color="000000"/>
            </w:tcBorders>
            <w:shd w:color="000000" w:fill="FFFFFF" w:val="clear"/>
            <w:vAlign w:val="bottom"/>
          </w:tcPr>
          <w:p>
            <w:pPr>
              <w:pStyle w:val="Normal"/>
              <w:widowControl w:val="false"/>
              <w:spacing w:lineRule="auto" w:line="240"/>
              <w:jc w:val="center"/>
              <w:rPr>
                <w:rFonts w:cs="Calibri"/>
                <w:color w:val="000000"/>
                <w:sz w:val="16"/>
                <w:szCs w:val="16"/>
              </w:rPr>
            </w:pPr>
            <w:r>
              <w:rPr>
                <w:rFonts w:cs="Calibri"/>
                <w:color w:val="000000"/>
                <w:sz w:val="16"/>
                <w:szCs w:val="16"/>
              </w:rPr>
              <w:t>-</w:t>
            </w:r>
          </w:p>
        </w:tc>
        <w:tc>
          <w:tcPr>
            <w:tcW w:w="1747" w:type="dxa"/>
            <w:tcBorders>
              <w:bottom w:val="single" w:sz="4" w:space="0" w:color="000000"/>
            </w:tcBorders>
            <w:shd w:color="000000" w:fill="FFFFFF" w:val="clear"/>
            <w:vAlign w:val="bottom"/>
          </w:tcPr>
          <w:p>
            <w:pPr>
              <w:pStyle w:val="Normal"/>
              <w:widowControl w:val="false"/>
              <w:spacing w:lineRule="auto" w:line="240"/>
              <w:rPr>
                <w:rFonts w:cs="Calibri"/>
                <w:color w:val="000000"/>
                <w:sz w:val="16"/>
                <w:szCs w:val="16"/>
              </w:rPr>
            </w:pPr>
            <w:r>
              <w:rPr>
                <w:rFonts w:cs="Calibri"/>
                <w:color w:val="000000"/>
                <w:sz w:val="16"/>
                <w:szCs w:val="16"/>
              </w:rPr>
              <w:t>-</w:t>
            </w:r>
          </w:p>
        </w:tc>
        <w:tc>
          <w:tcPr>
            <w:tcW w:w="1458" w:type="dxa"/>
            <w:tcBorders>
              <w:bottom w:val="single" w:sz="4"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27(676)</w:t>
            </w:r>
          </w:p>
        </w:tc>
        <w:tc>
          <w:tcPr>
            <w:tcW w:w="1726" w:type="dxa"/>
            <w:tcBorders>
              <w:bottom w:val="single" w:sz="4"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30(866)</w:t>
            </w:r>
          </w:p>
        </w:tc>
        <w:tc>
          <w:tcPr>
            <w:tcW w:w="1770" w:type="dxa"/>
            <w:tcBorders>
              <w:bottom w:val="single" w:sz="4" w:space="0" w:color="00000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0</w:t>
            </w:r>
          </w:p>
        </w:tc>
      </w:tr>
      <w:tr>
        <w:trPr>
          <w:trHeight w:val="320" w:hRule="atLeast"/>
        </w:trPr>
        <w:tc>
          <w:tcPr>
            <w:tcW w:w="12959" w:type="dxa"/>
            <w:gridSpan w:val="7"/>
            <w:tcBorders>
              <w:top w:val="single" w:sz="4" w:space="0" w:color="000000"/>
              <w:bottom w:val="single" w:sz="12" w:space="0" w:color="000000"/>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Notes:</w:t>
            </w:r>
          </w:p>
          <w:p>
            <w:pPr>
              <w:pStyle w:val="Normal"/>
              <w:widowControl w:val="false"/>
              <w:spacing w:lineRule="auto" w:line="240"/>
              <w:jc w:val="left"/>
              <w:rPr>
                <w:rFonts w:cs="Calibri"/>
                <w:color w:val="000000"/>
                <w:sz w:val="16"/>
                <w:szCs w:val="16"/>
              </w:rPr>
            </w:pPr>
            <w:r>
              <w:rPr>
                <w:rFonts w:cs="Calibri"/>
                <w:color w:val="000000"/>
                <w:sz w:val="16"/>
                <w:szCs w:val="16"/>
              </w:rPr>
              <w:t>We compute Panel Corrected Standard Errors (PCSE) that cater for cross-sectional dependence and generate heteroscedastic consistent coefficients, see section ().</w:t>
            </w:r>
          </w:p>
        </w:tc>
      </w:tr>
    </w:tbl>
    <w:p>
      <w:pPr>
        <w:pStyle w:val="Normal"/>
        <w:spacing w:lineRule="auto" w:line="360"/>
        <w:rPr>
          <w:bCs/>
          <w:szCs w:val="24"/>
          <w:lang w:val="en-US"/>
        </w:rPr>
      </w:pPr>
      <w:r>
        <w:rPr/>
      </w:r>
    </w:p>
    <w:p>
      <w:pPr>
        <w:sectPr>
          <w:footerReference w:type="default" r:id="rId25"/>
          <w:footnotePr>
            <w:numFmt w:val="decimal"/>
          </w:footnotePr>
          <w:type w:val="nextPage"/>
          <w:pgSz w:orient="landscape" w:w="15840" w:h="12240"/>
          <w:pgMar w:left="1440" w:right="1440" w:header="0" w:top="1440" w:footer="720" w:bottom="1440" w:gutter="0"/>
          <w:pgNumType w:fmt="decimal"/>
          <w:formProt w:val="false"/>
          <w:textDirection w:val="lrTb"/>
          <w:docGrid w:type="default" w:linePitch="326" w:charSpace="0"/>
        </w:sectPr>
        <w:pStyle w:val="Normal"/>
        <w:spacing w:lineRule="auto" w:line="360"/>
        <w:rPr>
          <w:bCs/>
          <w:szCs w:val="24"/>
          <w:lang w:val="en-US"/>
        </w:rPr>
      </w:pPr>
      <w:r>
        <w:rPr/>
      </w:r>
    </w:p>
    <w:p>
      <w:pPr>
        <w:pStyle w:val="Normal"/>
        <w:spacing w:lineRule="auto" w:line="360"/>
        <w:rPr>
          <w:bCs/>
          <w:szCs w:val="24"/>
          <w:lang w:val="en-US"/>
        </w:rPr>
      </w:pPr>
      <w:r>
        <w:rPr/>
        <w:t xml:space="preserve">At the country level, education and financial sector development do not appear to drive leverage significantly, ceteris paribus. These results contradict those of the literature on capital market development that stresses the place of both education and financial sector development in driving financing decisions, uniquely leverage </w:t>
      </w:r>
      <w:r>
        <w:fldChar w:fldCharType="begin"/>
      </w:r>
      <w:r>
        <w:rPr/>
        <w:instrText>ADDIN EN.CITE &lt;EndNote&gt;&lt;Cite&gt;&lt;Author&gt;Matias&lt;/Author&gt;&lt;Year&gt;2017&lt;/Year&gt;&lt;RecNum&gt;313&lt;/RecNum&gt;&lt;DisplayText&gt;(Ojah &amp;amp; Ombati, 2016; Matias &amp;amp; Serrasqueiro, 2017)&lt;/DisplayText&gt;&lt;record&gt;&lt;rec-number&gt;313&lt;/rec-number&gt;&lt;foreign-keys&gt;&lt;key app="EN" db-id="wds9909saar09se5x9txwfw7ax9wfe2ftrt2" timestamp="1515564007" guid="546b3dd2-d34d-4179-974d-79a77e07a3bd"&gt;313&lt;/key&gt;&lt;/foreign-keys&gt;&lt;ref-type name="Journal Article"&gt;17&lt;/ref-type&gt;&lt;contributors&gt;&lt;authors&gt;&lt;author&gt;Matias, Fernanda&lt;/author&gt;&lt;author&gt;Serrasqueiro, Zélia&lt;/author&gt;&lt;/authors&gt;&lt;/contributors&gt;&lt;titles&gt;&lt;title&gt;Are there reliable determinant factors of capital structure decisions? Empirical study of SMEs in different regions of Portugal&lt;/title&gt;&lt;secondary-title&gt;Research in International Business and Finance&lt;/secondary-title&gt;&lt;/titles&gt;&lt;pages&gt;19-33&lt;/pages&gt;&lt;volume&gt;40&lt;/volume&gt;&lt;dates&gt;&lt;year&gt;2017&lt;/year&gt;&lt;/dates&gt;&lt;isbn&gt;0275-5319&lt;/isbn&gt;&lt;urls&gt;&lt;/urls&gt;&lt;/record&gt;&lt;/Cite&gt;&lt;Cite&gt;&lt;Author&gt;Ojah&lt;/Author&gt;&lt;Year&gt;2016&lt;/Year&gt;&lt;RecNum&gt;421&lt;/RecNum&gt;&lt;record&gt;&lt;rec-number&gt;421&lt;/rec-number&gt;&lt;foreign-keys&gt;&lt;key app="EN" db-id="wds9909saar09se5x9txwfw7ax9wfe2ftrt2" timestamp="1540241948" guid="ec290cd7-defd-4002-99f2-6b987aba3d2e"&gt;421&lt;/key&gt;&lt;/foreign-keys&gt;&lt;ref-type name="Journal Article"&gt;17&lt;/ref-type&gt;&lt;contributors&gt;&lt;authors&gt;&lt;author&gt;Ojah, Kalu&lt;/author&gt;&lt;author&gt;Ombati, Steven&lt;/author&gt;&lt;/authors&gt;&lt;/contributors&gt;&lt;titles&gt;&lt;title&gt;Effects of financing and institutional constraints on capital structure of firms in select African countries&lt;/title&gt;&lt;secondary-title&gt;African Finance Journal&lt;/secondary-title&gt;&lt;/titles&gt;&lt;periodical&gt;&lt;full-title&gt;African Finance Journal&lt;/full-title&gt;&lt;abbr-1&gt;African Finance J.&lt;/abbr-1&gt;&lt;abbr-2&gt;African Finance J&lt;/abbr-2&gt;&lt;/periodical&gt;&lt;pages&gt;1-44&lt;/pages&gt;&lt;volume&gt;18&lt;/volume&gt;&lt;number&gt;2&lt;/number&gt;&lt;dates&gt;&lt;year&gt;2016&lt;/year&gt;&lt;/dates&gt;&lt;isbn&gt;1605-9786&lt;/isbn&gt;&lt;urls&gt;&lt;/urls&gt;&lt;/record&gt;&lt;/Cite&gt;&lt;/EndNote&gt;</w:instrText>
      </w:r>
      <w:r>
        <w:rPr/>
      </w:r>
      <w:r>
        <w:rPr/>
        <w:fldChar w:fldCharType="separate"/>
      </w:r>
      <w:r>
        <w:rPr/>
        <w:t>(Ojah &amp; Ombati, 2016; Matias &amp; Serrasqueiro, 2017)</w:t>
      </w:r>
      <w:r>
        <w:rPr/>
      </w:r>
      <w:r>
        <w:rPr/>
        <w:fldChar w:fldCharType="end"/>
      </w:r>
      <w:r>
        <w:rPr/>
        <w:t xml:space="preserve">. </w:t>
      </w:r>
    </w:p>
    <w:p>
      <w:pPr>
        <w:pStyle w:val="Normal"/>
        <w:spacing w:lineRule="auto" w:line="360"/>
        <w:rPr>
          <w:bCs/>
          <w:szCs w:val="24"/>
          <w:lang w:val="en-US"/>
        </w:rPr>
      </w:pPr>
      <w:r>
        <w:rPr/>
      </w:r>
    </w:p>
    <w:p>
      <w:pPr>
        <w:pStyle w:val="Normal"/>
        <w:spacing w:lineRule="auto" w:line="360"/>
        <w:rPr>
          <w:bCs/>
          <w:szCs w:val="24"/>
          <w:lang w:val="en-US"/>
        </w:rPr>
      </w:pPr>
      <w:r>
        <w:rPr/>
        <w:t xml:space="preserve">It is puzzling then that both education and financial development appear insignificant in the financing structure of MFIs. The explanation could be that most MFIs have minimal capital market participation, given their operating model. With this insight, financial development could still be an essential part of determining the leverage of business firms in general but fail to apply to MFIs.  </w:t>
      </w:r>
      <w:r>
        <w:fldChar w:fldCharType="begin"/>
      </w:r>
      <w:r>
        <w:rPr/>
        <w:instrText>ADDIN EN.CITE &lt;EndNote&gt;&lt;Cite AuthorYear="1"&gt;&lt;Author&gt;Allen&lt;/Author&gt;&lt;Year&gt;2014&lt;/Year&gt;&lt;RecNum&gt;466&lt;/RecNum&gt;&lt;DisplayText&gt;Allen et al.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EndNote&gt;</w:instrText>
      </w:r>
      <w:r>
        <w:rPr/>
      </w:r>
      <w:r>
        <w:rPr/>
        <w:fldChar w:fldCharType="separate"/>
      </w:r>
      <w:r>
        <w:rPr/>
        <w:t>Allen et al. (2014)</w:t>
      </w:r>
      <w:r>
        <w:rPr/>
      </w:r>
      <w:r>
        <w:rPr/>
        <w:fldChar w:fldCharType="end"/>
      </w:r>
      <w:r>
        <w:rPr/>
        <w:t xml:space="preserve"> note that education is a crucial determinant of financial sector development in terms of enhancing capital market participation. Not surprising that the signs of the coefficients are both positive. Figure 1 indeed shows a significant correlation between financial development and education (36.6%). The result underlines the place of education in driving financial decisions among individuals and firms, more so in capital market participation as theory predicts</w:t>
      </w:r>
      <w:r>
        <w:fldChar w:fldCharType="begin"/>
      </w:r>
      <w:r>
        <w:rPr/>
        <w:instrText>ADDIN EN.CITE &lt;EndNote&gt;&lt;Cite&gt;&lt;Author&gt;Allen&lt;/Author&gt;&lt;Year&gt;2014&lt;/Year&gt;&lt;RecNum&gt;466&lt;/RecNum&gt;&lt;DisplayText&gt;(Allen et al.,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EndNote&gt;</w:instrText>
      </w:r>
      <w:r>
        <w:rPr/>
      </w:r>
      <w:r>
        <w:rPr/>
        <w:fldChar w:fldCharType="separate"/>
      </w:r>
      <w:r>
        <w:rPr/>
        <w:t>(Allen et al., 2014)</w:t>
      </w:r>
      <w:r>
        <w:rPr/>
      </w:r>
      <w:r>
        <w:rPr/>
        <w:fldChar w:fldCharType="end"/>
      </w:r>
      <w:r>
        <w:rPr/>
        <w:t xml:space="preserve">. </w:t>
      </w:r>
    </w:p>
    <w:p>
      <w:pPr>
        <w:pStyle w:val="Heading3"/>
        <w:spacing w:lineRule="auto" w:line="360"/>
        <w:rPr>
          <w:bCs/>
          <w:szCs w:val="24"/>
          <w:lang w:val="en-US"/>
        </w:rPr>
      </w:pPr>
      <w:r>
        <w:rPr/>
        <w:t>6.2</w:t>
        <w:tab/>
        <w:t xml:space="preserve">Capital to Assets Ratio </w:t>
      </w:r>
    </w:p>
    <w:p>
      <w:pPr>
        <w:pStyle w:val="Normal"/>
        <w:spacing w:lineRule="auto" w:line="360"/>
        <w:rPr>
          <w:bCs/>
          <w:szCs w:val="24"/>
          <w:lang w:val="en-US"/>
        </w:rPr>
      </w:pPr>
      <w:r>
        <w:rPr/>
        <w:t xml:space="preserve">Regression results for the drivers of the capital-output ratio among MFIs in Africa appear in Table 4.  Capital assets ratio is the ratio of total equity to total assets and the inverse of debt to equity ratio. Going by the definition, we expect the opposite of the results obtained in section 7.1. Again, size, profit margin, and legal status are related to the equity to total assets ratio. A 1% change in the size of an MFI corresponds to a 3% reduction in capital to assets ratio. At the same time, profit margin appears to have a one to one relationship with capital assets ratio. Profit margins correspond to more retained earnings, giving a boost to internal equity. On the other hand, large firms would have a lower propensity to retain earnings given their capacity to access capital markets.  </w:t>
      </w:r>
    </w:p>
    <w:p>
      <w:pPr>
        <w:pStyle w:val="Normal"/>
        <w:spacing w:lineRule="auto" w:line="360"/>
        <w:rPr>
          <w:bCs/>
          <w:szCs w:val="24"/>
          <w:lang w:val="en-US"/>
        </w:rPr>
      </w:pPr>
      <w:r>
        <w:rPr/>
      </w:r>
    </w:p>
    <w:p>
      <w:pPr>
        <w:pStyle w:val="Normal"/>
        <w:spacing w:lineRule="auto" w:line="360"/>
        <w:rPr>
          <w:bCs/>
          <w:szCs w:val="24"/>
          <w:lang w:val="en-US"/>
        </w:rPr>
      </w:pPr>
      <w:r>
        <w:rPr/>
        <w:t xml:space="preserve">Asset structure, financial sector development and education are not significant factors. Compared to mature firms, new and young MFIs have a higher capital to assets ratio. New MFIs have a higher capital to assets ratio compared to young MFIs. The implication is that new entrants finance their operations using equity – mostly internal equity, mostly retained earnings given that capital market development is not a significant determinant of capital asset ratio. </w:t>
      </w:r>
    </w:p>
    <w:p>
      <w:pPr>
        <w:pStyle w:val="Normal"/>
        <w:spacing w:lineRule="auto" w:line="360"/>
        <w:rPr>
          <w:bCs/>
          <w:szCs w:val="24"/>
          <w:lang w:val="en-US"/>
        </w:rPr>
      </w:pPr>
      <w:r>
        <w:rPr/>
      </w:r>
    </w:p>
    <w:p>
      <w:pPr>
        <w:pStyle w:val="Normal"/>
        <w:spacing w:lineRule="auto" w:line="360"/>
        <w:rPr>
          <w:bCs/>
          <w:szCs w:val="24"/>
          <w:lang w:val="en-US"/>
        </w:rPr>
      </w:pPr>
      <w:r>
        <w:rPr/>
        <w:t xml:space="preserve">The results also reflect the market conditions where donations and subsidies are getting less available as donors begin to stress sustainability. Mature firms have a long-running relationship with donors and hence rely more on subsidies and donations relative to equity capital. NGOs and NBFIs have higher equity to assets ratio compared to commercial banks- with NGOs having the highest capital to assets ratio. There is no significant relationship between cooperatives and their capital to assets ratio. However, the sign of the coefficient is negative, meaning commercial banks tend to have more equity than cooperatives. Characteristically, commercial banks tend to be more leveraged compared to other financial intermediaries because they have the license and scale to garner deposits and other debt instruments, which could explain the pattern of results. </w:t>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pStyle w:val="Normal"/>
        <w:spacing w:lineRule="auto" w:line="360"/>
        <w:rPr>
          <w:bCs/>
          <w:szCs w:val="24"/>
          <w:lang w:val="en-US"/>
        </w:rPr>
      </w:pPr>
      <w:r>
        <w:rPr/>
      </w:r>
    </w:p>
    <w:p>
      <w:pPr>
        <w:sectPr>
          <w:footerReference w:type="default" r:id="rId26"/>
          <w:footnotePr>
            <w:numFmt w:val="decimal"/>
          </w:footnotePr>
          <w:type w:val="nextPage"/>
          <w:pgSz w:w="12240" w:h="15840"/>
          <w:pgMar w:left="1440" w:right="1440" w:header="0" w:top="1440" w:footer="720" w:bottom="1440" w:gutter="0"/>
          <w:pgNumType w:fmt="decimal"/>
          <w:formProt w:val="false"/>
          <w:textDirection w:val="lrTb"/>
          <w:docGrid w:type="default" w:linePitch="326" w:charSpace="0"/>
        </w:sectPr>
        <w:pStyle w:val="Normal"/>
        <w:spacing w:lineRule="auto" w:line="360"/>
        <w:rPr>
          <w:bCs/>
          <w:szCs w:val="24"/>
          <w:lang w:val="en-US"/>
        </w:rPr>
      </w:pPr>
      <w:r>
        <w:rPr/>
      </w:r>
    </w:p>
    <w:p>
      <w:pPr>
        <w:pStyle w:val="Normal"/>
        <w:spacing w:lineRule="auto" w:line="360"/>
        <w:rPr>
          <w:lang w:eastAsia="en-US"/>
        </w:rPr>
      </w:pPr>
      <w:r>
        <w:rPr/>
      </w:r>
    </w:p>
    <w:p>
      <w:pPr>
        <w:pStyle w:val="Caption1"/>
        <w:rPr>
          <w:i w:val="false"/>
          <w:i w:val="false"/>
          <w:iCs w:val="false"/>
          <w:sz w:val="24"/>
          <w:szCs w:val="24"/>
        </w:rPr>
      </w:pPr>
      <w:r>
        <w:rPr>
          <w:i w:val="false"/>
          <w:iCs w:val="false"/>
          <w:sz w:val="24"/>
          <w:szCs w:val="24"/>
        </w:rPr>
        <w:t xml:space="preserve">Table </w:t>
      </w:r>
      <w:r>
        <w:rPr>
          <w:i w:val="false"/>
          <w:iCs w:val="false"/>
          <w:sz w:val="24"/>
          <w:szCs w:val="24"/>
        </w:rPr>
        <w:fldChar w:fldCharType="begin"/>
      </w:r>
      <w:r>
        <w:rPr>
          <w:sz w:val="24"/>
          <w:i w:val="false"/>
          <w:szCs w:val="24"/>
          <w:iCs w:val="false"/>
        </w:rPr>
        <w:instrText> SEQ Table \* ARABIC </w:instrText>
      </w:r>
      <w:r>
        <w:rPr>
          <w:sz w:val="24"/>
          <w:i w:val="false"/>
          <w:szCs w:val="24"/>
          <w:iCs w:val="false"/>
        </w:rPr>
        <w:fldChar w:fldCharType="separate"/>
      </w:r>
      <w:r>
        <w:rPr>
          <w:sz w:val="24"/>
          <w:i w:val="false"/>
          <w:szCs w:val="24"/>
          <w:iCs w:val="false"/>
        </w:rPr>
        <w:t>5</w:t>
      </w:r>
      <w:r>
        <w:rPr>
          <w:sz w:val="24"/>
          <w:i w:val="false"/>
          <w:szCs w:val="24"/>
          <w:iCs w:val="false"/>
        </w:rPr>
        <w:fldChar w:fldCharType="end"/>
      </w:r>
      <w:r>
        <w:rPr>
          <w:i w:val="false"/>
          <w:iCs w:val="false"/>
          <w:sz w:val="24"/>
          <w:szCs w:val="24"/>
        </w:rPr>
        <w:t>: Random Effects (RE) and Fixed Effects (FE) and Pooled OLS Regression output for Capital to Assets Ratio</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659"/>
        <w:gridCol w:w="1465"/>
        <w:gridCol w:w="1716"/>
        <w:gridCol w:w="1716"/>
        <w:gridCol w:w="1451"/>
        <w:gridCol w:w="1322"/>
        <w:gridCol w:w="1630"/>
      </w:tblGrid>
      <w:tr>
        <w:trPr>
          <w:trHeight w:val="320" w:hRule="atLeast"/>
        </w:trPr>
        <w:tc>
          <w:tcPr>
            <w:tcW w:w="12959" w:type="dxa"/>
            <w:gridSpan w:val="7"/>
            <w:tcBorders>
              <w:bottom w:val="single" w:sz="12" w:space="0" w:color="002060"/>
            </w:tcBorders>
            <w:shd w:color="000000" w:fill="FFFFFF" w:val="clear"/>
            <w:vAlign w:val="bottom"/>
          </w:tcPr>
          <w:p>
            <w:pPr>
              <w:pStyle w:val="Normal"/>
              <w:widowControl w:val="false"/>
              <w:spacing w:lineRule="auto" w:line="240"/>
              <w:jc w:val="center"/>
              <w:rPr>
                <w:rFonts w:cs="Calibri"/>
                <w:b/>
                <w:b/>
                <w:bCs/>
                <w:color w:val="000000"/>
                <w:sz w:val="16"/>
                <w:szCs w:val="16"/>
              </w:rPr>
            </w:pPr>
            <w:r>
              <w:rPr>
                <w:rFonts w:cs="Calibri"/>
                <w:b/>
                <w:bCs/>
                <w:color w:val="000000"/>
                <w:sz w:val="16"/>
                <w:szCs w:val="16"/>
              </w:rPr>
              <w:t>CAPITAL TO ASSETS RATIO</w:t>
            </w:r>
          </w:p>
        </w:tc>
      </w:tr>
      <w:tr>
        <w:trPr>
          <w:trHeight w:val="330" w:hRule="atLeast"/>
        </w:trPr>
        <w:tc>
          <w:tcPr>
            <w:tcW w:w="3659"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65"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(1)</w:t>
            </w:r>
          </w:p>
        </w:tc>
        <w:tc>
          <w:tcPr>
            <w:tcW w:w="1716"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(2)</w:t>
            </w:r>
          </w:p>
        </w:tc>
        <w:tc>
          <w:tcPr>
            <w:tcW w:w="1716"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(3)</w:t>
            </w:r>
          </w:p>
        </w:tc>
        <w:tc>
          <w:tcPr>
            <w:tcW w:w="1451"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(4)</w:t>
            </w:r>
          </w:p>
        </w:tc>
        <w:tc>
          <w:tcPr>
            <w:tcW w:w="1322"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(5)</w:t>
            </w:r>
          </w:p>
        </w:tc>
        <w:tc>
          <w:tcPr>
            <w:tcW w:w="1630"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(6)</w:t>
            </w:r>
          </w:p>
        </w:tc>
      </w:tr>
      <w:tr>
        <w:trPr>
          <w:trHeight w:val="330" w:hRule="atLeast"/>
        </w:trPr>
        <w:tc>
          <w:tcPr>
            <w:tcW w:w="3659" w:type="dxa"/>
            <w:tcBorders>
              <w:bottom w:val="single" w:sz="12" w:space="0" w:color="002060"/>
            </w:tcBorders>
            <w:shd w:color="000000" w:fill="FFFFFF" w:val="clear"/>
          </w:tcPr>
          <w:p>
            <w:pPr>
              <w:pStyle w:val="Normal"/>
              <w:widowControl w:val="false"/>
              <w:spacing w:lineRule="auto" w:line="240"/>
              <w:jc w:val="left"/>
              <w:rPr>
                <w:rFonts w:cs="Calibri"/>
                <w:color w:val="000000"/>
                <w:sz w:val="16"/>
                <w:szCs w:val="16"/>
              </w:rPr>
            </w:pPr>
            <w:r>
              <w:rPr>
                <w:rFonts w:cs="Calibri"/>
                <w:color w:val="000000"/>
                <w:sz w:val="16"/>
                <w:szCs w:val="16"/>
              </w:rPr>
              <w:t>Model</w:t>
            </w:r>
          </w:p>
        </w:tc>
        <w:tc>
          <w:tcPr>
            <w:tcW w:w="1465"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Full Data</w:t>
            </w:r>
          </w:p>
        </w:tc>
        <w:tc>
          <w:tcPr>
            <w:tcW w:w="1716"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(&gt;=5 Years)</w:t>
            </w:r>
          </w:p>
        </w:tc>
        <w:tc>
          <w:tcPr>
            <w:tcW w:w="1716"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(&gt;=3 Years)</w:t>
            </w:r>
          </w:p>
        </w:tc>
        <w:tc>
          <w:tcPr>
            <w:tcW w:w="1451"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FE- Full Data</w:t>
            </w:r>
          </w:p>
        </w:tc>
        <w:tc>
          <w:tcPr>
            <w:tcW w:w="1322"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Pooled OLS</w:t>
            </w:r>
          </w:p>
        </w:tc>
        <w:tc>
          <w:tcPr>
            <w:tcW w:w="1630" w:type="dxa"/>
            <w:tcBorders>
              <w:bottom w:val="single" w:sz="12" w:space="0" w:color="002060"/>
            </w:tcBorders>
            <w:shd w:color="000000" w:fill="FFFFFF" w:val="clear"/>
          </w:tcPr>
          <w:p>
            <w:pPr>
              <w:pStyle w:val="Normal"/>
              <w:widowControl w:val="false"/>
              <w:spacing w:lineRule="auto" w:line="240"/>
              <w:jc w:val="right"/>
              <w:rPr>
                <w:rFonts w:cs="Calibri"/>
                <w:color w:val="000000"/>
                <w:sz w:val="16"/>
                <w:szCs w:val="16"/>
              </w:rPr>
            </w:pPr>
            <w:r>
              <w:rPr>
                <w:rFonts w:cs="Calibri"/>
                <w:color w:val="000000"/>
                <w:sz w:val="16"/>
                <w:szCs w:val="16"/>
              </w:rPr>
              <w:t>RE- Winsorized</w:t>
            </w:r>
          </w:p>
        </w:tc>
      </w:tr>
      <w:tr>
        <w:trPr>
          <w:trHeight w:val="370" w:hRule="atLeast"/>
        </w:trPr>
        <w:tc>
          <w:tcPr>
            <w:tcW w:w="3659" w:type="dxa"/>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-0.013</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-0.018</w:t>
            </w:r>
            <w:r>
              <w:rPr>
                <w:rFonts w:cs="Calibri"/>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-0.028</w:t>
            </w:r>
            <w:r>
              <w:rPr>
                <w:rFonts w:cs="Calibri"/>
                <w:color w:val="000000"/>
                <w:sz w:val="16"/>
                <w:szCs w:val="16"/>
                <w:vertAlign w:val="superscript"/>
              </w:rPr>
              <w:t>***</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-0.031</w:t>
            </w:r>
            <w:r>
              <w:rPr>
                <w:rFonts w:cs="Calibri"/>
                <w:color w:val="000000"/>
                <w:sz w:val="16"/>
                <w:szCs w:val="16"/>
                <w:vertAlign w:val="superscript"/>
              </w:rPr>
              <w:t>***</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xml:space="preserve">Assets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(0.007)</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-0.0004</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-0.0005</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-0.0004</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0.0003</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KKM - Institutional Quality</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(0.004)</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-0.032</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-0.037</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-0.017</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-0.019</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Education</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(0.043)</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(0.044)</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(0.046)</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(0.025)</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(0.027)</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(0.027)</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-0.0005</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Financial Development</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(0.001)</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(0.000)</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r>
      <w:tr>
        <w:trPr>
          <w:trHeight w:val="36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0.283</w:t>
            </w:r>
            <w:r>
              <w:rPr>
                <w:rFonts w:cs="Calibri"/>
                <w:color w:val="000000"/>
                <w:sz w:val="16"/>
                <w:szCs w:val="16"/>
                <w:vertAlign w:val="superscript"/>
              </w:rPr>
              <w:t>*</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0.277</w:t>
            </w:r>
            <w:r>
              <w:rPr>
                <w:rFonts w:cs="Calibri"/>
                <w:color w:val="000000"/>
                <w:sz w:val="16"/>
                <w:szCs w:val="16"/>
                <w:vertAlign w:val="superscript"/>
              </w:rPr>
              <w:t>*</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0.254</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-0.166</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0.131</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Asset Structure/ Tangibility</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(0.148)</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(0.152)</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(0.162)</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(0.104)</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(0.137)</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(0.176)</w:t>
            </w:r>
          </w:p>
        </w:tc>
      </w:tr>
      <w:tr>
        <w:trPr>
          <w:trHeight w:val="36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0.010</w:t>
            </w:r>
            <w:r>
              <w:rPr>
                <w:rFonts w:cs="Calibri"/>
                <w:color w:val="000000"/>
                <w:sz w:val="16"/>
                <w:szCs w:val="16"/>
                <w:vertAlign w:val="superscript"/>
              </w:rPr>
              <w:t>*</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0.010</w:t>
            </w:r>
            <w:r>
              <w:rPr>
                <w:rFonts w:cs="Calibri"/>
                <w:color w:val="000000"/>
                <w:sz w:val="16"/>
                <w:szCs w:val="16"/>
                <w:vertAlign w:val="superscript"/>
              </w:rPr>
              <w:t>*</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0.009</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0.015</w:t>
            </w:r>
            <w:r>
              <w:rPr>
                <w:rFonts w:cs="Calibri"/>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0.033</w:t>
            </w:r>
            <w:r>
              <w:rPr>
                <w:rFonts w:cs="Calibri"/>
                <w:color w:val="000000"/>
                <w:sz w:val="16"/>
                <w:szCs w:val="16"/>
                <w:vertAlign w:val="superscript"/>
              </w:rPr>
              <w:t>***</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0.015</w:t>
            </w:r>
            <w:r>
              <w:rPr>
                <w:rFonts w:cs="Calibri"/>
                <w:color w:val="000000"/>
                <w:sz w:val="16"/>
                <w:szCs w:val="16"/>
                <w:vertAlign w:val="superscript"/>
              </w:rPr>
              <w:t>***</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Profit Margin</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(0.005)</w:t>
            </w:r>
          </w:p>
        </w:tc>
      </w:tr>
      <w:tr>
        <w:trPr>
          <w:trHeight w:val="36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-0.026</w:t>
            </w:r>
            <w:r>
              <w:rPr>
                <w:rFonts w:cs="Calibri"/>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-0.013</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0.003</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Legal Status: Bank</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(0.013)</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(0.015)</w:t>
            </w:r>
          </w:p>
        </w:tc>
      </w:tr>
      <w:tr>
        <w:trPr>
          <w:trHeight w:val="36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-0.041</w:t>
            </w:r>
            <w:r>
              <w:rPr>
                <w:rFonts w:cs="Calibri"/>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-0.033</w:t>
            </w:r>
            <w:r>
              <w:rPr>
                <w:rFonts w:cs="Calibri"/>
                <w:color w:val="000000"/>
                <w:sz w:val="16"/>
                <w:szCs w:val="16"/>
                <w:vertAlign w:val="superscript"/>
              </w:rPr>
              <w:t>***</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-0.030</w:t>
            </w:r>
            <w:r>
              <w:rPr>
                <w:rFonts w:cs="Calibri"/>
                <w:color w:val="000000"/>
                <w:sz w:val="16"/>
                <w:szCs w:val="16"/>
                <w:vertAlign w:val="superscript"/>
              </w:rPr>
              <w:t>**</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Legal Status: Credit Union/ Cooperative</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(0.012)</w:t>
            </w:r>
          </w:p>
        </w:tc>
      </w:tr>
      <w:tr>
        <w:trPr>
          <w:trHeight w:val="36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-0.020</w:t>
            </w:r>
            <w:r>
              <w:rPr>
                <w:rFonts w:cs="Calibri"/>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-0.009</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Legal Status: NBFI</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0.007</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Age: Young</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(0.007)</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(0.007)</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(0.008)</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(0.007)</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(0.006)</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0.018</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0.018</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0.019</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-0.002</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0.015</w:t>
            </w:r>
          </w:p>
        </w:tc>
      </w:tr>
      <w:tr>
        <w:trPr>
          <w:trHeight w:val="31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Age: New</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(0.013)</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(0.013)</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(0.014)</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(0.010)</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(0.010)</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(0.011)</w:t>
            </w:r>
          </w:p>
        </w:tc>
      </w:tr>
      <w:tr>
        <w:trPr>
          <w:trHeight w:val="360" w:hRule="atLeast"/>
        </w:trPr>
        <w:tc>
          <w:tcPr>
            <w:tcW w:w="3659" w:type="dxa"/>
            <w:tcBorders/>
            <w:shd w:color="000000" w:fill="FFFFFF" w:val="clear"/>
            <w:vAlign w:val="center"/>
          </w:tcPr>
          <w:p>
            <w:pPr>
              <w:pStyle w:val="Normal"/>
              <w:widowControl w:val="false"/>
              <w:spacing w:lineRule="auto" w:line="240"/>
              <w:jc w:val="left"/>
              <w:rPr>
                <w:rFonts w:cs="Calibri"/>
                <w:color w:val="000000"/>
                <w:sz w:val="16"/>
                <w:szCs w:val="16"/>
              </w:rPr>
            </w:pPr>
            <w:r>
              <w:rPr>
                <w:rFonts w:cs="Calibri"/>
                <w:color w:val="000000"/>
                <w:sz w:val="16"/>
                <w:szCs w:val="16"/>
              </w:rPr>
              <w:t> </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0.332</w:t>
            </w:r>
            <w:r>
              <w:rPr>
                <w:rFonts w:cs="Calibri"/>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0.492</w:t>
            </w:r>
            <w:r>
              <w:rPr>
                <w:rFonts w:cs="Calibri"/>
                <w:color w:val="000000"/>
                <w:sz w:val="16"/>
                <w:szCs w:val="16"/>
                <w:vertAlign w:val="superscript"/>
              </w:rPr>
              <w:t>***</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0.388</w:t>
            </w:r>
            <w:r>
              <w:rPr>
                <w:rFonts w:cs="Calibri"/>
                <w:color w:val="000000"/>
                <w:sz w:val="16"/>
                <w:szCs w:val="16"/>
                <w:vertAlign w:val="superscript"/>
              </w:rPr>
              <w:t>***</w:t>
            </w:r>
          </w:p>
        </w:tc>
      </w:tr>
      <w:tr>
        <w:trPr>
          <w:trHeight w:val="310" w:hRule="atLeast"/>
        </w:trPr>
        <w:tc>
          <w:tcPr>
            <w:tcW w:w="3659" w:type="dxa"/>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Constant</w:t>
            </w:r>
          </w:p>
        </w:tc>
        <w:tc>
          <w:tcPr>
            <w:tcW w:w="1465"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716"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451"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(0.049)</w:t>
            </w:r>
          </w:p>
        </w:tc>
        <w:tc>
          <w:tcPr>
            <w:tcW w:w="1322"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(0.054)</w:t>
            </w:r>
          </w:p>
        </w:tc>
        <w:tc>
          <w:tcPr>
            <w:tcW w:w="1630" w:type="dxa"/>
            <w:tcBorders/>
            <w:shd w:color="000000" w:fill="FFFFFF" w:val="clear"/>
            <w:vAlign w:val="center"/>
          </w:tcPr>
          <w:p>
            <w:pPr>
              <w:pStyle w:val="Normal"/>
              <w:widowControl w:val="false"/>
              <w:spacing w:lineRule="auto" w:line="240"/>
              <w:jc w:val="right"/>
              <w:rPr>
                <w:rFonts w:cs="Calibri"/>
                <w:color w:val="000000"/>
                <w:sz w:val="16"/>
                <w:szCs w:val="16"/>
              </w:rPr>
            </w:pPr>
            <w:r>
              <w:rPr>
                <w:rFonts w:cs="Calibri"/>
                <w:color w:val="000000"/>
                <w:sz w:val="16"/>
                <w:szCs w:val="16"/>
              </w:rPr>
              <w:t>(0.053)</w:t>
            </w:r>
          </w:p>
        </w:tc>
      </w:tr>
      <w:tr>
        <w:trPr>
          <w:trHeight w:val="320" w:hRule="atLeast"/>
        </w:trPr>
        <w:tc>
          <w:tcPr>
            <w:tcW w:w="3659" w:type="dxa"/>
            <w:tcBorders>
              <w:top w:val="single" w:sz="12" w:space="0" w:color="000000"/>
            </w:tcBorders>
            <w:shd w:color="000000" w:fill="FFFFFF" w:val="clear"/>
            <w:vAlign w:val="center"/>
          </w:tcPr>
          <w:p>
            <w:pPr>
              <w:pStyle w:val="Normal"/>
              <w:widowControl w:val="false"/>
              <w:spacing w:lineRule="auto" w:line="240"/>
              <w:jc w:val="left"/>
              <w:rPr>
                <w:color w:val="000000"/>
                <w:sz w:val="16"/>
                <w:szCs w:val="16"/>
              </w:rPr>
            </w:pPr>
            <w:r>
              <w:rPr>
                <w:color w:val="000000"/>
                <w:sz w:val="16"/>
                <w:szCs w:val="16"/>
              </w:rPr>
              <w:t>Observations</w:t>
            </w:r>
          </w:p>
        </w:tc>
        <w:tc>
          <w:tcPr>
            <w:tcW w:w="1465" w:type="dxa"/>
            <w:tcBorders>
              <w:top w:val="single" w:sz="12" w:space="0" w:color="000000"/>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897</w:t>
            </w:r>
          </w:p>
        </w:tc>
        <w:tc>
          <w:tcPr>
            <w:tcW w:w="1716" w:type="dxa"/>
            <w:tcBorders>
              <w:top w:val="single" w:sz="12" w:space="0" w:color="000000"/>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845</w:t>
            </w:r>
          </w:p>
        </w:tc>
        <w:tc>
          <w:tcPr>
            <w:tcW w:w="1716" w:type="dxa"/>
            <w:tcBorders>
              <w:top w:val="single" w:sz="12" w:space="0" w:color="000000"/>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769</w:t>
            </w:r>
          </w:p>
        </w:tc>
        <w:tc>
          <w:tcPr>
            <w:tcW w:w="1451" w:type="dxa"/>
            <w:tcBorders>
              <w:top w:val="single" w:sz="12" w:space="0" w:color="000000"/>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897</w:t>
            </w:r>
          </w:p>
        </w:tc>
        <w:tc>
          <w:tcPr>
            <w:tcW w:w="1322" w:type="dxa"/>
            <w:tcBorders>
              <w:top w:val="single" w:sz="12" w:space="0" w:color="000000"/>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897</w:t>
            </w:r>
          </w:p>
        </w:tc>
        <w:tc>
          <w:tcPr>
            <w:tcW w:w="1630" w:type="dxa"/>
            <w:tcBorders>
              <w:top w:val="single" w:sz="12" w:space="0" w:color="000000"/>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720</w:t>
            </w:r>
          </w:p>
        </w:tc>
      </w:tr>
      <w:tr>
        <w:trPr>
          <w:trHeight w:val="320" w:hRule="atLeast"/>
        </w:trPr>
        <w:tc>
          <w:tcPr>
            <w:tcW w:w="3659" w:type="dxa"/>
            <w:tcBorders/>
            <w:shd w:color="000000" w:fill="FFFFFF" w:val="clear"/>
            <w:vAlign w:val="center"/>
          </w:tcPr>
          <w:p>
            <w:pPr>
              <w:pStyle w:val="Normal"/>
              <w:widowControl w:val="false"/>
              <w:spacing w:lineRule="auto" w:line="240"/>
              <w:jc w:val="left"/>
              <w:rPr>
                <w:color w:val="000000"/>
                <w:sz w:val="16"/>
                <w:szCs w:val="16"/>
              </w:rPr>
            </w:pPr>
            <w:r>
              <w:rPr>
                <w:color w:val="000000"/>
                <w:sz w:val="16"/>
                <w:szCs w:val="16"/>
              </w:rPr>
              <w:t>R</w:t>
            </w:r>
            <w:r>
              <w:rPr>
                <w:color w:val="000000"/>
                <w:sz w:val="16"/>
                <w:szCs w:val="16"/>
                <w:vertAlign w:val="superscript"/>
              </w:rPr>
              <w:t>2</w:t>
            </w:r>
          </w:p>
        </w:tc>
        <w:tc>
          <w:tcPr>
            <w:tcW w:w="1465"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0.127</w:t>
            </w:r>
          </w:p>
        </w:tc>
        <w:tc>
          <w:tcPr>
            <w:tcW w:w="1716"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0.126</w:t>
            </w:r>
          </w:p>
        </w:tc>
        <w:tc>
          <w:tcPr>
            <w:tcW w:w="1716"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0.127</w:t>
            </w:r>
          </w:p>
        </w:tc>
        <w:tc>
          <w:tcPr>
            <w:tcW w:w="1451"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0.233</w:t>
            </w:r>
          </w:p>
        </w:tc>
        <w:tc>
          <w:tcPr>
            <w:tcW w:w="1322"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0.233</w:t>
            </w:r>
          </w:p>
        </w:tc>
        <w:tc>
          <w:tcPr>
            <w:tcW w:w="1630"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0.248</w:t>
            </w:r>
          </w:p>
        </w:tc>
      </w:tr>
      <w:tr>
        <w:trPr>
          <w:trHeight w:val="320" w:hRule="atLeast"/>
        </w:trPr>
        <w:tc>
          <w:tcPr>
            <w:tcW w:w="3659" w:type="dxa"/>
            <w:tcBorders/>
            <w:shd w:color="000000" w:fill="FFFFFF" w:val="clear"/>
            <w:vAlign w:val="center"/>
          </w:tcPr>
          <w:p>
            <w:pPr>
              <w:pStyle w:val="Normal"/>
              <w:widowControl w:val="false"/>
              <w:spacing w:lineRule="auto" w:line="240"/>
              <w:jc w:val="left"/>
              <w:rPr>
                <w:color w:val="000000"/>
                <w:sz w:val="16"/>
                <w:szCs w:val="16"/>
              </w:rPr>
            </w:pPr>
            <w:r>
              <w:rPr>
                <w:color w:val="000000"/>
                <w:sz w:val="16"/>
                <w:szCs w:val="16"/>
              </w:rPr>
              <w:t>Adjusted R</w:t>
            </w:r>
            <w:r>
              <w:rPr>
                <w:color w:val="000000"/>
                <w:sz w:val="16"/>
                <w:szCs w:val="16"/>
                <w:vertAlign w:val="superscript"/>
              </w:rPr>
              <w:t>2</w:t>
            </w:r>
          </w:p>
        </w:tc>
        <w:tc>
          <w:tcPr>
            <w:tcW w:w="1465"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-0.157</w:t>
            </w:r>
          </w:p>
        </w:tc>
        <w:tc>
          <w:tcPr>
            <w:tcW w:w="1716"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-0.11</w:t>
            </w:r>
          </w:p>
        </w:tc>
        <w:tc>
          <w:tcPr>
            <w:tcW w:w="1716"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-0.088</w:t>
            </w:r>
          </w:p>
        </w:tc>
        <w:tc>
          <w:tcPr>
            <w:tcW w:w="1451"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0.206</w:t>
            </w:r>
          </w:p>
        </w:tc>
        <w:tc>
          <w:tcPr>
            <w:tcW w:w="1322"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0.207</w:t>
            </w:r>
          </w:p>
        </w:tc>
        <w:tc>
          <w:tcPr>
            <w:tcW w:w="1630"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0.215</w:t>
            </w:r>
          </w:p>
        </w:tc>
      </w:tr>
      <w:tr>
        <w:trPr>
          <w:trHeight w:val="320" w:hRule="atLeast"/>
        </w:trPr>
        <w:tc>
          <w:tcPr>
            <w:tcW w:w="3659" w:type="dxa"/>
            <w:tcBorders/>
            <w:shd w:color="000000" w:fill="FFFFFF" w:val="clear"/>
            <w:vAlign w:val="center"/>
          </w:tcPr>
          <w:p>
            <w:pPr>
              <w:pStyle w:val="Normal"/>
              <w:widowControl w:val="false"/>
              <w:spacing w:lineRule="auto" w:line="240"/>
              <w:jc w:val="left"/>
              <w:rPr>
                <w:color w:val="000000"/>
                <w:sz w:val="16"/>
                <w:szCs w:val="16"/>
              </w:rPr>
            </w:pPr>
            <w:r>
              <w:rPr>
                <w:color w:val="000000"/>
                <w:sz w:val="16"/>
                <w:szCs w:val="16"/>
              </w:rPr>
              <w:t>F Statistic</w:t>
            </w:r>
          </w:p>
        </w:tc>
        <w:tc>
          <w:tcPr>
            <w:tcW w:w="1465"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3.645</w:t>
            </w:r>
            <w:r>
              <w:rPr>
                <w:color w:val="000000"/>
                <w:sz w:val="16"/>
                <w:szCs w:val="16"/>
                <w:vertAlign w:val="superscript"/>
              </w:rPr>
              <w:t>***</w:t>
            </w:r>
            <w:r>
              <w:rPr>
                <w:color w:val="000000"/>
                <w:sz w:val="16"/>
                <w:szCs w:val="16"/>
              </w:rPr>
              <w:t> </w:t>
            </w:r>
          </w:p>
        </w:tc>
        <w:tc>
          <w:tcPr>
            <w:tcW w:w="1716"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3.561</w:t>
            </w:r>
            <w:r>
              <w:rPr>
                <w:color w:val="000000"/>
                <w:sz w:val="16"/>
                <w:szCs w:val="16"/>
                <w:vertAlign w:val="superscript"/>
              </w:rPr>
              <w:t>***</w:t>
            </w:r>
            <w:r>
              <w:rPr>
                <w:color w:val="000000"/>
                <w:sz w:val="16"/>
                <w:szCs w:val="16"/>
              </w:rPr>
              <w:t> </w:t>
            </w:r>
          </w:p>
        </w:tc>
        <w:tc>
          <w:tcPr>
            <w:tcW w:w="1716"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3.320</w:t>
            </w:r>
            <w:r>
              <w:rPr>
                <w:color w:val="000000"/>
                <w:sz w:val="16"/>
                <w:szCs w:val="16"/>
                <w:vertAlign w:val="superscript"/>
              </w:rPr>
              <w:t>***</w:t>
            </w:r>
            <w:r>
              <w:rPr>
                <w:color w:val="000000"/>
                <w:sz w:val="16"/>
                <w:szCs w:val="16"/>
              </w:rPr>
              <w:t> </w:t>
            </w:r>
          </w:p>
        </w:tc>
        <w:tc>
          <w:tcPr>
            <w:tcW w:w="1451"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261.243</w:t>
            </w:r>
            <w:r>
              <w:rPr>
                <w:color w:val="000000"/>
                <w:sz w:val="16"/>
                <w:szCs w:val="16"/>
                <w:vertAlign w:val="superscript"/>
              </w:rPr>
              <w:t>***</w:t>
            </w:r>
          </w:p>
        </w:tc>
        <w:tc>
          <w:tcPr>
            <w:tcW w:w="1322"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8.781</w:t>
            </w:r>
            <w:r>
              <w:rPr>
                <w:color w:val="000000"/>
                <w:sz w:val="16"/>
                <w:szCs w:val="16"/>
                <w:vertAlign w:val="superscript"/>
              </w:rPr>
              <w:t>***</w:t>
            </w:r>
          </w:p>
        </w:tc>
        <w:tc>
          <w:tcPr>
            <w:tcW w:w="1630" w:type="dxa"/>
            <w:tcBorders/>
            <w:shd w:color="000000" w:fill="FFFFFF" w:val="clear"/>
            <w:vAlign w:val="center"/>
          </w:tcPr>
          <w:p>
            <w:pPr>
              <w:pStyle w:val="Normal"/>
              <w:widowControl w:val="false"/>
              <w:spacing w:lineRule="auto" w:line="240"/>
              <w:jc w:val="right"/>
              <w:rPr>
                <w:color w:val="000000"/>
                <w:sz w:val="16"/>
                <w:szCs w:val="16"/>
              </w:rPr>
            </w:pPr>
            <w:r>
              <w:rPr>
                <w:color w:val="000000"/>
                <w:sz w:val="16"/>
                <w:szCs w:val="16"/>
              </w:rPr>
              <w:t>226.619</w:t>
            </w:r>
            <w:r>
              <w:rPr>
                <w:color w:val="000000"/>
                <w:sz w:val="16"/>
                <w:szCs w:val="16"/>
                <w:vertAlign w:val="superscript"/>
              </w:rPr>
              <w:t>***</w:t>
            </w:r>
          </w:p>
        </w:tc>
      </w:tr>
      <w:tr>
        <w:trPr>
          <w:trHeight w:val="320" w:hRule="atLeast"/>
        </w:trPr>
        <w:tc>
          <w:tcPr>
            <w:tcW w:w="3659" w:type="dxa"/>
            <w:tcBorders>
              <w:bottom w:val="single" w:sz="12" w:space="0" w:color="002060"/>
            </w:tcBorders>
            <w:shd w:color="000000" w:fill="FFFFFF" w:val="clear"/>
            <w:vAlign w:val="bottom"/>
          </w:tcPr>
          <w:p>
            <w:pPr>
              <w:pStyle w:val="Normal"/>
              <w:widowControl w:val="false"/>
              <w:spacing w:lineRule="auto" w:line="240"/>
              <w:jc w:val="left"/>
              <w:rPr>
                <w:rFonts w:cs="Calibri"/>
                <w:color w:val="000000"/>
                <w:sz w:val="16"/>
                <w:szCs w:val="16"/>
              </w:rPr>
            </w:pPr>
            <w:r>
              <w:rPr>
                <w:rFonts w:cs="Calibri"/>
                <w:color w:val="000000"/>
                <w:sz w:val="16"/>
                <w:szCs w:val="16"/>
              </w:rPr>
              <w:t>DF</w:t>
            </w:r>
          </w:p>
        </w:tc>
        <w:tc>
          <w:tcPr>
            <w:tcW w:w="1465"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27(676)</w:t>
            </w:r>
          </w:p>
        </w:tc>
        <w:tc>
          <w:tcPr>
            <w:tcW w:w="1716"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27(664)</w:t>
            </w:r>
          </w:p>
        </w:tc>
        <w:tc>
          <w:tcPr>
            <w:tcW w:w="1716"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27(616)</w:t>
            </w:r>
          </w:p>
        </w:tc>
        <w:tc>
          <w:tcPr>
            <w:tcW w:w="1451"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c>
          <w:tcPr>
            <w:tcW w:w="1322"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r>
              <w:rPr>
                <w:rFonts w:cs="Calibri"/>
                <w:color w:val="000000"/>
                <w:sz w:val="16"/>
                <w:szCs w:val="16"/>
              </w:rPr>
              <w:t>30(866)</w:t>
            </w:r>
          </w:p>
        </w:tc>
        <w:tc>
          <w:tcPr>
            <w:tcW w:w="1630"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 w:val="16"/>
                <w:szCs w:val="16"/>
              </w:rPr>
            </w:pPr>
            <w:r>
              <w:rPr>
                <w:rFonts w:cs="Calibri"/>
                <w:color w:val="000000"/>
                <w:sz w:val="16"/>
                <w:szCs w:val="16"/>
              </w:rPr>
              <w:t> </w:t>
            </w:r>
          </w:p>
        </w:tc>
      </w:tr>
    </w:tbl>
    <w:p>
      <w:pPr>
        <w:pStyle w:val="Normal"/>
        <w:rPr>
          <w:lang w:eastAsia="en-US"/>
        </w:rPr>
      </w:pPr>
      <w:r>
        <w:rPr>
          <w:lang w:eastAsia="en-US"/>
        </w:rPr>
      </w:r>
    </w:p>
    <w:p>
      <w:pPr>
        <w:pStyle w:val="Normal"/>
        <w:rPr>
          <w:lang w:eastAsia="en-US"/>
        </w:rPr>
      </w:pPr>
      <w:r>
        <w:rPr/>
      </w:r>
    </w:p>
    <w:p>
      <w:pPr>
        <w:pStyle w:val="Normal"/>
        <w:ind w:firstLine="720"/>
        <w:rPr>
          <w:lang w:eastAsia="en-US"/>
        </w:rPr>
      </w:pPr>
      <w:r>
        <w:rPr/>
      </w:r>
    </w:p>
    <w:p>
      <w:pPr>
        <w:pStyle w:val="Normal"/>
        <w:ind w:firstLine="720"/>
        <w:rPr>
          <w:lang w:eastAsia="en-US"/>
        </w:rPr>
      </w:pPr>
      <w:r>
        <w:rPr/>
      </w:r>
    </w:p>
    <w:p>
      <w:pPr>
        <w:sectPr>
          <w:footerReference w:type="default" r:id="rId27"/>
          <w:footnotePr>
            <w:numFmt w:val="decimal"/>
          </w:footnotePr>
          <w:type w:val="nextPage"/>
          <w:pgSz w:orient="landscape" w:w="15840" w:h="12240"/>
          <w:pgMar w:left="1440" w:right="1440" w:header="0" w:top="1440" w:footer="720" w:bottom="1440" w:gutter="0"/>
          <w:pgNumType w:fmt="decimal"/>
          <w:formProt w:val="false"/>
          <w:textDirection w:val="lrTb"/>
          <w:docGrid w:type="default" w:linePitch="326" w:charSpace="0"/>
        </w:sectPr>
        <w:pStyle w:val="Normal"/>
        <w:rPr>
          <w:lang w:eastAsia="en-US"/>
        </w:rPr>
      </w:pPr>
      <w:r>
        <w:rPr/>
      </w:r>
    </w:p>
    <w:p>
      <w:pPr>
        <w:pStyle w:val="Heading3"/>
        <w:numPr>
          <w:ilvl w:val="1"/>
          <w:numId w:val="3"/>
        </w:numPr>
        <w:spacing w:lineRule="auto" w:line="360"/>
        <w:ind w:left="709" w:hanging="720"/>
        <w:rPr>
          <w:lang w:eastAsia="en-US"/>
        </w:rPr>
      </w:pPr>
      <w:r>
        <w:rPr/>
        <w:t>Deposits to Total Assets</w:t>
      </w:r>
    </w:p>
    <w:p>
      <w:pPr>
        <w:pStyle w:val="Normal"/>
        <w:spacing w:lineRule="auto" w:line="360"/>
        <w:rPr>
          <w:lang w:eastAsia="en-US"/>
        </w:rPr>
      </w:pPr>
      <w:r>
        <w:rPr/>
        <w:t xml:space="preserve">The drivers of deposits to assets in MFIs are country-level institutional quality (KKM) and the legal status of the MFI. KKM relates negatively to deposit mobilisation, holding all other variables constant. These results would imply that as institutional quality improves, people are less likely to maintain deposits, and instead, prefer the capital markets and other sorts of investments. The argument will hold if KKM supports the development of financial and other markets that facilitates investments with better returns than bank deposits offer. Indeed, although mostly insignificant, the degree of capital market development has a negative relationship with deposits to assets ratio which could render credence to the argument. </w:t>
      </w:r>
    </w:p>
    <w:p>
      <w:pPr>
        <w:pStyle w:val="Normal"/>
        <w:spacing w:lineRule="auto" w:line="360"/>
        <w:rPr>
          <w:lang w:eastAsia="en-US"/>
        </w:rPr>
      </w:pPr>
      <w:r>
        <w:rPr/>
      </w:r>
    </w:p>
    <w:p>
      <w:pPr>
        <w:sectPr>
          <w:footerReference w:type="default" r:id="rId28"/>
          <w:footnotePr>
            <w:numFmt w:val="decimal"/>
          </w:footnotePr>
          <w:type w:val="nextPage"/>
          <w:pgSz w:w="12240" w:h="15840"/>
          <w:pgMar w:left="1440" w:right="1440" w:header="0" w:top="1440" w:footer="720" w:bottom="1440" w:gutter="0"/>
          <w:pgNumType w:fmt="decimal"/>
          <w:formProt w:val="false"/>
          <w:textDirection w:val="lrTb"/>
          <w:docGrid w:type="default" w:linePitch="326" w:charSpace="0"/>
        </w:sectPr>
        <w:pStyle w:val="Normal"/>
        <w:spacing w:lineRule="auto" w:line="360"/>
        <w:rPr>
          <w:lang w:eastAsia="en-US"/>
        </w:rPr>
      </w:pPr>
      <w:r>
        <w:rPr/>
        <w:t xml:space="preserve">The legal status of an MFI is another primary driver the deposit to total earnings ratio for MFIs. NBFIs and NGOs tend to have fewer deposits than commercial banks. For NGOs, the shortage of deposits could be due to legal restrictions on deposit mobilisation. Credit Unions, on the other hand, thrive on taking deposits from members who raise their capacity for deposits mobilisation compared to commercial banks. The results illustrate that although the macroeconomic environment supports greater deposits mobilisations, the extent of the mobilisation will vary depending on the nature of the MFI. Hence, the transformation of MFIs must consider the vision of the organisation. Other features that appear to have a relationship, albeit weakly so are assets structure and financial development, both of which have negative coefficients. The association, however, is not consistent across models. </w:t>
      </w:r>
    </w:p>
    <w:p>
      <w:pPr>
        <w:pStyle w:val="Caption1"/>
        <w:rPr>
          <w:i w:val="false"/>
          <w:i w:val="false"/>
          <w:iCs w:val="false"/>
          <w:sz w:val="24"/>
          <w:szCs w:val="24"/>
        </w:rPr>
      </w:pPr>
      <w:r>
        <w:rPr>
          <w:i w:val="false"/>
          <w:iCs w:val="false"/>
          <w:sz w:val="24"/>
          <w:szCs w:val="24"/>
        </w:rPr>
        <w:t xml:space="preserve">Table </w:t>
      </w:r>
      <w:r>
        <w:rPr>
          <w:i w:val="false"/>
          <w:iCs w:val="false"/>
          <w:sz w:val="24"/>
          <w:szCs w:val="24"/>
        </w:rPr>
        <w:fldChar w:fldCharType="begin"/>
      </w:r>
      <w:r>
        <w:rPr>
          <w:sz w:val="24"/>
          <w:i w:val="false"/>
          <w:szCs w:val="24"/>
          <w:iCs w:val="false"/>
        </w:rPr>
        <w:instrText> SEQ Table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Regression Output for Deposits to Assets Ratio</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1816"/>
        <w:gridCol w:w="1668"/>
        <w:gridCol w:w="1668"/>
        <w:gridCol w:w="1371"/>
        <w:gridCol w:w="1222"/>
        <w:gridCol w:w="2048"/>
        <w:gridCol w:w="14"/>
      </w:tblGrid>
      <w:tr>
        <w:trPr>
          <w:trHeight w:val="320" w:hRule="atLeast"/>
        </w:trPr>
        <w:tc>
          <w:tcPr>
            <w:tcW w:w="12958" w:type="dxa"/>
            <w:gridSpan w:val="8"/>
            <w:tcBorders>
              <w:top w:val="single" w:sz="4" w:space="0" w:color="000000"/>
              <w:bottom w:val="single" w:sz="12" w:space="0" w:color="002060"/>
            </w:tcBorders>
            <w:shd w:color="000000" w:fill="FFFFFF" w:val="clear"/>
            <w:vAlign w:val="bottom"/>
          </w:tcPr>
          <w:p>
            <w:pPr>
              <w:pStyle w:val="Normal"/>
              <w:widowControl w:val="false"/>
              <w:spacing w:lineRule="auto" w:line="240"/>
              <w:jc w:val="center"/>
              <w:rPr>
                <w:rFonts w:cs="Calibri"/>
                <w:b/>
                <w:b/>
                <w:bCs/>
                <w:color w:val="000000"/>
                <w:szCs w:val="24"/>
              </w:rPr>
            </w:pPr>
            <w:r>
              <w:rPr>
                <w:rFonts w:cs="Calibri"/>
                <w:b/>
                <w:bCs/>
                <w:color w:val="000000"/>
                <w:szCs w:val="24"/>
              </w:rPr>
              <w:t>DEPOSITS TO ASSETS RATIO</w:t>
            </w:r>
          </w:p>
        </w:tc>
      </w:tr>
      <w:tr>
        <w:trPr>
          <w:trHeight w:val="330" w:hRule="atLeast"/>
        </w:trPr>
        <w:tc>
          <w:tcPr>
            <w:tcW w:w="3151"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816"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(1)</w:t>
            </w:r>
          </w:p>
        </w:tc>
        <w:tc>
          <w:tcPr>
            <w:tcW w:w="1668"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(2)</w:t>
            </w:r>
          </w:p>
        </w:tc>
        <w:tc>
          <w:tcPr>
            <w:tcW w:w="1668"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(3)</w:t>
            </w:r>
          </w:p>
        </w:tc>
        <w:tc>
          <w:tcPr>
            <w:tcW w:w="1371"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(4)</w:t>
            </w:r>
          </w:p>
        </w:tc>
        <w:tc>
          <w:tcPr>
            <w:tcW w:w="1222"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(5)</w:t>
            </w:r>
          </w:p>
        </w:tc>
        <w:tc>
          <w:tcPr>
            <w:tcW w:w="2048" w:type="dxa"/>
            <w:tcBorders>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(6)</w:t>
            </w:r>
          </w:p>
        </w:tc>
        <w:tc>
          <w:tcPr>
            <w:tcW w:w="14" w:type="dxa"/>
            <w:tcBorders/>
          </w:tcPr>
          <w:p>
            <w:pPr>
              <w:pStyle w:val="Normal"/>
              <w:widowControl w:val="false"/>
              <w:rPr>
                <w:lang w:eastAsia="en-US"/>
              </w:rPr>
            </w:pPr>
            <w:r>
              <w:rPr/>
            </w:r>
          </w:p>
        </w:tc>
      </w:tr>
      <w:tr>
        <w:trPr>
          <w:trHeight w:val="950" w:hRule="atLeast"/>
        </w:trPr>
        <w:tc>
          <w:tcPr>
            <w:tcW w:w="3151" w:type="dxa"/>
            <w:tcBorders>
              <w:bottom w:val="single" w:sz="12" w:space="0" w:color="002060"/>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Model</w:t>
            </w:r>
          </w:p>
        </w:tc>
        <w:tc>
          <w:tcPr>
            <w:tcW w:w="1816"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Random </w:t>
            </w:r>
          </w:p>
          <w:p>
            <w:pPr>
              <w:pStyle w:val="Normal"/>
              <w:widowControl w:val="false"/>
              <w:spacing w:lineRule="auto" w:line="240"/>
              <w:jc w:val="right"/>
              <w:rPr>
                <w:rFonts w:cs="Calibri"/>
                <w:color w:val="000000"/>
                <w:szCs w:val="24"/>
              </w:rPr>
            </w:pPr>
            <w:r>
              <w:rPr>
                <w:rFonts w:cs="Calibri"/>
                <w:color w:val="000000"/>
                <w:szCs w:val="24"/>
              </w:rPr>
              <w:t>Effects - Full Data</w:t>
            </w:r>
          </w:p>
        </w:tc>
        <w:tc>
          <w:tcPr>
            <w:tcW w:w="1668"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Random </w:t>
            </w:r>
          </w:p>
          <w:p>
            <w:pPr>
              <w:pStyle w:val="Normal"/>
              <w:widowControl w:val="false"/>
              <w:spacing w:lineRule="auto" w:line="240"/>
              <w:jc w:val="right"/>
              <w:rPr>
                <w:rFonts w:cs="Calibri"/>
                <w:color w:val="000000"/>
                <w:szCs w:val="24"/>
              </w:rPr>
            </w:pPr>
            <w:r>
              <w:rPr>
                <w:rFonts w:cs="Calibri"/>
                <w:color w:val="000000"/>
                <w:szCs w:val="24"/>
              </w:rPr>
              <w:t>Effects (&gt;=5 Years)</w:t>
            </w:r>
          </w:p>
        </w:tc>
        <w:tc>
          <w:tcPr>
            <w:tcW w:w="1668"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Random </w:t>
            </w:r>
          </w:p>
          <w:p>
            <w:pPr>
              <w:pStyle w:val="Normal"/>
              <w:widowControl w:val="false"/>
              <w:spacing w:lineRule="auto" w:line="240"/>
              <w:jc w:val="right"/>
              <w:rPr>
                <w:rFonts w:cs="Calibri"/>
                <w:color w:val="000000"/>
                <w:szCs w:val="24"/>
              </w:rPr>
            </w:pPr>
            <w:r>
              <w:rPr>
                <w:rFonts w:cs="Calibri"/>
                <w:color w:val="000000"/>
                <w:szCs w:val="24"/>
              </w:rPr>
              <w:t>Effects (&gt;=3 Years)</w:t>
            </w:r>
          </w:p>
        </w:tc>
        <w:tc>
          <w:tcPr>
            <w:tcW w:w="1371"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Fixed </w:t>
            </w:r>
          </w:p>
          <w:p>
            <w:pPr>
              <w:pStyle w:val="Normal"/>
              <w:widowControl w:val="false"/>
              <w:spacing w:lineRule="auto" w:line="240"/>
              <w:jc w:val="right"/>
              <w:rPr>
                <w:rFonts w:cs="Calibri"/>
                <w:color w:val="000000"/>
                <w:szCs w:val="24"/>
              </w:rPr>
            </w:pPr>
            <w:r>
              <w:rPr>
                <w:rFonts w:cs="Calibri"/>
                <w:color w:val="000000"/>
                <w:szCs w:val="24"/>
              </w:rPr>
              <w:t xml:space="preserve">Effects- </w:t>
            </w:r>
          </w:p>
          <w:p>
            <w:pPr>
              <w:pStyle w:val="Normal"/>
              <w:widowControl w:val="false"/>
              <w:spacing w:lineRule="auto" w:line="240"/>
              <w:jc w:val="right"/>
              <w:rPr>
                <w:rFonts w:cs="Calibri"/>
                <w:color w:val="000000"/>
                <w:szCs w:val="24"/>
              </w:rPr>
            </w:pPr>
            <w:r>
              <w:rPr>
                <w:rFonts w:cs="Calibri"/>
                <w:color w:val="000000"/>
                <w:szCs w:val="24"/>
              </w:rPr>
              <w:t>Full Data</w:t>
            </w:r>
          </w:p>
        </w:tc>
        <w:tc>
          <w:tcPr>
            <w:tcW w:w="1222"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Pooled </w:t>
            </w:r>
          </w:p>
          <w:p>
            <w:pPr>
              <w:pStyle w:val="Normal"/>
              <w:widowControl w:val="false"/>
              <w:spacing w:lineRule="auto" w:line="240"/>
              <w:jc w:val="right"/>
              <w:rPr>
                <w:rFonts w:cs="Calibri"/>
                <w:color w:val="000000"/>
                <w:szCs w:val="24"/>
              </w:rPr>
            </w:pPr>
            <w:r>
              <w:rPr>
                <w:rFonts w:cs="Calibri"/>
                <w:color w:val="000000"/>
                <w:szCs w:val="24"/>
              </w:rPr>
              <w:t>OLS</w:t>
            </w:r>
          </w:p>
        </w:tc>
        <w:tc>
          <w:tcPr>
            <w:tcW w:w="2048"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Random </w:t>
            </w:r>
          </w:p>
          <w:p>
            <w:pPr>
              <w:pStyle w:val="Normal"/>
              <w:widowControl w:val="false"/>
              <w:spacing w:lineRule="auto" w:line="240"/>
              <w:jc w:val="right"/>
              <w:rPr>
                <w:rFonts w:cs="Calibri"/>
                <w:color w:val="000000"/>
                <w:szCs w:val="24"/>
              </w:rPr>
            </w:pPr>
            <w:r>
              <w:rPr>
                <w:rFonts w:cs="Calibri"/>
                <w:color w:val="000000"/>
                <w:szCs w:val="24"/>
              </w:rPr>
              <w:t>Effects</w:t>
            </w:r>
          </w:p>
          <w:p>
            <w:pPr>
              <w:pStyle w:val="Normal"/>
              <w:widowControl w:val="false"/>
              <w:spacing w:lineRule="auto" w:line="240"/>
              <w:jc w:val="right"/>
              <w:rPr>
                <w:rFonts w:cs="Calibri"/>
                <w:color w:val="000000"/>
                <w:szCs w:val="24"/>
              </w:rPr>
            </w:pPr>
            <w:r>
              <w:rPr>
                <w:rFonts w:cs="Calibri"/>
                <w:color w:val="000000"/>
                <w:szCs w:val="24"/>
              </w:rPr>
              <w:t>Winsorized Data</w:t>
            </w:r>
          </w:p>
        </w:tc>
        <w:tc>
          <w:tcPr>
            <w:tcW w:w="14" w:type="dxa"/>
            <w:tcBorders/>
          </w:tcPr>
          <w:p>
            <w:pPr>
              <w:pStyle w:val="Normal"/>
              <w:widowControl w:val="false"/>
              <w:rPr>
                <w:lang w:eastAsia="en-US"/>
              </w:rPr>
            </w:pPr>
            <w:r>
              <w:rPr/>
            </w:r>
          </w:p>
        </w:tc>
      </w:tr>
      <w:tr>
        <w:trPr>
          <w:trHeight w:val="320" w:hRule="atLeast"/>
        </w:trPr>
        <w:tc>
          <w:tcPr>
            <w:tcW w:w="315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xml:space="preserve">Assets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0.002</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0.002</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0.003</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-0.004</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0.023***</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0.008</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KKM - Institutional Quality</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-0.008**</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-0.011***</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-0.009**</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-0.010***</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-0.008**</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(0.009)</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Education</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0.011</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0.036</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(0.017)</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0.039</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0.013</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(0.025)</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(0.024)</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(0.025)</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(0.027)</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(0.040)</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(0.028)</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Financial Development</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-0.0002</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-0.0002</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-0.0002</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-0.0001</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-0.001</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-0.002</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Asset Structure/ Tangibility</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-0.145</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-0.168</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-0.166</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-0.247**</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0.245</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-0.216</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(0.099)</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(0.111)</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(0.104)</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(0.105)</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(0.208)</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(0.153)</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Profit Margin</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-0.022**</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-0.001</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(0.009)</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Legal Status: Bank</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0.072***</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0.053**</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0.055**</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0.032</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0.036</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(0.018)</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(0.023)</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(0.021)</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(0.021)</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(0.022)</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Legal Status: Credit Union</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0.078***</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0.077***</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0.068***</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0.062***</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0.076***</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(0.016)</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(0.019)</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(0.018)</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(0.019)</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(0.019)</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Legal Status: NBFI</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0.017</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0.011</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0.016</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-0.009</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0.005</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(0.016)</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(0.018)</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(0.017)</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(0.017)</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(0.018)</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Age: Young</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-0.005</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-0.007</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-0.006</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-0.003</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-0.022**</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-0.007</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(0.009)</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Age: New</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0.003</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0.001</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0.002</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0.003</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-0.001</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0.006</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66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37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222"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(0.013)</w:t>
            </w:r>
          </w:p>
        </w:tc>
        <w:tc>
          <w:tcPr>
            <w:tcW w:w="2048"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10" w:hRule="atLeast"/>
        </w:trPr>
        <w:tc>
          <w:tcPr>
            <w:tcW w:w="315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Constant</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0.090**</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0.126***</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0.085**</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-0.061</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0.066</w:t>
            </w:r>
          </w:p>
        </w:tc>
        <w:tc>
          <w:tcPr>
            <w:tcW w:w="14" w:type="dxa"/>
            <w:tcBorders/>
          </w:tcPr>
          <w:p>
            <w:pPr>
              <w:pStyle w:val="Normal"/>
              <w:widowControl w:val="false"/>
              <w:rPr>
                <w:lang w:eastAsia="en-US"/>
              </w:rPr>
            </w:pPr>
            <w:r>
              <w:rPr/>
            </w:r>
          </w:p>
        </w:tc>
      </w:tr>
      <w:tr>
        <w:trPr>
          <w:trHeight w:val="320" w:hRule="atLeast"/>
        </w:trPr>
        <w:tc>
          <w:tcPr>
            <w:tcW w:w="3151" w:type="dxa"/>
            <w:tcBorders>
              <w:bottom w:val="single" w:sz="12" w:space="0" w:color="000000"/>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816" w:type="dxa"/>
            <w:tcBorders>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(0.036)</w:t>
            </w:r>
          </w:p>
        </w:tc>
        <w:tc>
          <w:tcPr>
            <w:tcW w:w="1668" w:type="dxa"/>
            <w:tcBorders>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(0.042)</w:t>
            </w:r>
          </w:p>
        </w:tc>
        <w:tc>
          <w:tcPr>
            <w:tcW w:w="1668" w:type="dxa"/>
            <w:tcBorders>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(0.040)</w:t>
            </w:r>
          </w:p>
        </w:tc>
        <w:tc>
          <w:tcPr>
            <w:tcW w:w="1371" w:type="dxa"/>
            <w:tcBorders>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222" w:type="dxa"/>
            <w:tcBorders>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(0.073)</w:t>
            </w:r>
          </w:p>
        </w:tc>
        <w:tc>
          <w:tcPr>
            <w:tcW w:w="2048" w:type="dxa"/>
            <w:tcBorders>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(0.049)</w:t>
            </w:r>
          </w:p>
        </w:tc>
        <w:tc>
          <w:tcPr>
            <w:tcW w:w="14" w:type="dxa"/>
            <w:tcBorders/>
          </w:tcPr>
          <w:p>
            <w:pPr>
              <w:pStyle w:val="Normal"/>
              <w:widowControl w:val="false"/>
              <w:rPr>
                <w:lang w:eastAsia="en-US"/>
              </w:rPr>
            </w:pPr>
            <w:r>
              <w:rPr/>
            </w:r>
          </w:p>
        </w:tc>
      </w:tr>
      <w:tr>
        <w:trPr>
          <w:trHeight w:val="330" w:hRule="atLeast"/>
        </w:trPr>
        <w:tc>
          <w:tcPr>
            <w:tcW w:w="3151" w:type="dxa"/>
            <w:tcBorders>
              <w:bottom w:val="single" w:sz="12" w:space="0" w:color="002060"/>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Observations</w:t>
            </w:r>
          </w:p>
        </w:tc>
        <w:tc>
          <w:tcPr>
            <w:tcW w:w="1816"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897</w:t>
            </w:r>
          </w:p>
        </w:tc>
        <w:tc>
          <w:tcPr>
            <w:tcW w:w="1668"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769</w:t>
            </w:r>
          </w:p>
        </w:tc>
        <w:tc>
          <w:tcPr>
            <w:tcW w:w="1668"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845</w:t>
            </w:r>
          </w:p>
        </w:tc>
        <w:tc>
          <w:tcPr>
            <w:tcW w:w="1371"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897</w:t>
            </w:r>
          </w:p>
        </w:tc>
        <w:tc>
          <w:tcPr>
            <w:tcW w:w="1222"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897</w:t>
            </w:r>
          </w:p>
        </w:tc>
        <w:tc>
          <w:tcPr>
            <w:tcW w:w="2048"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720</w:t>
            </w:r>
          </w:p>
        </w:tc>
        <w:tc>
          <w:tcPr>
            <w:tcW w:w="14" w:type="dxa"/>
            <w:tcBorders/>
          </w:tcPr>
          <w:p>
            <w:pPr>
              <w:pStyle w:val="Normal"/>
              <w:widowControl w:val="false"/>
              <w:rPr>
                <w:lang w:eastAsia="en-US"/>
              </w:rPr>
            </w:pPr>
            <w:r>
              <w:rPr/>
            </w:r>
          </w:p>
        </w:tc>
      </w:tr>
      <w:tr>
        <w:trPr>
          <w:trHeight w:val="340" w:hRule="atLeast"/>
        </w:trPr>
        <w:tc>
          <w:tcPr>
            <w:tcW w:w="315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R</w:t>
            </w:r>
            <w:r>
              <w:rPr>
                <w:rFonts w:ascii="Times New Roman" w:hAnsi="Times New Roman"/>
                <w:color w:val="000000"/>
                <w:sz w:val="22"/>
                <w:vertAlign w:val="superscript"/>
              </w:rPr>
              <w:t>2</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0.25</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0.141</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0.174</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0.115</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0.248</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0.197</w:t>
            </w:r>
          </w:p>
        </w:tc>
        <w:tc>
          <w:tcPr>
            <w:tcW w:w="14" w:type="dxa"/>
            <w:tcBorders/>
          </w:tcPr>
          <w:p>
            <w:pPr>
              <w:pStyle w:val="Normal"/>
              <w:widowControl w:val="false"/>
              <w:rPr>
                <w:lang w:eastAsia="en-US"/>
              </w:rPr>
            </w:pPr>
            <w:r>
              <w:rPr/>
            </w:r>
          </w:p>
        </w:tc>
      </w:tr>
      <w:tr>
        <w:trPr>
          <w:trHeight w:val="330" w:hRule="atLeast"/>
        </w:trPr>
        <w:tc>
          <w:tcPr>
            <w:tcW w:w="315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Adjusted R</w:t>
            </w:r>
            <w:r>
              <w:rPr>
                <w:rFonts w:ascii="Times New Roman" w:hAnsi="Times New Roman"/>
                <w:color w:val="000000"/>
                <w:sz w:val="22"/>
                <w:vertAlign w:val="superscript"/>
              </w:rPr>
              <w:t>2</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0.224</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0.128</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0.143</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-0.173</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0.222</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0.162</w:t>
            </w:r>
          </w:p>
        </w:tc>
        <w:tc>
          <w:tcPr>
            <w:tcW w:w="14" w:type="dxa"/>
            <w:tcBorders/>
          </w:tcPr>
          <w:p>
            <w:pPr>
              <w:pStyle w:val="Normal"/>
              <w:widowControl w:val="false"/>
              <w:rPr>
                <w:lang w:eastAsia="en-US"/>
              </w:rPr>
            </w:pPr>
            <w:r>
              <w:rPr/>
            </w:r>
          </w:p>
        </w:tc>
      </w:tr>
      <w:tr>
        <w:trPr>
          <w:trHeight w:val="330" w:hRule="atLeast"/>
        </w:trPr>
        <w:tc>
          <w:tcPr>
            <w:tcW w:w="315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F Statistic/ Chi2</w:t>
            </w:r>
          </w:p>
        </w:tc>
        <w:tc>
          <w:tcPr>
            <w:tcW w:w="1816"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287.837</w:t>
            </w:r>
            <w:r>
              <w:rPr>
                <w:rFonts w:ascii="Times New Roman" w:hAnsi="Times New Roman"/>
                <w:color w:val="000000"/>
                <w:sz w:val="22"/>
                <w:vertAlign w:val="superscript"/>
              </w:rPr>
              <w:t>***</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124.127</w:t>
            </w:r>
            <w:r>
              <w:rPr>
                <w:rFonts w:ascii="Times New Roman" w:hAnsi="Times New Roman"/>
                <w:color w:val="000000"/>
                <w:sz w:val="22"/>
                <w:vertAlign w:val="superscript"/>
              </w:rPr>
              <w:t>***</w:t>
            </w:r>
          </w:p>
        </w:tc>
        <w:tc>
          <w:tcPr>
            <w:tcW w:w="166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171.167</w:t>
            </w:r>
            <w:r>
              <w:rPr>
                <w:rFonts w:ascii="Times New Roman" w:hAnsi="Times New Roman"/>
                <w:color w:val="000000"/>
                <w:sz w:val="22"/>
                <w:vertAlign w:val="superscript"/>
              </w:rPr>
              <w:t>***</w:t>
            </w:r>
          </w:p>
        </w:tc>
        <w:tc>
          <w:tcPr>
            <w:tcW w:w="137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3.264</w:t>
            </w:r>
            <w:r>
              <w:rPr>
                <w:rFonts w:ascii="Times New Roman" w:hAnsi="Times New Roman"/>
                <w:color w:val="000000"/>
                <w:sz w:val="22"/>
                <w:vertAlign w:val="superscript"/>
              </w:rPr>
              <w:t>***</w:t>
            </w:r>
            <w:r>
              <w:rPr>
                <w:rFonts w:ascii="Times New Roman" w:hAnsi="Times New Roman"/>
                <w:color w:val="000000"/>
                <w:sz w:val="22"/>
              </w:rPr>
              <w:t> </w:t>
            </w:r>
          </w:p>
        </w:tc>
        <w:tc>
          <w:tcPr>
            <w:tcW w:w="1222"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9.544</w:t>
            </w:r>
            <w:r>
              <w:rPr>
                <w:rFonts w:ascii="Times New Roman" w:hAnsi="Times New Roman"/>
                <w:color w:val="000000"/>
                <w:sz w:val="22"/>
                <w:vertAlign w:val="superscript"/>
              </w:rPr>
              <w:t>***</w:t>
            </w:r>
            <w:r>
              <w:rPr>
                <w:rFonts w:ascii="Times New Roman" w:hAnsi="Times New Roman"/>
                <w:color w:val="000000"/>
                <w:sz w:val="22"/>
              </w:rPr>
              <w:t> </w:t>
            </w:r>
          </w:p>
        </w:tc>
        <w:tc>
          <w:tcPr>
            <w:tcW w:w="2048"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168.878</w:t>
            </w:r>
            <w:r>
              <w:rPr>
                <w:rFonts w:ascii="Times New Roman" w:hAnsi="Times New Roman"/>
                <w:color w:val="000000"/>
                <w:sz w:val="22"/>
                <w:vertAlign w:val="superscript"/>
              </w:rPr>
              <w:t>***</w:t>
            </w:r>
          </w:p>
        </w:tc>
        <w:tc>
          <w:tcPr>
            <w:tcW w:w="14" w:type="dxa"/>
            <w:tcBorders/>
          </w:tcPr>
          <w:p>
            <w:pPr>
              <w:pStyle w:val="Normal"/>
              <w:widowControl w:val="false"/>
              <w:rPr>
                <w:lang w:eastAsia="en-US"/>
              </w:rPr>
            </w:pPr>
            <w:r>
              <w:rPr/>
            </w:r>
          </w:p>
        </w:tc>
      </w:tr>
      <w:tr>
        <w:trPr>
          <w:trHeight w:val="320" w:hRule="atLeast"/>
        </w:trPr>
        <w:tc>
          <w:tcPr>
            <w:tcW w:w="315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DF</w:t>
            </w:r>
          </w:p>
        </w:tc>
        <w:tc>
          <w:tcPr>
            <w:tcW w:w="1816"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668"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371"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27(676)</w:t>
            </w:r>
          </w:p>
        </w:tc>
        <w:tc>
          <w:tcPr>
            <w:tcW w:w="122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30(866)</w:t>
            </w:r>
          </w:p>
        </w:tc>
        <w:tc>
          <w:tcPr>
            <w:tcW w:w="2048"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4" w:type="dxa"/>
            <w:tcBorders/>
          </w:tcPr>
          <w:p>
            <w:pPr>
              <w:pStyle w:val="Normal"/>
              <w:widowControl w:val="false"/>
              <w:rPr>
                <w:lang w:eastAsia="en-US"/>
              </w:rPr>
            </w:pPr>
            <w:r>
              <w:rPr/>
            </w:r>
          </w:p>
        </w:tc>
      </w:tr>
      <w:tr>
        <w:trPr>
          <w:trHeight w:val="320" w:hRule="atLeast"/>
        </w:trPr>
        <w:tc>
          <w:tcPr>
            <w:tcW w:w="12958" w:type="dxa"/>
            <w:gridSpan w:val="8"/>
            <w:tcBorders>
              <w:bottom w:val="single" w:sz="12" w:space="0" w:color="002060"/>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r>
          </w:p>
          <w:p>
            <w:pPr>
              <w:pStyle w:val="Normal"/>
              <w:widowControl w:val="false"/>
              <w:spacing w:lineRule="auto" w:line="240"/>
              <w:jc w:val="left"/>
              <w:rPr>
                <w:rFonts w:cs="Calibri"/>
                <w:color w:val="000000"/>
                <w:szCs w:val="24"/>
              </w:rPr>
            </w:pPr>
            <w:r>
              <w:rPr>
                <w:rFonts w:cs="Calibri"/>
                <w:color w:val="000000"/>
                <w:szCs w:val="24"/>
              </w:rPr>
              <w:t>Notes:</w:t>
            </w:r>
          </w:p>
          <w:p>
            <w:pPr>
              <w:pStyle w:val="Normal"/>
              <w:widowControl w:val="false"/>
              <w:spacing w:lineRule="auto" w:line="240"/>
              <w:jc w:val="left"/>
              <w:rPr>
                <w:rFonts w:cs="Calibri"/>
                <w:color w:val="000000"/>
                <w:szCs w:val="24"/>
              </w:rPr>
            </w:pPr>
            <w:r>
              <w:rPr>
                <w:rFonts w:cs="Calibri"/>
                <w:color w:val="000000"/>
                <w:szCs w:val="24"/>
              </w:rPr>
              <w:t>We compute Panel Corrected Standard Errors (PCSE) that cater for cross-sectional dependence and generate heteroscedastic consistent coefficients, see section ().</w:t>
            </w:r>
          </w:p>
        </w:tc>
      </w:tr>
    </w:tbl>
    <w:p>
      <w:pPr>
        <w:pStyle w:val="Normal"/>
        <w:spacing w:lineRule="auto" w:line="360"/>
        <w:rPr>
          <w:lang w:eastAsia="en-US"/>
        </w:rPr>
      </w:pPr>
      <w:r>
        <w:rPr/>
      </w:r>
    </w:p>
    <w:p>
      <w:pPr>
        <w:sectPr>
          <w:footerReference w:type="default" r:id="rId29"/>
          <w:footnotePr>
            <w:numFmt w:val="decimal"/>
          </w:footnotePr>
          <w:type w:val="nextPage"/>
          <w:pgSz w:orient="landscape" w:w="15840" w:h="12240"/>
          <w:pgMar w:left="1440" w:right="1440" w:header="0" w:top="1440" w:footer="720" w:bottom="1440" w:gutter="0"/>
          <w:pgNumType w:fmt="decimal"/>
          <w:formProt w:val="false"/>
          <w:textDirection w:val="lrTb"/>
          <w:docGrid w:type="default" w:linePitch="326" w:charSpace="0"/>
        </w:sectPr>
        <w:pStyle w:val="Normal"/>
        <w:spacing w:lineRule="auto" w:line="360"/>
        <w:rPr>
          <w:lang w:eastAsia="en-US"/>
        </w:rPr>
      </w:pPr>
      <w:r>
        <w:rPr/>
      </w:r>
    </w:p>
    <w:p>
      <w:pPr>
        <w:pStyle w:val="ListParagraph"/>
        <w:numPr>
          <w:ilvl w:val="1"/>
          <w:numId w:val="3"/>
        </w:numPr>
        <w:spacing w:lineRule="auto" w:line="360"/>
        <w:ind w:left="709" w:hanging="720"/>
        <w:rPr>
          <w:b/>
          <w:b/>
          <w:bCs/>
          <w:szCs w:val="26"/>
        </w:rPr>
      </w:pPr>
      <w:r>
        <w:rPr>
          <w:b/>
          <w:bCs/>
          <w:szCs w:val="26"/>
        </w:rPr>
        <w:t>Donations to Assets Ratio</w:t>
      </w:r>
    </w:p>
    <w:p>
      <w:pPr>
        <w:pStyle w:val="Normal"/>
        <w:spacing w:lineRule="auto" w:line="360"/>
        <w:rPr>
          <w:szCs w:val="26"/>
        </w:rPr>
      </w:pPr>
      <w:r>
        <w:rPr>
          <w:szCs w:val="26"/>
        </w:rPr>
        <w:t xml:space="preserve">The results in Table 3 show a weak negative but significant link between institutional capacity (KKM) and donations. The results could be explained by the preference of donors to circumvent corrupt government channels in favour of non-state actors in availing development financing in Africa. As in other financing sources, the legal status of MFIs is an essential driver of donations, with commercial banks receiving the least donor funding which could be due to the perceived lack of commitment to the social course of microfinance. Where it is significant, financial development has a negative relationship with donations, meaning that donations flow to countries where MFIs find it harder to raise finance in the capital markets. These results show some deviation from the other sources of finance- given the place of institutional quality which is absent as a driver of other cases. </w:t>
      </w:r>
    </w:p>
    <w:p>
      <w:pPr>
        <w:pStyle w:val="Normal"/>
        <w:spacing w:lineRule="auto" w:line="360"/>
        <w:rPr>
          <w:szCs w:val="26"/>
        </w:rPr>
      </w:pPr>
      <w:r>
        <w:rPr>
          <w:szCs w:val="26"/>
        </w:rPr>
      </w:r>
    </w:p>
    <w:p>
      <w:pPr>
        <w:pStyle w:val="Normal"/>
        <w:spacing w:lineRule="auto" w:line="360"/>
        <w:rPr>
          <w:lang w:eastAsia="en-US"/>
        </w:rPr>
      </w:pPr>
      <w:r>
        <w:rPr>
          <w:szCs w:val="26"/>
        </w:rPr>
        <w:t xml:space="preserve">The relationship between age and donations is less clear with the coefficients being insignificant in the regressions. Where significant, new firms appear to attract fewer deposits compared to the mature firms, going against the observations in Figure 3. However, in section 7.1, when we winsorise the data to remove outliers, age is no longer an essential driver of donations, which would explain the mixed results in Table 7. </w:t>
      </w:r>
    </w:p>
    <w:p>
      <w:pPr>
        <w:sectPr>
          <w:footerReference w:type="default" r:id="rId30"/>
          <w:footnotePr>
            <w:numFmt w:val="decimal"/>
          </w:footnotePr>
          <w:type w:val="nextPage"/>
          <w:pgSz w:w="12240" w:h="15840"/>
          <w:pgMar w:left="1440" w:right="1440" w:header="0" w:top="1440" w:footer="720" w:bottom="1440" w:gutter="0"/>
          <w:pgNumType w:fmt="decimal"/>
          <w:formProt w:val="false"/>
          <w:textDirection w:val="lrTb"/>
          <w:docGrid w:type="default" w:linePitch="326" w:charSpace="0"/>
        </w:sectPr>
        <w:pStyle w:val="Normal"/>
        <w:spacing w:lineRule="auto" w:line="360"/>
        <w:rPr>
          <w:lang w:eastAsia="en-US"/>
        </w:rPr>
      </w:pPr>
      <w:r>
        <w:rPr/>
      </w:r>
    </w:p>
    <w:p>
      <w:pPr>
        <w:pStyle w:val="Caption1"/>
        <w:rPr>
          <w:i w:val="false"/>
          <w:i w:val="false"/>
          <w:sz w:val="24"/>
          <w:szCs w:val="24"/>
        </w:rPr>
      </w:pPr>
      <w:r>
        <w:rPr>
          <w:i w:val="false"/>
          <w:sz w:val="24"/>
          <w:szCs w:val="24"/>
        </w:rPr>
        <w:t xml:space="preserve">Table </w:t>
      </w:r>
      <w:r>
        <w:rPr>
          <w:i w:val="false"/>
          <w:sz w:val="24"/>
          <w:szCs w:val="24"/>
        </w:rPr>
        <w:fldChar w:fldCharType="begin"/>
      </w:r>
      <w:r>
        <w:rPr>
          <w:sz w:val="24"/>
          <w:i w:val="false"/>
          <w:szCs w:val="24"/>
        </w:rPr>
        <w:instrText> SEQ Table \* ARABIC </w:instrText>
      </w:r>
      <w:r>
        <w:rPr>
          <w:sz w:val="24"/>
          <w:i w:val="false"/>
          <w:szCs w:val="24"/>
        </w:rPr>
        <w:fldChar w:fldCharType="separate"/>
      </w:r>
      <w:r>
        <w:rPr>
          <w:sz w:val="24"/>
          <w:i w:val="false"/>
          <w:szCs w:val="24"/>
        </w:rPr>
        <w:t>7</w:t>
      </w:r>
      <w:r>
        <w:rPr>
          <w:sz w:val="24"/>
          <w:i w:val="false"/>
          <w:szCs w:val="24"/>
        </w:rPr>
        <w:fldChar w:fldCharType="end"/>
      </w:r>
      <w:r>
        <w:rPr>
          <w:i w:val="false"/>
          <w:sz w:val="24"/>
          <w:szCs w:val="24"/>
        </w:rPr>
        <w:t>: Regression output for Donations to Assets Ratio</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962"/>
        <w:gridCol w:w="1040"/>
        <w:gridCol w:w="1360"/>
        <w:gridCol w:w="1515"/>
        <w:gridCol w:w="1380"/>
        <w:gridCol w:w="1111"/>
        <w:gridCol w:w="1591"/>
      </w:tblGrid>
      <w:tr>
        <w:trPr>
          <w:trHeight w:val="320" w:hRule="atLeast"/>
        </w:trPr>
        <w:tc>
          <w:tcPr>
            <w:tcW w:w="12959" w:type="dxa"/>
            <w:gridSpan w:val="7"/>
            <w:tcBorders>
              <w:bottom w:val="single" w:sz="12" w:space="0" w:color="002060"/>
            </w:tcBorders>
            <w:shd w:color="000000" w:fill="FFFFFF" w:val="clear"/>
            <w:vAlign w:val="bottom"/>
          </w:tcPr>
          <w:p>
            <w:pPr>
              <w:pStyle w:val="Normal"/>
              <w:widowControl w:val="false"/>
              <w:spacing w:lineRule="auto" w:line="240"/>
              <w:jc w:val="center"/>
              <w:rPr>
                <w:rFonts w:cs="Calibri"/>
                <w:b/>
                <w:b/>
                <w:bCs/>
                <w:color w:val="000000"/>
                <w:szCs w:val="24"/>
              </w:rPr>
            </w:pPr>
            <w:r>
              <w:rPr>
                <w:rFonts w:cs="Calibri"/>
                <w:b/>
                <w:bCs/>
                <w:color w:val="000000"/>
                <w:szCs w:val="24"/>
              </w:rPr>
              <w:t>DONATIONS TO ASSETS RATIO</w:t>
            </w:r>
          </w:p>
        </w:tc>
      </w:tr>
      <w:tr>
        <w:trPr>
          <w:trHeight w:val="330" w:hRule="atLeast"/>
        </w:trPr>
        <w:tc>
          <w:tcPr>
            <w:tcW w:w="4962" w:type="dxa"/>
            <w:tcBorders>
              <w:top w:val="single" w:sz="12" w:space="0" w:color="000000"/>
              <w:bottom w:val="single" w:sz="12" w:space="0" w:color="002060"/>
            </w:tcBorders>
            <w:shd w:color="000000" w:fill="FFFFFF" w:val="clea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top w:val="single" w:sz="12" w:space="0" w:color="000000"/>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(1)</w:t>
            </w:r>
          </w:p>
        </w:tc>
        <w:tc>
          <w:tcPr>
            <w:tcW w:w="1360" w:type="dxa"/>
            <w:tcBorders>
              <w:top w:val="single" w:sz="12" w:space="0" w:color="000000"/>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(2)</w:t>
            </w:r>
          </w:p>
        </w:tc>
        <w:tc>
          <w:tcPr>
            <w:tcW w:w="1515" w:type="dxa"/>
            <w:tcBorders>
              <w:top w:val="single" w:sz="12" w:space="0" w:color="000000"/>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(3)</w:t>
            </w:r>
          </w:p>
        </w:tc>
        <w:tc>
          <w:tcPr>
            <w:tcW w:w="1380" w:type="dxa"/>
            <w:tcBorders>
              <w:top w:val="single" w:sz="12" w:space="0" w:color="000000"/>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(4)</w:t>
            </w:r>
          </w:p>
        </w:tc>
        <w:tc>
          <w:tcPr>
            <w:tcW w:w="1111" w:type="dxa"/>
            <w:tcBorders>
              <w:top w:val="single" w:sz="12" w:space="0" w:color="000000"/>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(5)</w:t>
            </w:r>
          </w:p>
        </w:tc>
        <w:tc>
          <w:tcPr>
            <w:tcW w:w="1591" w:type="dxa"/>
            <w:tcBorders>
              <w:top w:val="single" w:sz="12" w:space="0" w:color="000000"/>
              <w:bottom w:val="single" w:sz="12" w:space="0" w:color="00206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(6)</w:t>
            </w:r>
          </w:p>
        </w:tc>
      </w:tr>
      <w:tr>
        <w:trPr>
          <w:trHeight w:val="1060" w:hRule="atLeast"/>
        </w:trPr>
        <w:tc>
          <w:tcPr>
            <w:tcW w:w="4962" w:type="dxa"/>
            <w:tcBorders>
              <w:bottom w:val="single" w:sz="12" w:space="0" w:color="002060"/>
            </w:tcBorders>
            <w:shd w:color="000000" w:fill="FFFFFF" w:val="clear"/>
          </w:tcPr>
          <w:p>
            <w:pPr>
              <w:pStyle w:val="Normal"/>
              <w:widowControl w:val="false"/>
              <w:spacing w:lineRule="auto" w:line="240"/>
              <w:jc w:val="left"/>
              <w:rPr>
                <w:rFonts w:cs="Calibri"/>
                <w:color w:val="000000"/>
                <w:szCs w:val="24"/>
              </w:rPr>
            </w:pPr>
            <w:r>
              <w:rPr>
                <w:rFonts w:cs="Calibri"/>
                <w:color w:val="000000"/>
                <w:szCs w:val="24"/>
              </w:rPr>
              <w:t>Model</w:t>
            </w:r>
          </w:p>
        </w:tc>
        <w:tc>
          <w:tcPr>
            <w:tcW w:w="1040"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Random Effects - Full Data</w:t>
            </w:r>
          </w:p>
        </w:tc>
        <w:tc>
          <w:tcPr>
            <w:tcW w:w="1360"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Random Effects (&gt;=5 Years)</w:t>
            </w:r>
          </w:p>
        </w:tc>
        <w:tc>
          <w:tcPr>
            <w:tcW w:w="1515"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Random Effects (&gt;=3 Years)</w:t>
            </w:r>
          </w:p>
        </w:tc>
        <w:tc>
          <w:tcPr>
            <w:tcW w:w="1380"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Fixed Effects- Full Data</w:t>
            </w:r>
          </w:p>
        </w:tc>
        <w:tc>
          <w:tcPr>
            <w:tcW w:w="1111"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Pooled OLS</w:t>
            </w:r>
          </w:p>
        </w:tc>
        <w:tc>
          <w:tcPr>
            <w:tcW w:w="1591" w:type="dxa"/>
            <w:tcBorders>
              <w:bottom w:val="single" w:sz="12" w:space="0" w:color="002060"/>
            </w:tcBorders>
            <w:shd w:color="000000" w:fill="FFFFFF" w:val="clear"/>
          </w:tcPr>
          <w:p>
            <w:pPr>
              <w:pStyle w:val="Normal"/>
              <w:widowControl w:val="false"/>
              <w:spacing w:lineRule="auto" w:line="240"/>
              <w:jc w:val="right"/>
              <w:rPr>
                <w:rFonts w:cs="Calibri"/>
                <w:color w:val="000000"/>
                <w:szCs w:val="24"/>
              </w:rPr>
            </w:pPr>
            <w:r>
              <w:rPr>
                <w:rFonts w:cs="Calibri"/>
                <w:color w:val="000000"/>
                <w:szCs w:val="24"/>
              </w:rPr>
              <w:t xml:space="preserve">Random Effects- Winsorized </w:t>
              <w:br/>
              <w:t>Data</w:t>
            </w:r>
          </w:p>
        </w:tc>
      </w:tr>
      <w:tr>
        <w:trPr>
          <w:trHeight w:val="37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xml:space="preserve">Assets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0.002</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r>
              <w:rPr>
                <w:rFonts w:cs="Calibri"/>
                <w:color w:val="000000"/>
                <w:szCs w:val="24"/>
                <w:vertAlign w:val="superscript"/>
              </w:rPr>
              <w:t>*</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r>
              <w:rPr>
                <w:rFonts w:cs="Calibri"/>
                <w:color w:val="000000"/>
                <w:szCs w:val="24"/>
                <w:vertAlign w:val="superscript"/>
              </w:rPr>
              <w:t>**</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0.002</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0.00004</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KKM - Institutional Quality</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r>
              <w:rPr>
                <w:rFonts w:cs="Calibri"/>
                <w:color w:val="000000"/>
                <w:szCs w:val="24"/>
                <w:vertAlign w:val="superscript"/>
              </w:rPr>
              <w:t>*</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r>
              <w:rPr>
                <w:rFonts w:cs="Calibri"/>
                <w:color w:val="000000"/>
                <w:szCs w:val="24"/>
                <w:vertAlign w:val="superscript"/>
              </w:rPr>
              <w:t>*</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0.012</w:t>
            </w:r>
            <w:r>
              <w:rPr>
                <w:rFonts w:cs="Calibri"/>
                <w:color w:val="000000"/>
                <w:szCs w:val="24"/>
                <w:vertAlign w:val="superscript"/>
              </w:rPr>
              <w:t>**</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r>
              <w:rPr>
                <w:rFonts w:cs="Calibri"/>
                <w:color w:val="000000"/>
                <w:szCs w:val="24"/>
                <w:vertAlign w:val="superscript"/>
              </w:rPr>
              <w:t>*</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-0.0003</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Education</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0.026</w:t>
            </w:r>
            <w:r>
              <w:rPr>
                <w:rFonts w:cs="Calibri"/>
                <w:color w:val="000000"/>
                <w:szCs w:val="24"/>
                <w:vertAlign w:val="superscript"/>
              </w:rPr>
              <w:t>*</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0.025</w:t>
            </w:r>
            <w:r>
              <w:rPr>
                <w:rFonts w:cs="Calibri"/>
                <w:color w:val="000000"/>
                <w:szCs w:val="24"/>
                <w:vertAlign w:val="superscript"/>
              </w:rPr>
              <w:t>*</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-0.062</w:t>
            </w:r>
            <w:r>
              <w:rPr>
                <w:rFonts w:cs="Calibri"/>
                <w:color w:val="000000"/>
                <w:szCs w:val="24"/>
                <w:vertAlign w:val="superscript"/>
              </w:rPr>
              <w:t>*</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0.026</w:t>
            </w:r>
            <w:r>
              <w:rPr>
                <w:rFonts w:cs="Calibri"/>
                <w:color w:val="000000"/>
                <w:szCs w:val="24"/>
                <w:vertAlign w:val="superscript"/>
              </w:rPr>
              <w:t>*</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(0.015)</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(0.012)</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(0.015)</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(0.037)</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(0.015)</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Financial Development</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-0.0001</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-0.0001</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0.0001</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0.0004</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-0.0001</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0.0001</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Asset Structure/ Tangibility</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0.019</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-0.08</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0.159</w:t>
            </w:r>
            <w:r>
              <w:rPr>
                <w:rFonts w:cs="Calibri"/>
                <w:color w:val="000000"/>
                <w:szCs w:val="24"/>
                <w:vertAlign w:val="superscript"/>
              </w:rPr>
              <w:t>*</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-0.043</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0.019</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(0.086)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(0.080)</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(0.087)</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(0.167)</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(0.086)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Profit Margin</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r>
              <w:rPr>
                <w:rFonts w:cs="Calibri"/>
                <w:color w:val="000000"/>
                <w:szCs w:val="24"/>
                <w:vertAlign w:val="superscript"/>
              </w:rPr>
              <w:t>*</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r>
              <w:rPr>
                <w:rFonts w:cs="Calibri"/>
                <w:color w:val="000000"/>
                <w:szCs w:val="24"/>
                <w:vertAlign w:val="superscript"/>
              </w:rPr>
              <w:t>*</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0.0004</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0.0004</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Legal Status: Bank</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0.002</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-0.013</w:t>
            </w:r>
            <w:r>
              <w:rPr>
                <w:rFonts w:cs="Calibri"/>
                <w:color w:val="000000"/>
                <w:szCs w:val="24"/>
                <w:vertAlign w:val="superscript"/>
              </w:rPr>
              <w:t>**</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-0.0004</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0.002</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-0.0002</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Legal Status: Credit Union/ Cooperative</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-0.00005</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Legal Status: NBFI</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0.014</w:t>
            </w:r>
            <w:r>
              <w:rPr>
                <w:rFonts w:cs="Calibri"/>
                <w:color w:val="000000"/>
                <w:szCs w:val="24"/>
                <w:vertAlign w:val="superscript"/>
              </w:rPr>
              <w:t>**</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0.014</w:t>
            </w:r>
            <w:r>
              <w:rPr>
                <w:rFonts w:cs="Calibri"/>
                <w:color w:val="000000"/>
                <w:szCs w:val="24"/>
                <w:vertAlign w:val="superscript"/>
              </w:rPr>
              <w:t>**</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0.0004</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Age: Young</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-0.009</w:t>
            </w:r>
            <w:r>
              <w:rPr>
                <w:rFonts w:cs="Calibri"/>
                <w:color w:val="000000"/>
                <w:szCs w:val="24"/>
                <w:vertAlign w:val="superscript"/>
              </w:rPr>
              <w:t>**</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-0.0002</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(0.004)</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(0.005)</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Age: New</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-0.011</w:t>
            </w:r>
            <w:r>
              <w:rPr>
                <w:rFonts w:cs="Calibri"/>
                <w:color w:val="000000"/>
                <w:szCs w:val="24"/>
                <w:vertAlign w:val="superscript"/>
              </w:rPr>
              <w:t>*</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-0.015</w:t>
            </w:r>
            <w:r>
              <w:rPr>
                <w:rFonts w:cs="Calibri"/>
                <w:color w:val="000000"/>
                <w:szCs w:val="24"/>
                <w:vertAlign w:val="superscript"/>
              </w:rPr>
              <w:t>**</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-0.014</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-0.011</w:t>
            </w:r>
            <w:r>
              <w:rPr>
                <w:rFonts w:cs="Calibri"/>
                <w:color w:val="000000"/>
                <w:szCs w:val="24"/>
                <w:vertAlign w:val="superscript"/>
              </w:rPr>
              <w:t>*</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-0.0004</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(0.007)</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(0.009)</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(0.001)</w:t>
            </w:r>
          </w:p>
        </w:tc>
      </w:tr>
      <w:tr>
        <w:trPr>
          <w:trHeight w:val="310" w:hRule="atLeast"/>
        </w:trPr>
        <w:tc>
          <w:tcPr>
            <w:tcW w:w="4962" w:type="dxa"/>
            <w:tcBorders/>
            <w:shd w:color="000000" w:fill="FFFFFF" w:val="clear"/>
            <w:vAlign w:val="center"/>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r>
      <w:tr>
        <w:trPr>
          <w:trHeight w:val="360" w:hRule="atLeast"/>
        </w:trPr>
        <w:tc>
          <w:tcPr>
            <w:tcW w:w="496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Constant</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0.048</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0.048</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0.006</w:t>
            </w:r>
            <w:r>
              <w:rPr>
                <w:rFonts w:cs="Calibri"/>
                <w:color w:val="000000"/>
                <w:szCs w:val="24"/>
                <w:vertAlign w:val="superscript"/>
              </w:rPr>
              <w:t>**</w:t>
            </w:r>
          </w:p>
        </w:tc>
      </w:tr>
      <w:tr>
        <w:trPr>
          <w:trHeight w:val="310" w:hRule="atLeast"/>
        </w:trPr>
        <w:tc>
          <w:tcPr>
            <w:tcW w:w="496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(0.031)</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(0.028)</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(0.033)</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(0.031)</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(0.003)</w:t>
            </w:r>
          </w:p>
        </w:tc>
      </w:tr>
      <w:tr>
        <w:trPr>
          <w:trHeight w:val="320" w:hRule="atLeast"/>
        </w:trPr>
        <w:tc>
          <w:tcPr>
            <w:tcW w:w="496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 </w:t>
            </w:r>
          </w:p>
        </w:tc>
        <w:tc>
          <w:tcPr>
            <w:tcW w:w="1040"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11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591" w:type="dxa"/>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r>
      <w:tr>
        <w:trPr>
          <w:trHeight w:val="330" w:hRule="atLeast"/>
        </w:trPr>
        <w:tc>
          <w:tcPr>
            <w:tcW w:w="4962" w:type="dxa"/>
            <w:tcBorders>
              <w:top w:val="single" w:sz="12" w:space="0" w:color="000000"/>
              <w:bottom w:val="single" w:sz="12" w:space="0" w:color="000000"/>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Observations</w:t>
            </w:r>
          </w:p>
        </w:tc>
        <w:tc>
          <w:tcPr>
            <w:tcW w:w="1040" w:type="dxa"/>
            <w:tcBorders>
              <w:top w:val="single" w:sz="12" w:space="0" w:color="000000"/>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816</w:t>
            </w:r>
          </w:p>
        </w:tc>
        <w:tc>
          <w:tcPr>
            <w:tcW w:w="1360" w:type="dxa"/>
            <w:tcBorders>
              <w:top w:val="single" w:sz="12" w:space="0" w:color="000000"/>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766</w:t>
            </w:r>
          </w:p>
        </w:tc>
        <w:tc>
          <w:tcPr>
            <w:tcW w:w="1515" w:type="dxa"/>
            <w:tcBorders>
              <w:top w:val="single" w:sz="12" w:space="0" w:color="000000"/>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824</w:t>
            </w:r>
          </w:p>
        </w:tc>
        <w:tc>
          <w:tcPr>
            <w:tcW w:w="1380" w:type="dxa"/>
            <w:tcBorders>
              <w:top w:val="single" w:sz="12" w:space="0" w:color="000000"/>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816</w:t>
            </w:r>
          </w:p>
        </w:tc>
        <w:tc>
          <w:tcPr>
            <w:tcW w:w="1111" w:type="dxa"/>
            <w:tcBorders>
              <w:top w:val="single" w:sz="12" w:space="0" w:color="000000"/>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816</w:t>
            </w:r>
          </w:p>
        </w:tc>
        <w:tc>
          <w:tcPr>
            <w:tcW w:w="1591" w:type="dxa"/>
            <w:tcBorders>
              <w:top w:val="single" w:sz="12" w:space="0" w:color="000000"/>
              <w:bottom w:val="single" w:sz="12" w:space="0" w:color="000000"/>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720</w:t>
            </w:r>
          </w:p>
        </w:tc>
      </w:tr>
      <w:tr>
        <w:trPr>
          <w:trHeight w:val="340" w:hRule="atLeast"/>
        </w:trPr>
        <w:tc>
          <w:tcPr>
            <w:tcW w:w="496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R</w:t>
            </w:r>
            <w:r>
              <w:rPr>
                <w:rFonts w:ascii="Times New Roman" w:hAnsi="Times New Roman"/>
                <w:color w:val="000000"/>
                <w:sz w:val="22"/>
                <w:vertAlign w:val="superscript"/>
              </w:rPr>
              <w:t>2</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0.066</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0.078</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0.05</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0.036</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0.066</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0.042</w:t>
            </w:r>
          </w:p>
        </w:tc>
      </w:tr>
      <w:tr>
        <w:trPr>
          <w:trHeight w:val="330" w:hRule="atLeast"/>
        </w:trPr>
        <w:tc>
          <w:tcPr>
            <w:tcW w:w="496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Adjusted R</w:t>
            </w:r>
            <w:r>
              <w:rPr>
                <w:rFonts w:ascii="Times New Roman" w:hAnsi="Times New Roman"/>
                <w:color w:val="000000"/>
                <w:sz w:val="22"/>
                <w:vertAlign w:val="superscript"/>
              </w:rPr>
              <w:t>2</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0.041</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0.014</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-0.309</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0.03</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-0.0002</w:t>
            </w:r>
          </w:p>
        </w:tc>
      </w:tr>
      <w:tr>
        <w:trPr>
          <w:trHeight w:val="330" w:hRule="atLeast"/>
        </w:trPr>
        <w:tc>
          <w:tcPr>
            <w:tcW w:w="4962" w:type="dxa"/>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F Statistic</w:t>
            </w:r>
          </w:p>
        </w:tc>
        <w:tc>
          <w:tcPr>
            <w:tcW w:w="104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55.180</w:t>
            </w:r>
            <w:r>
              <w:rPr>
                <w:rFonts w:ascii="Times New Roman" w:hAnsi="Times New Roman"/>
                <w:color w:val="000000"/>
                <w:sz w:val="22"/>
                <w:vertAlign w:val="superscript"/>
              </w:rPr>
              <w:t>***</w:t>
            </w:r>
          </w:p>
        </w:tc>
        <w:tc>
          <w:tcPr>
            <w:tcW w:w="136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62.464</w:t>
            </w:r>
            <w:r>
              <w:rPr>
                <w:rFonts w:ascii="Times New Roman" w:hAnsi="Times New Roman"/>
                <w:color w:val="000000"/>
                <w:sz w:val="22"/>
                <w:vertAlign w:val="superscript"/>
              </w:rPr>
              <w:t>***</w:t>
            </w:r>
          </w:p>
        </w:tc>
        <w:tc>
          <w:tcPr>
            <w:tcW w:w="1515"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42.087</w:t>
            </w:r>
            <w:r>
              <w:rPr>
                <w:rFonts w:ascii="Times New Roman" w:hAnsi="Times New Roman"/>
                <w:color w:val="000000"/>
                <w:sz w:val="22"/>
                <w:vertAlign w:val="superscript"/>
              </w:rPr>
              <w:t>*</w:t>
            </w:r>
          </w:p>
        </w:tc>
        <w:tc>
          <w:tcPr>
            <w:tcW w:w="1380"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0.829</w:t>
            </w:r>
          </w:p>
        </w:tc>
        <w:tc>
          <w:tcPr>
            <w:tcW w:w="111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1.839</w:t>
            </w:r>
            <w:r>
              <w:rPr>
                <w:rFonts w:ascii="Times New Roman" w:hAnsi="Times New Roman"/>
                <w:color w:val="000000"/>
                <w:sz w:val="22"/>
                <w:vertAlign w:val="superscript"/>
              </w:rPr>
              <w:t>***</w:t>
            </w:r>
            <w:r>
              <w:rPr>
                <w:rFonts w:ascii="Times New Roman" w:hAnsi="Times New Roman"/>
                <w:color w:val="000000"/>
                <w:sz w:val="22"/>
              </w:rPr>
              <w:t> </w:t>
            </w:r>
          </w:p>
        </w:tc>
        <w:tc>
          <w:tcPr>
            <w:tcW w:w="1591" w:type="dxa"/>
            <w:tcBorders/>
            <w:shd w:color="000000" w:fill="FFFFFF" w:val="clear"/>
            <w:vAlign w:val="center"/>
          </w:tcPr>
          <w:p>
            <w:pPr>
              <w:pStyle w:val="Normal"/>
              <w:widowControl w:val="false"/>
              <w:spacing w:lineRule="auto" w:line="240"/>
              <w:jc w:val="right"/>
              <w:rPr>
                <w:rFonts w:cs="Calibri"/>
                <w:color w:val="000000"/>
                <w:szCs w:val="24"/>
              </w:rPr>
            </w:pPr>
            <w:r>
              <w:rPr>
                <w:rFonts w:cs="Calibri"/>
                <w:color w:val="000000"/>
                <w:szCs w:val="24"/>
              </w:rPr>
              <w:t>29.869</w:t>
            </w:r>
          </w:p>
        </w:tc>
      </w:tr>
      <w:tr>
        <w:trPr>
          <w:trHeight w:val="320" w:hRule="atLeast"/>
        </w:trPr>
        <w:tc>
          <w:tcPr>
            <w:tcW w:w="4962" w:type="dxa"/>
            <w:tcBorders>
              <w:bottom w:val="single" w:sz="12" w:space="0" w:color="002060"/>
            </w:tcBorders>
            <w:shd w:color="000000" w:fill="FFFFFF" w:val="clear"/>
            <w:vAlign w:val="bottom"/>
          </w:tcPr>
          <w:p>
            <w:pPr>
              <w:pStyle w:val="Normal"/>
              <w:widowControl w:val="false"/>
              <w:spacing w:lineRule="auto" w:line="240"/>
              <w:jc w:val="left"/>
              <w:rPr>
                <w:rFonts w:cs="Calibri"/>
                <w:color w:val="000000"/>
                <w:szCs w:val="24"/>
              </w:rPr>
            </w:pPr>
            <w:r>
              <w:rPr>
                <w:rFonts w:cs="Calibri"/>
                <w:color w:val="000000"/>
                <w:szCs w:val="24"/>
              </w:rPr>
              <w:t>DF</w:t>
            </w:r>
          </w:p>
        </w:tc>
        <w:tc>
          <w:tcPr>
            <w:tcW w:w="1040"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60"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515"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c>
          <w:tcPr>
            <w:tcW w:w="1380"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27(600)</w:t>
            </w:r>
          </w:p>
        </w:tc>
        <w:tc>
          <w:tcPr>
            <w:tcW w:w="1111"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30(785)</w:t>
            </w:r>
          </w:p>
        </w:tc>
        <w:tc>
          <w:tcPr>
            <w:tcW w:w="1591" w:type="dxa"/>
            <w:tcBorders>
              <w:bottom w:val="single" w:sz="12" w:space="0" w:color="002060"/>
            </w:tcBorders>
            <w:shd w:color="000000" w:fill="FFFFFF" w:val="clear"/>
            <w:vAlign w:val="bottom"/>
          </w:tcPr>
          <w:p>
            <w:pPr>
              <w:pStyle w:val="Normal"/>
              <w:widowControl w:val="false"/>
              <w:spacing w:lineRule="auto" w:line="240"/>
              <w:jc w:val="right"/>
              <w:rPr>
                <w:rFonts w:cs="Calibri"/>
                <w:color w:val="000000"/>
                <w:szCs w:val="24"/>
              </w:rPr>
            </w:pPr>
            <w:r>
              <w:rPr>
                <w:rFonts w:cs="Calibri"/>
                <w:color w:val="000000"/>
                <w:szCs w:val="24"/>
              </w:rPr>
              <w:t> </w:t>
            </w:r>
          </w:p>
        </w:tc>
      </w:tr>
    </w:tbl>
    <w:p>
      <w:pPr>
        <w:pStyle w:val="Normal"/>
        <w:rPr>
          <w:lang w:eastAsia="en-US"/>
        </w:rPr>
      </w:pPr>
      <w:r>
        <w:rPr>
          <w:lang w:eastAsia="en-US"/>
        </w:rPr>
      </w:r>
    </w:p>
    <w:p>
      <w:pPr>
        <w:sectPr>
          <w:footerReference w:type="default" r:id="rId31"/>
          <w:footnotePr>
            <w:numFmt w:val="decimal"/>
          </w:footnotePr>
          <w:type w:val="nextPage"/>
          <w:pgSz w:orient="landscape" w:w="15840" w:h="12240"/>
          <w:pgMar w:left="1440" w:right="1440" w:header="0" w:top="1440" w:footer="720" w:bottom="1440" w:gutter="0"/>
          <w:pgNumType w:fmt="decimal"/>
          <w:formProt w:val="false"/>
          <w:textDirection w:val="lrTb"/>
          <w:docGrid w:type="default" w:linePitch="326" w:charSpace="0"/>
        </w:sectPr>
        <w:pStyle w:val="Normal"/>
        <w:rPr>
          <w:szCs w:val="26"/>
        </w:rPr>
      </w:pPr>
      <w:r>
        <w:rPr>
          <w:szCs w:val="26"/>
        </w:rPr>
      </w:r>
    </w:p>
    <w:p>
      <w:pPr>
        <w:pStyle w:val="Heading2"/>
        <w:numPr>
          <w:ilvl w:val="0"/>
          <w:numId w:val="3"/>
        </w:numPr>
        <w:rPr>
          <w:szCs w:val="26"/>
        </w:rPr>
      </w:pPr>
      <w:r>
        <w:rPr/>
        <w:t xml:space="preserve">Robustness Checks </w:t>
      </w:r>
    </w:p>
    <w:p>
      <w:pPr>
        <w:pStyle w:val="Normal"/>
        <w:spacing w:lineRule="auto" w:line="360"/>
        <w:rPr>
          <w:szCs w:val="26"/>
        </w:rPr>
      </w:pPr>
      <w:r>
        <w:rPr/>
        <w:t xml:space="preserve">In this section, we highlight the robustness checks on the models run in four areas: extreme values (outliers), heteroscedasticity, autocorrelation, and cross-sectional dependence. In each case, we discuss the corrective measures taken. </w:t>
      </w:r>
    </w:p>
    <w:p>
      <w:pPr>
        <w:pStyle w:val="Heading3"/>
        <w:rPr>
          <w:szCs w:val="26"/>
        </w:rPr>
      </w:pPr>
      <w:r>
        <w:rPr/>
        <w:t>7.1 Extreme values/ Outliers</w:t>
      </w:r>
    </w:p>
    <w:p>
      <w:pPr>
        <w:pStyle w:val="Normal"/>
        <w:spacing w:lineRule="auto" w:line="360"/>
        <w:rPr>
          <w:szCs w:val="26"/>
        </w:rPr>
      </w:pPr>
      <w:r>
        <w:rPr/>
        <w:t xml:space="preserve">The likelihood that extreme values could influence the results is highly likely in a panel setting containing different units. To check whether the outliers affect our inference, we winsorise the data by removing the top 10% and the bottom 10% for each variable used in the regression analysis. We then ran regression models on the new dataset with the results displayed in appendix 1. Like in prior regressions, size, and profit margin drive of the choice of financing, holding all other variables constant. Notably, both education and financial development remain less critical as drivers of choice for funding. The legal status of MFIs remains an essential contributor to the selection of financing sources. However, age loses its importance. It means that the observed differences in levels of donations emanate from a few MFIs that receive the most donations rather than a systemic difference based on age. Most donations accrue to newest and most mature MFIs. </w:t>
      </w:r>
    </w:p>
    <w:p>
      <w:pPr>
        <w:pStyle w:val="Heading3"/>
        <w:rPr>
          <w:szCs w:val="26"/>
        </w:rPr>
      </w:pPr>
      <w:r>
        <w:rPr/>
        <w:t>7.2 Cross-Sectional Dependence, heteroscedasticity, and serial correlation</w:t>
      </w:r>
    </w:p>
    <w:p>
      <w:pPr>
        <w:pStyle w:val="Normal"/>
        <w:spacing w:lineRule="auto" w:line="360"/>
        <w:rPr>
          <w:szCs w:val="26"/>
        </w:rPr>
      </w:pPr>
      <w:r>
        <w:rPr/>
        <w:t xml:space="preserve">In panel data settings, cross-sectional dependence (CSD) is an important consideration. CSD arises when there is a correlation between units in the same cross-section, usually due to unobserved common factors that affect all groups, although probably to differing extents. The omission of common elements in the model results in inconsistent estimates for fixed effects, random effects, and even the first difference model </w:t>
      </w:r>
      <w:r>
        <w:fldChar w:fldCharType="begin"/>
      </w:r>
      <w:r>
        <w:rPr/>
        <w:instrText>ADDIN EN.CITE &lt;EndNote&gt;&lt;Cite&gt;&lt;Author&gt;Henningsen&lt;/Author&gt;&lt;Year&gt;2019&lt;/Year&gt;&lt;RecNum&gt;584&lt;/RecNum&gt;&lt;DisplayText&gt;(Henningsen &amp;amp; Henningsen, 2019)&lt;/DisplayText&gt;&lt;record&gt;&lt;rec-number&gt;584&lt;/rec-number&gt;&lt;foreign-keys&gt;&lt;key app="EN" db-id="wds9909saar09se5x9txwfw7ax9wfe2ftrt2" timestamp="1595467365"&gt;584&lt;/key&gt;&lt;/foreign-keys&gt;&lt;ref-type name="Book Section"&gt;5&lt;/ref-type&gt;&lt;contributors&gt;&lt;authors&gt;&lt;author&gt;Henningsen, Arne&lt;/author&gt;&lt;author&gt;Henningsen, Geraldine&lt;/author&gt;&lt;/authors&gt;&lt;secondary-authors&gt;&lt;author&gt;Mike Tsionas&lt;/author&gt;&lt;/secondary-authors&gt;&lt;/contributors&gt;&lt;titles&gt;&lt;title&gt;Analysis of panel data using R&lt;/title&gt;&lt;secondary-title&gt;Panel Data Econometrics: Theory&lt;/secondary-title&gt;&lt;/titles&gt;&lt;pages&gt;345-396&lt;/pages&gt;&lt;dates&gt;&lt;year&gt;2019&lt;/year&gt;&lt;/dates&gt;&lt;pub-location&gt;Oxford&lt;/pub-location&gt;&lt;publisher&gt;Academic Press (An Imprint of Elsevier)&lt;/publisher&gt;&lt;urls&gt;&lt;/urls&gt;&lt;/record&gt;&lt;/Cite&gt;&lt;/EndNote&gt;</w:instrText>
      </w:r>
      <w:r>
        <w:rPr/>
      </w:r>
      <w:r>
        <w:rPr/>
        <w:fldChar w:fldCharType="separate"/>
      </w:r>
      <w:r>
        <w:rPr/>
        <w:t>(Henningsen &amp; Henningsen, 2019)</w:t>
      </w:r>
      <w:r>
        <w:rPr/>
      </w:r>
      <w:r>
        <w:rPr/>
        <w:fldChar w:fldCharType="end"/>
      </w:r>
      <w:r>
        <w:rPr/>
        <w:t xml:space="preserve">. In our case, we run the Breusch-Pagan LM test of independence with the results shown in appendix 4 and 5. The analyses indicate the presence of cross-sectional dependence in the regressions with Capital to Total Assets Ratio and Deposits to Total Assets Ratio as the dependent variables.  </w:t>
      </w:r>
    </w:p>
    <w:p>
      <w:pPr>
        <w:pStyle w:val="Normal"/>
        <w:spacing w:lineRule="auto" w:line="360"/>
        <w:rPr>
          <w:szCs w:val="26"/>
        </w:rPr>
      </w:pPr>
      <w:r>
        <w:rPr/>
      </w:r>
    </w:p>
    <w:p>
      <w:pPr>
        <w:pStyle w:val="Normal"/>
        <w:spacing w:lineRule="auto" w:line="360"/>
        <w:rPr>
          <w:szCs w:val="26"/>
        </w:rPr>
      </w:pPr>
      <w:r>
        <w:rPr/>
        <w:t xml:space="preserve">Extant research deals with CSD in three main ways. The traditional method is the use of seemingly unrelated regressions (SUR) of </w:t>
      </w:r>
      <w:r>
        <w:fldChar w:fldCharType="begin"/>
      </w:r>
      <w:r>
        <w:rPr/>
        <w:instrText>ADDIN EN.CITE &lt;EndNote&gt;&lt;Cite AuthorYear="1"&gt;&lt;Author&gt;Zellner&lt;/Author&gt;&lt;Year&gt;1962&lt;/Year&gt;&lt;RecNum&gt;586&lt;/RecNum&gt;&lt;DisplayText&gt;Zellner and Huang (1962)&lt;/DisplayText&gt;&lt;record&gt;&lt;rec-number&gt;586&lt;/rec-number&gt;&lt;foreign-keys&gt;&lt;key app="EN" db-id="wds9909saar09se5x9txwfw7ax9wfe2ftrt2" timestamp="1595640671"&gt;586&lt;/key&gt;&lt;/foreign-keys&gt;&lt;ref-type name="Journal Article"&gt;17&lt;/ref-type&gt;&lt;contributors&gt;&lt;authors&gt;&lt;author&gt;Zellner, Arnold&lt;/author&gt;&lt;author&gt;Huang, David S&lt;/author&gt;&lt;/authors&gt;&lt;/contributors&gt;&lt;titles&gt;&lt;title&gt;Further properties of efficient estimators for seemingly unrelated regression equations&lt;/title&gt;&lt;secondary-title&gt;International Economic Review&lt;/secondary-title&gt;&lt;/titles&gt;&lt;periodical&gt;&lt;full-title&gt;International Economic Review&lt;/full-title&gt;&lt;abbr-1&gt;Int. Econ. Rev.&lt;/abbr-1&gt;&lt;abbr-2&gt;Int Econ Rev&lt;/abbr-2&gt;&lt;/periodical&gt;&lt;pages&gt;300-313&lt;/pages&gt;&lt;volume&gt;3&lt;/volume&gt;&lt;number&gt;3&lt;/number&gt;&lt;dates&gt;&lt;year&gt;1962&lt;/year&gt;&lt;/dates&gt;&lt;isbn&gt;0020-6598&lt;/isbn&gt;&lt;urls&gt;&lt;/urls&gt;&lt;/record&gt;&lt;/Cite&gt;&lt;/EndNote&gt;</w:instrText>
      </w:r>
      <w:r>
        <w:rPr/>
      </w:r>
      <w:r>
        <w:rPr/>
        <w:fldChar w:fldCharType="separate"/>
      </w:r>
      <w:r>
        <w:rPr/>
        <w:t>Zellner and Huang (1962)</w:t>
      </w:r>
      <w:r>
        <w:rPr/>
      </w:r>
      <w:r>
        <w:rPr/>
        <w:fldChar w:fldCharType="end"/>
      </w:r>
      <w:r>
        <w:rPr/>
        <w:t xml:space="preserve"> </w:t>
      </w:r>
      <w:r>
        <w:fldChar w:fldCharType="begin"/>
      </w:r>
      <w:r>
        <w:rPr/>
        <w:instrText>ADDIN EN.CITE &lt;EndNote&gt;&lt;Cite&gt;&lt;Author&gt;Arouri&lt;/Author&gt;&lt;Year&gt;2013&lt;/Year&gt;&lt;RecNum&gt;587&lt;/RecNum&gt;&lt;DisplayText&gt;(Arouri &amp;amp; Rault, 2013)&lt;/DisplayText&gt;&lt;record&gt;&lt;rec-number&gt;587&lt;/rec-number&gt;&lt;foreign-keys&gt;&lt;key app="EN" db-id="wds9909saar09se5x9txwfw7ax9wfe2ftrt2" timestamp="1595640763"&gt;587&lt;/key&gt;&lt;/foreign-keys&gt;&lt;ref-type name="Journal Article"&gt;17&lt;/ref-type&gt;&lt;contributors&gt;&lt;authors&gt;&lt;author&gt;Arouri, Mohamed El Hedi&lt;/author&gt;&lt;author&gt;Rault, Christophe&lt;/author&gt;&lt;/authors&gt;&lt;/contributors&gt;&lt;titles&gt;&lt;title&gt;An econometric analysis of the impact of oil prices on stock markets in Gulf cooperation countries&lt;/title&gt;&lt;secondary-title&gt;Emerging Markets and the Global Economy: A Handbook&lt;/secondary-title&gt;&lt;/titles&gt;&lt;periodical&gt;&lt;full-title&gt;Emerging Markets and the Global Economy: A Handbook&lt;/full-title&gt;&lt;/periodical&gt;&lt;pages&gt;161-178&lt;/pages&gt;&lt;dates&gt;&lt;year&gt;2013&lt;/year&gt;&lt;/dates&gt;&lt;urls&gt;&lt;/urls&gt;&lt;/record&gt;&lt;/Cite&gt;&lt;/EndNote&gt;</w:instrText>
      </w:r>
      <w:r>
        <w:rPr/>
      </w:r>
      <w:r>
        <w:rPr/>
        <w:fldChar w:fldCharType="separate"/>
      </w:r>
      <w:r>
        <w:rPr/>
        <w:t>(Arouri &amp; Rault, 2013)</w:t>
      </w:r>
      <w:r>
        <w:rPr/>
      </w:r>
      <w:r>
        <w:rPr/>
        <w:fldChar w:fldCharType="end"/>
      </w:r>
      <w:r>
        <w:rPr/>
        <w:t>. SUR allows for the estimation of the individual coefficient β</w:t>
      </w:r>
      <w:r>
        <w:rPr>
          <w:vertAlign w:val="subscript"/>
        </w:rPr>
        <w:t xml:space="preserve">i </w:t>
      </w:r>
      <w:r>
        <w:rPr/>
        <w:t xml:space="preserve">and hence estimate the effects of the independent variables on the dependent variables for each unit of analysis, in our case MFIs </w:t>
      </w:r>
      <w:r>
        <w:fldChar w:fldCharType="begin"/>
      </w:r>
      <w:r>
        <w:rPr/>
        <w:instrText>ADDIN EN.CITE &lt;EndNote&gt;&lt;Cite&gt;&lt;Author&gt;Sarafidis&lt;/Author&gt;&lt;Year&gt;2012&lt;/Year&gt;&lt;RecNum&gt;590&lt;/RecNum&gt;&lt;DisplayText&gt;(Sarafidis &amp;amp; Wansbeek, 2012)&lt;/DisplayText&gt;&lt;record&gt;&lt;rec-number&gt;590&lt;/rec-number&gt;&lt;foreign-keys&gt;&lt;key app="EN" db-id="wds9909saar09se5x9txwfw7ax9wfe2ftrt2" timestamp="1595652982"&gt;590&lt;/key&gt;&lt;/foreign-keys&gt;&lt;ref-type name="Journal Article"&gt;17&lt;/ref-type&gt;&lt;contributors&gt;&lt;authors&gt;&lt;author&gt;Sarafidis, Vasilis&lt;/author&gt;&lt;author&gt;Wansbeek, Tom&lt;/author&gt;&lt;/authors&gt;&lt;/contributors&gt;&lt;titles&gt;&lt;title&gt;Cross-sectional dependence in panel data analysis&lt;/title&gt;&lt;secondary-title&gt;Econometric Reviews&lt;/secondary-title&gt;&lt;/titles&gt;&lt;periodical&gt;&lt;full-title&gt;Econometric Reviews&lt;/full-title&gt;&lt;abbr-1&gt;Econometric Rev.&lt;/abbr-1&gt;&lt;abbr-2&gt;Econometric Rev&lt;/abbr-2&gt;&lt;/periodical&gt;&lt;pages&gt;483-531&lt;/pages&gt;&lt;volume&gt;31&lt;/volume&gt;&lt;number&gt;5&lt;/number&gt;&lt;dates&gt;&lt;year&gt;2012&lt;/year&gt;&lt;/dates&gt;&lt;isbn&gt;0747-4938&lt;/isbn&gt;&lt;urls&gt;&lt;/urls&gt;&lt;/record&gt;&lt;/Cite&gt;&lt;/EndNote&gt;</w:instrText>
      </w:r>
      <w:r>
        <w:rPr/>
      </w:r>
      <w:r>
        <w:rPr/>
        <w:fldChar w:fldCharType="separate"/>
      </w:r>
      <w:r>
        <w:rPr/>
        <w:t>(Sarafidis &amp; Wansbeek, 2012)</w:t>
      </w:r>
      <w:r>
        <w:rPr/>
      </w:r>
      <w:r>
        <w:rPr/>
        <w:fldChar w:fldCharType="end"/>
      </w:r>
      <w:r>
        <w:rPr/>
        <w:t xml:space="preserve">. Again, the cross-sectional data is not sufficient for SUR analysis. The second method developed by </w:t>
      </w:r>
      <w:r>
        <w:fldChar w:fldCharType="begin"/>
      </w:r>
      <w:r>
        <w:rPr/>
        <w:instrText>ADDIN EN.CITE &lt;EndNote&gt;&lt;Cite AuthorYear="1"&gt;&lt;Author&gt;Pesaran&lt;/Author&gt;&lt;Year&gt;1995&lt;/Year&gt;&lt;RecNum&gt;585&lt;/RecNum&gt;&lt;DisplayText&gt;Pesaran and Smith (1995)&lt;/DisplayText&gt;&lt;record&gt;&lt;rec-number&gt;585&lt;/rec-number&gt;&lt;foreign-keys&gt;&lt;key app="EN" db-id="wds9909saar09se5x9txwfw7ax9wfe2ftrt2" timestamp="1595639729"&gt;585&lt;/key&gt;&lt;/foreign-keys&gt;&lt;ref-type name="Journal Article"&gt;17&lt;/ref-type&gt;&lt;contributors&gt;&lt;authors&gt;&lt;author&gt;Pesaran, M Hashem&lt;/author&gt;&lt;author&gt;Smith, Ron&lt;/author&gt;&lt;/authors&gt;&lt;/contributors&gt;&lt;titles&gt;&lt;title&gt;Estimating long-run relationships from dynamic heterogeneous panels&lt;/title&gt;&lt;secondary-title&gt;Journal of Econometrics&lt;/secondary-title&gt;&lt;/titles&gt;&lt;periodical&gt;&lt;full-title&gt;Journal of Econometrics&lt;/full-title&gt;&lt;abbr-1&gt;J. Econometrics&lt;/abbr-1&gt;&lt;abbr-2&gt;J Econometrics&lt;/abbr-2&gt;&lt;/periodical&gt;&lt;pages&gt;79-113&lt;/pages&gt;&lt;volume&gt;68&lt;/volume&gt;&lt;number&gt;1&lt;/number&gt;&lt;dates&gt;&lt;year&gt;1995&lt;/year&gt;&lt;/dates&gt;&lt;isbn&gt;0304-4076&lt;/isbn&gt;&lt;urls&gt;&lt;/urls&gt;&lt;/record&gt;&lt;/Cite&gt;&lt;/EndNote&gt;</w:instrText>
      </w:r>
      <w:r>
        <w:rPr/>
      </w:r>
      <w:r>
        <w:rPr/>
        <w:fldChar w:fldCharType="separate"/>
      </w:r>
      <w:r>
        <w:rPr/>
        <w:t>Pesaran and Smith (1995)</w:t>
      </w:r>
      <w:r>
        <w:rPr/>
      </w:r>
      <w:r>
        <w:rPr/>
        <w:fldChar w:fldCharType="end"/>
      </w:r>
      <w:r>
        <w:rPr/>
        <w:t xml:space="preserve"> - the panel mean groups- works by averaging individual coefficients across panels. The technique hence requires panel data where each panel has sufficient data for a regression, which is not possible in this study. Therefore, we implement the third approach; the Panel Corrected Standard Errors (PCSE) </w:t>
      </w:r>
      <w:r>
        <w:fldChar w:fldCharType="begin"/>
      </w:r>
      <w:r>
        <w:rPr/>
        <w:instrText>ADDIN EN.CITE &lt;EndNote&gt;&lt;Cite&gt;&lt;Author&gt;Bailey&lt;/Author&gt;&lt;Year&gt;2011&lt;/Year&gt;&lt;RecNum&gt;588&lt;/RecNum&gt;&lt;DisplayText&gt;(Bailey &amp;amp; Katz, 2011; Croissant et al., 2020)&lt;/DisplayText&gt;&lt;record&gt;&lt;rec-number&gt;588&lt;/rec-number&gt;&lt;foreign-keys&gt;&lt;key app="EN" db-id="wds9909saar09se5x9txwfw7ax9wfe2ftrt2" timestamp="1595642164"&gt;588&lt;/key&gt;&lt;/foreign-keys&gt;&lt;ref-type name="Journal Article"&gt;17&lt;/ref-type&gt;&lt;contributors&gt;&lt;authors&gt;&lt;author&gt;Bailey, Delia&lt;/author&gt;&lt;author&gt;Katz, Jonathan N&lt;/author&gt;&lt;/authors&gt;&lt;/contributors&gt;&lt;titles&gt;&lt;title&gt;Implementing panel corrected standard errors in R: the pcse package&lt;/title&gt;&lt;secondary-title&gt;Journal of Statistical Software&lt;/secondary-title&gt;&lt;/titles&gt;&lt;periodical&gt;&lt;full-title&gt;Journal of statistical software&lt;/full-title&gt;&lt;/periodical&gt;&lt;pages&gt;1-11&lt;/pages&gt;&lt;volume&gt;42&lt;/volume&gt;&lt;number&gt;CS1&lt;/number&gt;&lt;dates&gt;&lt;year&gt;2011&lt;/year&gt;&lt;/dates&gt;&lt;isbn&gt;1548-7660&lt;/isbn&gt;&lt;urls&gt;&lt;/urls&gt;&lt;/record&gt;&lt;/Cite&gt;&lt;Cite&gt;&lt;Author&gt;Croissant&lt;/Author&gt;&lt;Year&gt;2020&lt;/Year&gt;&lt;RecNum&gt;589&lt;/RecNum&gt;&lt;record&gt;&lt;rec-number&gt;589&lt;/rec-number&gt;&lt;foreign-keys&gt;&lt;key app="EN" db-id="wds9909saar09se5x9txwfw7ax9wfe2ftrt2" timestamp="1595642301"&gt;589&lt;/key&gt;&lt;/foreign-keys&gt;&lt;ref-type name="Journal Article"&gt;17&lt;/ref-type&gt;&lt;contributors&gt;&lt;authors&gt;&lt;author&gt;Croissant, Yves&lt;/author&gt;&lt;author&gt;Millo, Giovanni&lt;/author&gt;&lt;author&gt;Tappe, Kevin&lt;/author&gt;&lt;author&gt;Toomet, Ott&lt;/author&gt;&lt;author&gt;Kleiber, Christian&lt;/author&gt;&lt;author&gt;Zeileis, Achim&lt;/author&gt;&lt;author&gt;Henningsen, Arne&lt;/author&gt;&lt;author&gt;Andronic, Liviu&lt;/author&gt;&lt;author&gt;Schoenfelder, Nina&lt;/author&gt;&lt;author&gt;Croissant, Maintainer Yves&lt;/author&gt;&lt;/authors&gt;&lt;/contributors&gt;&lt;titles&gt;&lt;title&gt;Package ‘plm’&lt;/title&gt;&lt;secondary-title&gt;Choice&lt;/secondary-title&gt;&lt;/titles&gt;&lt;periodical&gt;&lt;full-title&gt;Choice&lt;/full-title&gt;&lt;/periodical&gt;&lt;pages&gt;227-240&lt;/pages&gt;&lt;volume&gt;139&lt;/volume&gt;&lt;number&gt;1&lt;/number&gt;&lt;dates&gt;&lt;year&gt;2020&lt;/year&gt;&lt;/dates&gt;&lt;urls&gt;&lt;/urls&gt;&lt;/record&gt;&lt;/Cite&gt;&lt;/EndNote&gt;</w:instrText>
      </w:r>
      <w:r>
        <w:rPr/>
      </w:r>
      <w:r>
        <w:rPr/>
        <w:fldChar w:fldCharType="separate"/>
      </w:r>
      <w:r>
        <w:rPr/>
        <w:t>(Bailey &amp; Katz, 2011; Croissant et al., 2020)</w:t>
      </w:r>
      <w:r>
        <w:rPr/>
      </w:r>
      <w:r>
        <w:rPr/>
        <w:fldChar w:fldCharType="end"/>
      </w:r>
      <w:r>
        <w:rPr/>
        <w:t xml:space="preserve">. PCSE is useful when working with heterogeneous dynamic panel data by correcting for autocorrelation and cross-sectional dependence while providing more robust standard errors </w:t>
      </w:r>
      <w:r>
        <w:fldChar w:fldCharType="begin"/>
      </w:r>
      <w:r>
        <w:rPr/>
        <w:instrText>ADDIN EN.CITE &lt;EndNote&gt;&lt;Cite&gt;&lt;Author&gt;Ikpesu&lt;/Author&gt;&lt;Year&gt;2019&lt;/Year&gt;&lt;RecNum&gt;593&lt;/RecNum&gt;&lt;DisplayText&gt;(Ikpesu, Vincent, &amp;amp; Dakare, 2019)&lt;/DisplayText&gt;&lt;record&gt;&lt;rec-number&gt;593&lt;/rec-number&gt;&lt;foreign-keys&gt;&lt;key app="EN" db-id="wds9909saar09se5x9txwfw7ax9wfe2ftrt2" timestamp="1596255402"&gt;593&lt;/key&gt;&lt;/foreign-keys&gt;&lt;ref-type name="Journal Article"&gt;17&lt;/ref-type&gt;&lt;contributors&gt;&lt;authors&gt;&lt;author&gt;Ikpesu, Fredrick&lt;/author&gt;&lt;author&gt;Vincent, Olusegun&lt;/author&gt;&lt;author&gt;Dakare, Olamitunji&lt;/author&gt;&lt;/authors&gt;&lt;/contributors&gt;&lt;titles&gt;&lt;title&gt;Growth effect of trade and investment in Sub-Saharan Africa countries: Empirical insight from panel corrected standard error (PCSE) technique&lt;/title&gt;&lt;secondary-title&gt;Cogent Economics &amp;amp; Finance&lt;/secondary-title&gt;&lt;/titles&gt;&lt;periodical&gt;&lt;full-title&gt;Cogent Economics &amp;amp; Finance&lt;/full-title&gt;&lt;/periodical&gt;&lt;pages&gt;1607127&lt;/pages&gt;&lt;volume&gt;7&lt;/volume&gt;&lt;number&gt;1&lt;/number&gt;&lt;dates&gt;&lt;year&gt;2019&lt;/year&gt;&lt;/dates&gt;&lt;isbn&gt;2332-2039&lt;/isbn&gt;&lt;urls&gt;&lt;/urls&gt;&lt;/record&gt;&lt;/Cite&gt;&lt;/EndNote&gt;</w:instrText>
      </w:r>
      <w:r>
        <w:rPr/>
      </w:r>
      <w:r>
        <w:rPr/>
        <w:fldChar w:fldCharType="separate"/>
      </w:r>
      <w:r>
        <w:rPr/>
        <w:t>(Ikpesu, Vincent, &amp; Dakare, 2019)</w:t>
      </w:r>
      <w:r>
        <w:rPr/>
      </w:r>
      <w:r>
        <w:rPr/>
        <w:fldChar w:fldCharType="end"/>
      </w:r>
      <w:r>
        <w:rPr/>
        <w:t xml:space="preserve">. The results presented have their standard errors corrected for CSD, resulting in heteroscedastic consistent coefficients. </w:t>
      </w:r>
    </w:p>
    <w:p>
      <w:pPr>
        <w:pStyle w:val="Heading2"/>
        <w:numPr>
          <w:ilvl w:val="0"/>
          <w:numId w:val="3"/>
        </w:numPr>
        <w:ind w:left="426" w:hanging="360"/>
        <w:rPr>
          <w:szCs w:val="26"/>
        </w:rPr>
      </w:pPr>
      <w:r>
        <w:rPr/>
        <w:t xml:space="preserve">Conclusion </w:t>
      </w:r>
    </w:p>
    <w:p>
      <w:pPr>
        <w:pStyle w:val="Normal"/>
        <w:spacing w:lineRule="auto" w:line="360"/>
        <w:rPr>
          <w:szCs w:val="26"/>
        </w:rPr>
      </w:pPr>
      <w:r>
        <w:rPr/>
        <w:t xml:space="preserve">This article examined the drivers of four indicators of the financing structure of MFIs in Africa: Debt to equity ratio, capital to assets ratio, deposits to assets ratio and donations to assets ratio. The results show that size, legal status, and age of MFIs are consistently related to the financing structure. Profit margin is directly related to leverage and inversely with capital to assets ratio as capital structure theory predicts. Institutional quality (KKM) refers only to deposits and donations, with lower KKM corresponding to more deposits and donations. Education and asset structure relate weakly to leverage, while financial development is not a significant factor which contradicts styluses facts on the capital structure of firms.  For MFIs, it is the institutional level factors that drive the financing structure. Microfinance in Africa shows a weak linkage to the macroeconomy. </w:t>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Heading2"/>
        <w:spacing w:lineRule="auto" w:line="360"/>
        <w:rPr>
          <w:szCs w:val="26"/>
        </w:rPr>
      </w:pPr>
      <w:r>
        <w:rPr/>
        <w:t>References</w:t>
      </w:r>
    </w:p>
    <w:p>
      <w:pPr>
        <w:pStyle w:val="EndNoteBibliography"/>
        <w:ind w:left="720" w:hanging="720"/>
        <w:rPr>
          <w:szCs w:val="26"/>
        </w:rPr>
      </w:pPr>
      <w:r>
        <w:fldChar w:fldCharType="begin"/>
      </w:r>
      <w:r>
        <w:rPr/>
        <w:instrText>ADDIN EN.REFLIST</w:instrText>
      </w:r>
      <w:r>
        <w:rPr/>
      </w:r>
      <w:r>
        <w:rPr/>
        <w:fldChar w:fldCharType="separate"/>
      </w:r>
      <w:r>
        <w:rPr/>
        <w:t xml:space="preserve">Allen, F., Carletti, E., Cull, R., Qian, J. Q., Senbet, L., &amp; Valenzuela, P. (2014). The African financial development and financial inclusion gaps. </w:t>
      </w:r>
      <w:r>
        <w:rPr>
          <w:i/>
        </w:rPr>
        <w:t>Journal of African Economies, 23</w:t>
      </w:r>
      <w:r>
        <w:rPr/>
        <w:t xml:space="preserve">(5), 614-642. </w:t>
      </w:r>
    </w:p>
    <w:p>
      <w:pPr>
        <w:pStyle w:val="EndNoteBibliography"/>
        <w:ind w:left="720" w:hanging="720"/>
        <w:rPr>
          <w:szCs w:val="26"/>
        </w:rPr>
      </w:pPr>
      <w:r>
        <w:rPr/>
        <w:t xml:space="preserve">Arouri, M. E. H., &amp; Rault, C. (2013). An econometric analysis of the impact of oil prices on stock markets in Gulf cooperation countries. </w:t>
      </w:r>
      <w:r>
        <w:rPr>
          <w:i/>
        </w:rPr>
        <w:t>Emerging Markets and the Global Economy: A Handbook</w:t>
      </w:r>
      <w:r>
        <w:rPr/>
        <w:t xml:space="preserve">, 161-178. </w:t>
      </w:r>
    </w:p>
    <w:p>
      <w:pPr>
        <w:pStyle w:val="EndNoteBibliography"/>
        <w:ind w:left="720" w:hanging="720"/>
        <w:rPr>
          <w:szCs w:val="26"/>
        </w:rPr>
      </w:pPr>
      <w:r>
        <w:rPr/>
        <w:t xml:space="preserve">Bailey, D., &amp; Katz, J. N. (2011). Implementing panel corrected standard errors in R: the pcse package. </w:t>
      </w:r>
      <w:r>
        <w:rPr>
          <w:i/>
        </w:rPr>
        <w:t>Journal of statistical software, 42</w:t>
      </w:r>
      <w:r>
        <w:rPr/>
        <w:t xml:space="preserve">(CS1), 1-11. </w:t>
      </w:r>
    </w:p>
    <w:p>
      <w:pPr>
        <w:pStyle w:val="EndNoteBibliography"/>
        <w:ind w:left="720" w:hanging="720"/>
        <w:rPr>
          <w:szCs w:val="26"/>
        </w:rPr>
      </w:pPr>
      <w:r>
        <w:rPr/>
        <w:t xml:space="preserve">Barclay, M. J., &amp; Smith, C. W. (2005). The capital structure puzzle: The evidence revisited. </w:t>
      </w:r>
      <w:r>
        <w:rPr>
          <w:i/>
        </w:rPr>
        <w:t>Journal of Applied Corporate Finance, 17</w:t>
      </w:r>
      <w:r>
        <w:rPr/>
        <w:t xml:space="preserve">(1), 8-17. </w:t>
      </w:r>
    </w:p>
    <w:p>
      <w:pPr>
        <w:pStyle w:val="EndNoteBibliography"/>
        <w:ind w:left="720" w:hanging="720"/>
        <w:rPr>
          <w:szCs w:val="26"/>
        </w:rPr>
      </w:pPr>
      <w:r>
        <w:rPr/>
        <w:t xml:space="preserve">Bateman, M. (2010). </w:t>
      </w:r>
      <w:r>
        <w:rPr>
          <w:i/>
        </w:rPr>
        <w:t>Why doesn't microfinance work?: the destructive rise of local neoliberalism</w:t>
      </w:r>
      <w:r>
        <w:rPr/>
        <w:t>. London: Zed Books Ltd.</w:t>
      </w:r>
    </w:p>
    <w:p>
      <w:pPr>
        <w:pStyle w:val="EndNoteBibliography"/>
        <w:ind w:left="720" w:hanging="720"/>
        <w:rPr>
          <w:szCs w:val="26"/>
        </w:rPr>
      </w:pPr>
      <w:r>
        <w:rPr/>
        <w:t xml:space="preserve">Bayai, I., &amp; Ikhide, S. (2016). Financing and financial sustainability of microfinance institutions (MFIs): A conceptual view. </w:t>
      </w:r>
      <w:r>
        <w:rPr>
          <w:i/>
        </w:rPr>
        <w:t>Banks and Bank Systems, 2</w:t>
      </w:r>
      <w:r>
        <w:rPr/>
        <w:t xml:space="preserve">(2), 21-32. </w:t>
      </w:r>
    </w:p>
    <w:p>
      <w:pPr>
        <w:pStyle w:val="EndNoteBibliography"/>
        <w:ind w:left="720" w:hanging="720"/>
        <w:rPr>
          <w:szCs w:val="26"/>
        </w:rPr>
      </w:pPr>
      <w:r>
        <w:rPr/>
        <w:t xml:space="preserve">Bogan, V. L. (2012). Capital structure and sustainability: An empirical study of microfinance institutions. </w:t>
      </w:r>
      <w:r>
        <w:rPr>
          <w:i/>
        </w:rPr>
        <w:t>Review of Economics and Statistics, 94</w:t>
      </w:r>
      <w:r>
        <w:rPr/>
        <w:t xml:space="preserve">(4), 1045-1058. </w:t>
      </w:r>
    </w:p>
    <w:p>
      <w:pPr>
        <w:pStyle w:val="EndNoteBibliography"/>
        <w:ind w:left="720" w:hanging="720"/>
        <w:rPr>
          <w:szCs w:val="26"/>
        </w:rPr>
      </w:pPr>
      <w:r>
        <w:rPr/>
        <w:t xml:space="preserve">Bradley, M., Jarrell, G. A., &amp; Kim, E. (1984). On the existence of an optimal capital structure: Theory and evidence. </w:t>
      </w:r>
      <w:r>
        <w:rPr>
          <w:i/>
        </w:rPr>
        <w:t>The Journal of finance, 39</w:t>
      </w:r>
      <w:r>
        <w:rPr/>
        <w:t xml:space="preserve">(3), 857-878. </w:t>
      </w:r>
    </w:p>
    <w:p>
      <w:pPr>
        <w:pStyle w:val="EndNoteBibliography"/>
        <w:ind w:left="720" w:hanging="720"/>
        <w:rPr>
          <w:szCs w:val="26"/>
        </w:rPr>
      </w:pPr>
      <w:r>
        <w:rPr/>
        <w:t xml:space="preserve">Campello, M., &amp; Giambona, E. (2011). </w:t>
      </w:r>
      <w:r>
        <w:rPr>
          <w:i/>
        </w:rPr>
        <w:t>Capital structure and the redeployability of tangible assets</w:t>
      </w:r>
      <w:r>
        <w:rPr/>
        <w:t xml:space="preserve">. Retrieved from The Hague: </w:t>
      </w:r>
    </w:p>
    <w:p>
      <w:pPr>
        <w:pStyle w:val="EndNoteBibliography"/>
        <w:ind w:left="720" w:hanging="720"/>
        <w:rPr>
          <w:szCs w:val="26"/>
        </w:rPr>
      </w:pPr>
      <w:r>
        <w:rPr/>
        <w:t xml:space="preserve">Campion, A., &amp; White, V. (1999). </w:t>
      </w:r>
      <w:r>
        <w:rPr>
          <w:i/>
        </w:rPr>
        <w:t>Institutional metamorphosis: Transformation of microfinance NGOs into regulated financial institutions</w:t>
      </w:r>
      <w:r>
        <w:rPr/>
        <w:t>. New York: MicroFinance Network.</w:t>
      </w:r>
    </w:p>
    <w:p>
      <w:pPr>
        <w:pStyle w:val="EndNoteBibliography"/>
        <w:ind w:left="720" w:hanging="720"/>
        <w:rPr>
          <w:szCs w:val="26"/>
        </w:rPr>
      </w:pPr>
      <w:r>
        <w:rPr/>
        <w:t xml:space="preserve">Chahine, S., &amp; Tannir, L. (2010). On the social and financial effects of the transformation of microfinance NGOs. </w:t>
      </w:r>
      <w:r>
        <w:rPr>
          <w:i/>
        </w:rPr>
        <w:t>Voluntas: International Journal of Voluntary and Nonprofit Organizations, 21</w:t>
      </w:r>
      <w:r>
        <w:rPr/>
        <w:t xml:space="preserve">(3), 440-461. </w:t>
      </w:r>
    </w:p>
    <w:p>
      <w:pPr>
        <w:pStyle w:val="EndNoteBibliography"/>
        <w:ind w:left="720" w:hanging="720"/>
        <w:rPr>
          <w:szCs w:val="26"/>
        </w:rPr>
      </w:pPr>
      <w:r>
        <w:rPr/>
        <w:t xml:space="preserve">Clark, T. S., &amp; Linzer, D. A. (2015). Should I Use Fixed or Random Effects? </w:t>
      </w:r>
      <w:r>
        <w:rPr>
          <w:i/>
        </w:rPr>
        <w:t>Political Science Research and Methods, 3</w:t>
      </w:r>
      <w:r>
        <w:rPr/>
        <w:t>(2), 399-408. doi:10.1017/psrm.2014.32</w:t>
      </w:r>
    </w:p>
    <w:p>
      <w:pPr>
        <w:pStyle w:val="EndNoteBibliography"/>
        <w:ind w:left="720" w:hanging="720"/>
        <w:rPr>
          <w:szCs w:val="26"/>
        </w:rPr>
      </w:pPr>
      <w:r>
        <w:rPr/>
        <w:t xml:space="preserve">Croissant, Y., Millo, G., Tappe, K., Toomet, O., Kleiber, C., Zeileis, A., . . . Croissant, M. Y. (2020). Package ‘plm’. </w:t>
      </w:r>
      <w:r>
        <w:rPr>
          <w:i/>
        </w:rPr>
        <w:t>Choice, 139</w:t>
      </w:r>
      <w:r>
        <w:rPr/>
        <w:t xml:space="preserve">(1), 227-240. </w:t>
      </w:r>
    </w:p>
    <w:p>
      <w:pPr>
        <w:pStyle w:val="EndNoteBibliography"/>
        <w:ind w:left="720" w:hanging="720"/>
        <w:rPr>
          <w:szCs w:val="26"/>
        </w:rPr>
      </w:pPr>
      <w:r>
        <w:rPr/>
        <w:t xml:space="preserve">D’Espallier, B., Goedecke, J., Hudon, M., &amp; Mersland, R. (2017). From NGOs to banks: Does institutional transformation alter the business model of microfinance institutions? </w:t>
      </w:r>
      <w:r>
        <w:rPr>
          <w:i/>
        </w:rPr>
        <w:t>World Development, 89</w:t>
      </w:r>
      <w:r>
        <w:rPr/>
        <w:t xml:space="preserve">, 19-33. </w:t>
      </w:r>
    </w:p>
    <w:p>
      <w:pPr>
        <w:pStyle w:val="EndNoteBibliography"/>
        <w:ind w:left="720" w:hanging="720"/>
        <w:rPr>
          <w:szCs w:val="26"/>
        </w:rPr>
      </w:pPr>
      <w:r>
        <w:rPr/>
        <w:t xml:space="preserve">D’Espallier, B., Hudon, M., &amp; Szafarz, A. (2013). Unsubsidized microfinance institutions. </w:t>
      </w:r>
      <w:r>
        <w:rPr>
          <w:i/>
        </w:rPr>
        <w:t>Economics Letters, 120</w:t>
      </w:r>
      <w:r>
        <w:rPr/>
        <w:t xml:space="preserve">(2), 174-176. </w:t>
      </w:r>
    </w:p>
    <w:p>
      <w:pPr>
        <w:pStyle w:val="EndNoteBibliography"/>
        <w:ind w:left="720" w:hanging="720"/>
        <w:rPr>
          <w:szCs w:val="26"/>
        </w:rPr>
      </w:pPr>
      <w:r>
        <w:rPr/>
        <w:t xml:space="preserve">D’Espallier, B., Hudon, M., &amp; Szafarz, A. (2017). Aid volatility and social performance in microfinance. </w:t>
      </w:r>
      <w:r>
        <w:rPr>
          <w:i/>
        </w:rPr>
        <w:t>Nonprofit and Voluntary Sector Quarterly, 46</w:t>
      </w:r>
      <w:r>
        <w:rPr/>
        <w:t xml:space="preserve">(1), 116-140. </w:t>
      </w:r>
    </w:p>
    <w:p>
      <w:pPr>
        <w:pStyle w:val="EndNoteBibliography"/>
        <w:ind w:left="720" w:hanging="720"/>
        <w:rPr>
          <w:szCs w:val="26"/>
        </w:rPr>
      </w:pPr>
      <w:r>
        <w:rPr/>
        <w:t xml:space="preserve">De Jong, A., Verbeek, M., &amp; Verwijmeren, P. (2011). Firms’ debt–equity decisions when the static tradeoff theory and the pecking order theory disagree. </w:t>
      </w:r>
      <w:r>
        <w:rPr>
          <w:i/>
        </w:rPr>
        <w:t>Journal of Banking &amp; Finance, 35</w:t>
      </w:r>
      <w:r>
        <w:rPr/>
        <w:t xml:space="preserve">(5), 1303-1314. </w:t>
      </w:r>
    </w:p>
    <w:p>
      <w:pPr>
        <w:pStyle w:val="EndNoteBibliography"/>
        <w:ind w:left="720" w:hanging="720"/>
        <w:rPr>
          <w:szCs w:val="26"/>
        </w:rPr>
      </w:pPr>
      <w:r>
        <w:rPr/>
        <w:t xml:space="preserve">DiMaggio, P., &amp; Powell, W. (1991). Introduction. In </w:t>
      </w:r>
      <w:r>
        <w:rPr>
          <w:i/>
        </w:rPr>
        <w:t>The new institutionalism and organizational analysis</w:t>
      </w:r>
      <w:r>
        <w:rPr/>
        <w:t xml:space="preserve"> (pp. 1-38). Chicago: University of Chicago Press.</w:t>
      </w:r>
    </w:p>
    <w:p>
      <w:pPr>
        <w:pStyle w:val="EndNoteBibliography"/>
        <w:ind w:left="720" w:hanging="720"/>
        <w:rPr>
          <w:szCs w:val="26"/>
        </w:rPr>
      </w:pPr>
      <w:r>
        <w:rPr/>
        <w:t xml:space="preserve">Donaldson, G., &amp; Fox, B. (1961). </w:t>
      </w:r>
      <w:r>
        <w:rPr>
          <w:i/>
        </w:rPr>
        <w:t>Corporate debt capacity: A study of corporate debt policy and the determination of corporate debt capacity</w:t>
      </w:r>
      <w:r>
        <w:rPr/>
        <w:t>. Cambridge, MA: Harvard Business School Press (reprinted 1986).</w:t>
      </w:r>
    </w:p>
    <w:p>
      <w:pPr>
        <w:pStyle w:val="EndNoteBibliography"/>
        <w:ind w:left="720" w:hanging="720"/>
        <w:rPr>
          <w:szCs w:val="26"/>
        </w:rPr>
      </w:pPr>
      <w:r>
        <w:rPr/>
        <w:t xml:space="preserve">Ehrhardt, M. C., &amp; Brigham, E. F. (2016). </w:t>
      </w:r>
      <w:r>
        <w:rPr>
          <w:i/>
        </w:rPr>
        <w:t>Corporate finance: A focused approach</w:t>
      </w:r>
      <w:r>
        <w:rPr/>
        <w:t>. New York: Cengage learning.</w:t>
      </w:r>
    </w:p>
    <w:p>
      <w:pPr>
        <w:pStyle w:val="EndNoteBibliography"/>
        <w:ind w:left="720" w:hanging="720"/>
        <w:rPr>
          <w:szCs w:val="26"/>
        </w:rPr>
      </w:pPr>
      <w:r>
        <w:rPr/>
        <w:t xml:space="preserve">Garmaise, M. J., &amp; Natividad, G. (2013). Cheap credit, lending operations, and international politics: The case of global microfinance. </w:t>
      </w:r>
      <w:r>
        <w:rPr>
          <w:i/>
        </w:rPr>
        <w:t>The Journal of finance, 68</w:t>
      </w:r>
      <w:r>
        <w:rPr/>
        <w:t xml:space="preserve">(4), 1551-1576. </w:t>
      </w:r>
    </w:p>
    <w:p>
      <w:pPr>
        <w:pStyle w:val="EndNoteBibliography"/>
        <w:ind w:left="720" w:hanging="720"/>
        <w:rPr>
          <w:szCs w:val="26"/>
        </w:rPr>
      </w:pPr>
      <w:r>
        <w:rPr/>
        <w:t xml:space="preserve">Gropp, R., &amp; Heider, F. (2010). The Determinants of Bank Capital Structure. </w:t>
      </w:r>
      <w:r>
        <w:rPr>
          <w:i/>
        </w:rPr>
        <w:t xml:space="preserve">Review of Finance 14 </w:t>
      </w:r>
      <w:r>
        <w:rPr/>
        <w:t xml:space="preserve">587–622. </w:t>
      </w:r>
    </w:p>
    <w:p>
      <w:pPr>
        <w:pStyle w:val="EndNoteBibliography"/>
        <w:ind w:left="720" w:hanging="720"/>
        <w:rPr>
          <w:szCs w:val="26"/>
        </w:rPr>
      </w:pPr>
      <w:r>
        <w:rPr/>
        <w:t xml:space="preserve">Gwatidzo, T., &amp; Ojah, K. (2009). Corporate capital structure determinants: evidence for five African countries. </w:t>
      </w:r>
      <w:r>
        <w:rPr>
          <w:i/>
        </w:rPr>
        <w:t>African Finance Journal, 11</w:t>
      </w:r>
      <w:r>
        <w:rPr/>
        <w:t xml:space="preserve">(1), 1-23. </w:t>
      </w:r>
    </w:p>
    <w:p>
      <w:pPr>
        <w:pStyle w:val="EndNoteBibliography"/>
        <w:ind w:left="720" w:hanging="720"/>
        <w:rPr>
          <w:szCs w:val="26"/>
        </w:rPr>
      </w:pPr>
      <w:r>
        <w:rPr/>
        <w:t xml:space="preserve">Henningsen, A., &amp; Henningsen, G. (2019). Analysis of panel data using R. In M. Tsionas (Ed.), </w:t>
      </w:r>
      <w:r>
        <w:rPr>
          <w:i/>
        </w:rPr>
        <w:t>Panel Data Econometrics: Theory</w:t>
      </w:r>
      <w:r>
        <w:rPr/>
        <w:t xml:space="preserve"> (pp. 345-396). Oxford: Academic Press (An Imprint of Elsevier).</w:t>
      </w:r>
    </w:p>
    <w:p>
      <w:pPr>
        <w:pStyle w:val="EndNoteBibliography"/>
        <w:ind w:left="720" w:hanging="720"/>
        <w:rPr>
          <w:szCs w:val="26"/>
        </w:rPr>
      </w:pPr>
      <w:r>
        <w:rPr/>
        <w:t xml:space="preserve">Hudon, M. (2010). Management of microfinance institutions: Do subsidies matter? </w:t>
      </w:r>
      <w:r>
        <w:rPr>
          <w:i/>
        </w:rPr>
        <w:t>Journal of International Development, 22</w:t>
      </w:r>
      <w:r>
        <w:rPr/>
        <w:t xml:space="preserve">(7), 890-905. </w:t>
      </w:r>
    </w:p>
    <w:p>
      <w:pPr>
        <w:pStyle w:val="EndNoteBibliography"/>
        <w:ind w:left="720" w:hanging="720"/>
        <w:rPr>
          <w:szCs w:val="26"/>
        </w:rPr>
      </w:pPr>
      <w:r>
        <w:rPr/>
        <w:t xml:space="preserve">Ikpesu, F., Vincent, O., &amp; Dakare, O. (2019). Growth effect of trade and investment in Sub-Saharan Africa countries: Empirical insight from panel corrected standard error (PCSE) technique. </w:t>
      </w:r>
      <w:r>
        <w:rPr>
          <w:i/>
        </w:rPr>
        <w:t>Cogent Economics &amp; Finance, 7</w:t>
      </w:r>
      <w:r>
        <w:rPr/>
        <w:t xml:space="preserve">(1), 1607127. </w:t>
      </w:r>
    </w:p>
    <w:p>
      <w:pPr>
        <w:pStyle w:val="EndNoteBibliography"/>
        <w:ind w:left="720" w:hanging="720"/>
        <w:rPr>
          <w:szCs w:val="26"/>
        </w:rPr>
      </w:pPr>
      <w:r>
        <w:rPr/>
        <w:t xml:space="preserve">Jensen, M., &amp; Meckling, W. (1976). Theory of the firm: Managerial behavior, agency costs and ownership structure. </w:t>
      </w:r>
      <w:r>
        <w:rPr>
          <w:i/>
        </w:rPr>
        <w:t>Journal of Financial Economics, 3</w:t>
      </w:r>
      <w:r>
        <w:rPr/>
        <w:t xml:space="preserve">(4), 305-360. </w:t>
      </w:r>
    </w:p>
    <w:p>
      <w:pPr>
        <w:pStyle w:val="EndNoteBibliography"/>
        <w:ind w:left="720" w:hanging="720"/>
        <w:rPr>
          <w:szCs w:val="26"/>
        </w:rPr>
      </w:pPr>
      <w:r>
        <w:rPr/>
        <w:t xml:space="preserve">Jia, X., Cull, R., Guo, P., &amp; Ma, T. (2016). Commercialization and mission drift: Evidence from a large Chinese microfinance institution. </w:t>
      </w:r>
      <w:r>
        <w:rPr>
          <w:i/>
        </w:rPr>
        <w:t>China Economic Review, 40</w:t>
      </w:r>
      <w:r>
        <w:rPr/>
        <w:t xml:space="preserve">, 17-32. </w:t>
      </w:r>
    </w:p>
    <w:p>
      <w:pPr>
        <w:pStyle w:val="EndNoteBibliography"/>
        <w:ind w:left="720" w:hanging="720"/>
        <w:rPr>
          <w:szCs w:val="26"/>
        </w:rPr>
      </w:pPr>
      <w:r>
        <w:rPr/>
        <w:t xml:space="preserve">Kaufmann, D., Kraay, A., &amp; Mastruzzi, M. (2011). The worldwide governance indicators: methodology and analytical issues. </w:t>
      </w:r>
      <w:r>
        <w:rPr>
          <w:i/>
        </w:rPr>
        <w:t>Hague Journal on the Rule of Law, 3</w:t>
      </w:r>
      <w:r>
        <w:rPr/>
        <w:t xml:space="preserve">(2), 220-246. </w:t>
      </w:r>
    </w:p>
    <w:p>
      <w:pPr>
        <w:pStyle w:val="EndNoteBibliography"/>
        <w:ind w:left="720" w:hanging="720"/>
        <w:rPr>
          <w:szCs w:val="26"/>
        </w:rPr>
      </w:pPr>
      <w:r>
        <w:rPr/>
        <w:t xml:space="preserve">Khachatryan, K., Hartarska, V., &amp; Grigoryan, A. (2017). Performance and capital structure of microfinance institutions in Eastern Europe and Central Asia. </w:t>
      </w:r>
      <w:r>
        <w:rPr>
          <w:i/>
        </w:rPr>
        <w:t>Eastern European Economics, 4</w:t>
      </w:r>
      <w:r>
        <w:rPr/>
        <w:t xml:space="preserve">, 1-25. </w:t>
      </w:r>
    </w:p>
    <w:p>
      <w:pPr>
        <w:pStyle w:val="EndNoteBibliography"/>
        <w:ind w:left="720" w:hanging="720"/>
        <w:rPr>
          <w:szCs w:val="26"/>
        </w:rPr>
      </w:pPr>
      <w:r>
        <w:rPr/>
        <w:t xml:space="preserve">Kimmel, P. D., Weygandt, J. J., &amp; Kieso, D. E. (2018). </w:t>
      </w:r>
      <w:r>
        <w:rPr>
          <w:i/>
        </w:rPr>
        <w:t>Financial accounting: Tools for business decision making</w:t>
      </w:r>
      <w:r>
        <w:rPr/>
        <w:t>: John Wiley &amp; Sons.</w:t>
      </w:r>
    </w:p>
    <w:p>
      <w:pPr>
        <w:pStyle w:val="EndNoteBibliography"/>
        <w:ind w:left="720" w:hanging="720"/>
        <w:rPr>
          <w:szCs w:val="26"/>
        </w:rPr>
      </w:pPr>
      <w:r>
        <w:rPr/>
        <w:t xml:space="preserve">Kodongo, O., &amp; Kendi, L. G. (2013). Individual lending versus group lending: An evaluation with Kenya's microfinance data. </w:t>
      </w:r>
      <w:r>
        <w:rPr>
          <w:i/>
        </w:rPr>
        <w:t>Review of Development Finance, 3</w:t>
      </w:r>
      <w:r>
        <w:rPr/>
        <w:t xml:space="preserve">(2), 99-108. </w:t>
      </w:r>
    </w:p>
    <w:p>
      <w:pPr>
        <w:pStyle w:val="EndNoteBibliography"/>
        <w:ind w:left="720" w:hanging="720"/>
        <w:rPr>
          <w:szCs w:val="26"/>
        </w:rPr>
      </w:pPr>
      <w:r>
        <w:rPr/>
        <w:t xml:space="preserve">Kurshev, A., &amp; Strebulaev, I. A. (2015). Firm size and capital structure. </w:t>
      </w:r>
      <w:r>
        <w:rPr>
          <w:i/>
        </w:rPr>
        <w:t>Quarterly Journal of Finance, 5</w:t>
      </w:r>
      <w:r>
        <w:rPr/>
        <w:t xml:space="preserve">(03), 1550008. </w:t>
      </w:r>
    </w:p>
    <w:p>
      <w:pPr>
        <w:pStyle w:val="EndNoteBibliography"/>
        <w:ind w:left="720" w:hanging="720"/>
        <w:rPr>
          <w:szCs w:val="26"/>
        </w:rPr>
      </w:pPr>
      <w:r>
        <w:rPr/>
        <w:t xml:space="preserve">Kyereboah-Coleman, A. (2007a). The determinants of capital structure of microfinance institutions in Ghana. </w:t>
      </w:r>
      <w:r>
        <w:rPr>
          <w:i/>
        </w:rPr>
        <w:t>South African Journal of Economic and Management Sciences, 10</w:t>
      </w:r>
      <w:r>
        <w:rPr/>
        <w:t xml:space="preserve">(2), 270-279. </w:t>
      </w:r>
    </w:p>
    <w:p>
      <w:pPr>
        <w:pStyle w:val="EndNoteBibliography"/>
        <w:ind w:left="720" w:hanging="720"/>
        <w:rPr>
          <w:szCs w:val="26"/>
        </w:rPr>
      </w:pPr>
      <w:r>
        <w:rPr/>
        <w:t xml:space="preserve">Kyereboah-Coleman, A. (2007b). The impact of capital structure on the performance of microfinance institutions. </w:t>
      </w:r>
      <w:r>
        <w:rPr>
          <w:i/>
        </w:rPr>
        <w:t>The Journal of Risk Finance, 8</w:t>
      </w:r>
      <w:r>
        <w:rPr/>
        <w:t xml:space="preserve">(1), 56-71. </w:t>
      </w:r>
    </w:p>
    <w:p>
      <w:pPr>
        <w:pStyle w:val="EndNoteBibliography"/>
        <w:ind w:left="720" w:hanging="720"/>
        <w:rPr>
          <w:szCs w:val="26"/>
        </w:rPr>
      </w:pPr>
      <w:r>
        <w:rPr/>
        <w:t xml:space="preserve">La Porta, R., Lopez-de-Silanes, F., &amp; Shleifer, A. (2013). Law and finance after a decade  of research. In G. M. Constantinides, M. Harris, &amp; R. M. Stulz (Eds.), </w:t>
      </w:r>
      <w:r>
        <w:rPr>
          <w:i/>
        </w:rPr>
        <w:t xml:space="preserve">Handbook of the Economics of Finance </w:t>
      </w:r>
      <w:r>
        <w:rPr/>
        <w:t>(Vol. 2A, pp. 426-470). Amsterdam: North Holland.</w:t>
      </w:r>
    </w:p>
    <w:p>
      <w:pPr>
        <w:pStyle w:val="EndNoteBibliography"/>
        <w:ind w:left="720" w:hanging="720"/>
        <w:rPr>
          <w:szCs w:val="26"/>
        </w:rPr>
      </w:pPr>
      <w:r>
        <w:rPr/>
        <w:t xml:space="preserve">Ledgerwood, J. (1998). </w:t>
      </w:r>
      <w:r>
        <w:rPr>
          <w:i/>
        </w:rPr>
        <w:t>Microfinance handbook: An institutional and financial perspective</w:t>
      </w:r>
      <w:r>
        <w:rPr/>
        <w:t>. New York: World Bank Publications.</w:t>
      </w:r>
    </w:p>
    <w:p>
      <w:pPr>
        <w:pStyle w:val="EndNoteBibliography"/>
        <w:ind w:left="720" w:hanging="720"/>
        <w:rPr>
          <w:szCs w:val="26"/>
        </w:rPr>
      </w:pPr>
      <w:r>
        <w:rPr/>
        <w:t xml:space="preserve">Ledgerwood, J., &amp; White, V. (2006). </w:t>
      </w:r>
      <w:r>
        <w:rPr>
          <w:i/>
        </w:rPr>
        <w:t>Transforming microfinance institutions: providing full financial services to the poor</w:t>
      </w:r>
      <w:r>
        <w:rPr/>
        <w:t>. New York: World Bank Publications.</w:t>
      </w:r>
    </w:p>
    <w:p>
      <w:pPr>
        <w:pStyle w:val="EndNoteBibliography"/>
        <w:ind w:left="720" w:hanging="720"/>
        <w:rPr>
          <w:szCs w:val="26"/>
        </w:rPr>
      </w:pPr>
      <w:r>
        <w:rPr/>
        <w:t xml:space="preserve">Liu, B., Liu, Y., Peng, J., &amp; Yang, J. (2017). Optimal capital structure and credit spread under incomplete information. </w:t>
      </w:r>
      <w:r>
        <w:rPr>
          <w:i/>
        </w:rPr>
        <w:t>International Review of Economics &amp; Finance, 49</w:t>
      </w:r>
      <w:r>
        <w:rPr/>
        <w:t xml:space="preserve">, 596-611. </w:t>
      </w:r>
    </w:p>
    <w:p>
      <w:pPr>
        <w:pStyle w:val="EndNoteBibliography"/>
        <w:ind w:left="720" w:hanging="720"/>
        <w:rPr>
          <w:szCs w:val="26"/>
        </w:rPr>
      </w:pPr>
      <w:r>
        <w:rPr/>
        <w:t xml:space="preserve">Matias, F., &amp; Serrasqueiro, Z. (2017). Are there reliable determinant factors of capital structure decisions? Empirical study of SMEs in different regions of Portugal. </w:t>
      </w:r>
      <w:r>
        <w:rPr>
          <w:i/>
        </w:rPr>
        <w:t>Research in International Business and Finance, 40</w:t>
      </w:r>
      <w:r>
        <w:rPr/>
        <w:t xml:space="preserve">, 19-33. </w:t>
      </w:r>
    </w:p>
    <w:p>
      <w:pPr>
        <w:pStyle w:val="EndNoteBibliography"/>
        <w:ind w:left="720" w:hanging="720"/>
        <w:rPr>
          <w:szCs w:val="26"/>
        </w:rPr>
      </w:pPr>
      <w:r>
        <w:rPr/>
        <w:t xml:space="preserve">Mersland, R., &amp; Strøm, R. Ø. (2010). Microfinance mission drift? </w:t>
      </w:r>
      <w:r>
        <w:rPr>
          <w:i/>
        </w:rPr>
        <w:t>World Development, 38</w:t>
      </w:r>
      <w:r>
        <w:rPr/>
        <w:t xml:space="preserve">, 28-36. </w:t>
      </w:r>
    </w:p>
    <w:p>
      <w:pPr>
        <w:pStyle w:val="EndNoteBibliography"/>
        <w:ind w:left="720" w:hanging="720"/>
        <w:rPr>
          <w:szCs w:val="26"/>
        </w:rPr>
      </w:pPr>
      <w:r>
        <w:rPr/>
        <w:t xml:space="preserve">Mia, M. A., &amp; Lee, H.-A. (2017). Mission drift and ethical crisis in microfinance institutions: What matters? </w:t>
      </w:r>
      <w:r>
        <w:rPr>
          <w:i/>
        </w:rPr>
        <w:t>Journal of Cleaner Production, 164</w:t>
      </w:r>
      <w:r>
        <w:rPr/>
        <w:t xml:space="preserve">, 102-114. </w:t>
      </w:r>
    </w:p>
    <w:p>
      <w:pPr>
        <w:pStyle w:val="EndNoteBibliography"/>
        <w:ind w:left="720" w:hanging="720"/>
        <w:rPr>
          <w:szCs w:val="26"/>
        </w:rPr>
      </w:pPr>
      <w:r>
        <w:rPr/>
        <w:t xml:space="preserve">Miao, J. (2005). Optimal capital structure and industry dynamics. </w:t>
      </w:r>
      <w:r>
        <w:rPr>
          <w:i/>
        </w:rPr>
        <w:t>The Journal of finance, 60</w:t>
      </w:r>
      <w:r>
        <w:rPr/>
        <w:t xml:space="preserve">(6), 2621-2659. </w:t>
      </w:r>
    </w:p>
    <w:p>
      <w:pPr>
        <w:pStyle w:val="EndNoteBibliography"/>
        <w:ind w:left="720" w:hanging="720"/>
        <w:rPr>
          <w:szCs w:val="26"/>
        </w:rPr>
      </w:pPr>
      <w:r>
        <w:rPr/>
        <w:t xml:space="preserve">Microfinance Information Exchange (MIX). (2019). </w:t>
      </w:r>
      <w:r>
        <w:rPr>
          <w:i/>
        </w:rPr>
        <w:t>Global Outreach &amp; Financial Performance Benchmark Report - 2017-2018</w:t>
      </w:r>
      <w:r>
        <w:rPr/>
        <w:t xml:space="preserve">. Retrieved from New York: </w:t>
      </w:r>
      <w:hyperlink r:id="rId32">
        <w:r>
          <w:rPr>
            <w:rStyle w:val="InternetLink"/>
          </w:rPr>
          <w:t>https://www.themix.org/sites/default/files/mix_market_global_outreach_financial_benchmark_report_2017-2018.pdf</w:t>
        </w:r>
      </w:hyperlink>
    </w:p>
    <w:p>
      <w:pPr>
        <w:pStyle w:val="EndNoteBibliography"/>
        <w:ind w:left="720" w:hanging="720"/>
        <w:rPr>
          <w:szCs w:val="26"/>
        </w:rPr>
      </w:pPr>
      <w:r>
        <w:rPr/>
        <w:t xml:space="preserve">Myers, S. C., &amp; Majluf, N. S. (1984). Corporate financing and investment decisions when firms have information that investors do not have. </w:t>
      </w:r>
      <w:r>
        <w:rPr>
          <w:i/>
        </w:rPr>
        <w:t>Journal of Financial Economics, 13</w:t>
      </w:r>
      <w:r>
        <w:rPr/>
        <w:t xml:space="preserve">(2), 187-221. </w:t>
      </w:r>
    </w:p>
    <w:p>
      <w:pPr>
        <w:pStyle w:val="EndNoteBibliography"/>
        <w:ind w:left="720" w:hanging="720"/>
        <w:rPr>
          <w:szCs w:val="26"/>
        </w:rPr>
      </w:pPr>
      <w:r>
        <w:rPr/>
        <w:t xml:space="preserve">Ojah, K., &amp; Ombati, S. (2016). Effects of financing and institutional constraints on capital structure of firms in select African countries. </w:t>
      </w:r>
      <w:r>
        <w:rPr>
          <w:i/>
        </w:rPr>
        <w:t>African Finance Journal, 18</w:t>
      </w:r>
      <w:r>
        <w:rPr/>
        <w:t xml:space="preserve">(2), 1-44. </w:t>
      </w:r>
    </w:p>
    <w:p>
      <w:pPr>
        <w:pStyle w:val="EndNoteBibliography"/>
        <w:ind w:left="720" w:hanging="720"/>
        <w:rPr>
          <w:szCs w:val="26"/>
        </w:rPr>
      </w:pPr>
      <w:r>
        <w:rPr/>
        <w:t xml:space="preserve">Ojah, K., &amp; Pillay, K. (2009). Debt markets and corporate debt structure in an emerging market: The South African example. </w:t>
      </w:r>
      <w:r>
        <w:rPr>
          <w:i/>
        </w:rPr>
        <w:t>Economic Modelling, 26</w:t>
      </w:r>
      <w:r>
        <w:rPr/>
        <w:t xml:space="preserve">(6), 1215-1227. </w:t>
      </w:r>
    </w:p>
    <w:p>
      <w:pPr>
        <w:pStyle w:val="EndNoteBibliography"/>
        <w:ind w:left="720" w:hanging="720"/>
        <w:rPr>
          <w:szCs w:val="26"/>
        </w:rPr>
      </w:pPr>
      <w:r>
        <w:rPr/>
        <w:t xml:space="preserve">Pashkova, N., Trujillo-Barrera, A., Apostolakis, G., Van Dijk, G., Drakos, P., &amp; Baourakis, G. (2016). Business management models of microfinance institutions (MFIs) in Africa: A study into their enabling environments. </w:t>
      </w:r>
      <w:r>
        <w:rPr>
          <w:i/>
        </w:rPr>
        <w:t>International Journal of Food and Beverage Manufacturing and Business Models 2</w:t>
      </w:r>
      <w:r>
        <w:rPr/>
        <w:t xml:space="preserve">(2), 63-82. </w:t>
      </w:r>
    </w:p>
    <w:p>
      <w:pPr>
        <w:pStyle w:val="EndNoteBibliography"/>
        <w:ind w:left="720" w:hanging="720"/>
        <w:rPr>
          <w:szCs w:val="26"/>
        </w:rPr>
      </w:pPr>
      <w:r>
        <w:rPr/>
        <w:t xml:space="preserve">Pesaran, M. H., &amp; Smith, R. (1995). Estimating long-run relationships from dynamic heterogeneous panels. </w:t>
      </w:r>
      <w:r>
        <w:rPr>
          <w:i/>
        </w:rPr>
        <w:t>Journal of Econometrics, 68</w:t>
      </w:r>
      <w:r>
        <w:rPr/>
        <w:t xml:space="preserve">(1), 79-113. </w:t>
      </w:r>
    </w:p>
    <w:p>
      <w:pPr>
        <w:pStyle w:val="EndNoteBibliography"/>
        <w:ind w:left="720" w:hanging="720"/>
        <w:rPr>
          <w:szCs w:val="26"/>
        </w:rPr>
      </w:pPr>
      <w:r>
        <w:rPr/>
        <w:t xml:space="preserve">Ramus, T., &amp; Vaccaro, A. (2017). Stakeholders matter: How social enterprises address mission drift. </w:t>
      </w:r>
      <w:r>
        <w:rPr>
          <w:i/>
        </w:rPr>
        <w:t>Journal of Business Ethics, 143</w:t>
      </w:r>
      <w:r>
        <w:rPr/>
        <w:t>(2), 307-322. doi:10.1007/s10551-014-2353-y</w:t>
      </w:r>
    </w:p>
    <w:p>
      <w:pPr>
        <w:pStyle w:val="EndNoteBibliography"/>
        <w:ind w:left="720" w:hanging="720"/>
        <w:rPr>
          <w:szCs w:val="26"/>
        </w:rPr>
      </w:pPr>
      <w:r>
        <w:rPr/>
        <w:t xml:space="preserve">Roberts, M. R., &amp; Whited, T. M. (2013). Endogeneity in empirical corporate finance. In G. M. Constantinides, M. Harris, &amp; R. M. Stulz (Eds.), </w:t>
      </w:r>
      <w:r>
        <w:rPr>
          <w:i/>
        </w:rPr>
        <w:t>Handbook of the Economics of Finance</w:t>
      </w:r>
      <w:r>
        <w:rPr/>
        <w:t xml:space="preserve"> (Vol. 2A, pp. 494-567). Amsterdam: North-Holland.</w:t>
      </w:r>
    </w:p>
    <w:p>
      <w:pPr>
        <w:pStyle w:val="EndNoteBibliography"/>
        <w:ind w:left="720" w:hanging="720"/>
        <w:rPr>
          <w:szCs w:val="26"/>
        </w:rPr>
      </w:pPr>
      <w:r>
        <w:rPr/>
        <w:t xml:space="preserve">Sarafidis, V., &amp; Wansbeek, T. (2012). Cross-sectional dependence in panel data analysis. </w:t>
      </w:r>
      <w:r>
        <w:rPr>
          <w:i/>
        </w:rPr>
        <w:t>Econometric Reviews, 31</w:t>
      </w:r>
      <w:r>
        <w:rPr/>
        <w:t xml:space="preserve">(5), 483-531. </w:t>
      </w:r>
    </w:p>
    <w:p>
      <w:pPr>
        <w:pStyle w:val="EndNoteBibliography"/>
        <w:ind w:left="720" w:hanging="720"/>
        <w:rPr>
          <w:szCs w:val="26"/>
        </w:rPr>
      </w:pPr>
      <w:r>
        <w:rPr/>
        <w:t xml:space="preserve">Sarma, S. (2011). NGO transformation: Institutional entrepreneurship in Indian microfinance. </w:t>
      </w:r>
      <w:r>
        <w:rPr>
          <w:i/>
        </w:rPr>
        <w:t>Business Strategy Series, 12</w:t>
      </w:r>
      <w:r>
        <w:rPr/>
        <w:t xml:space="preserve">(4), 167-176. </w:t>
      </w:r>
    </w:p>
    <w:p>
      <w:pPr>
        <w:pStyle w:val="EndNoteBibliography"/>
        <w:ind w:left="720" w:hanging="720"/>
        <w:rPr>
          <w:szCs w:val="26"/>
        </w:rPr>
      </w:pPr>
      <w:r>
        <w:rPr/>
        <w:t xml:space="preserve">Sun, J., Ding, L., Guo, J. M., &amp; Li, Y. (2016). Ownership, capital structure and financing decision: evidence from the UK. </w:t>
      </w:r>
      <w:r>
        <w:rPr>
          <w:i/>
        </w:rPr>
        <w:t>The British Accounting Review, 48</w:t>
      </w:r>
      <w:r>
        <w:rPr/>
        <w:t xml:space="preserve">(4), 448-463. </w:t>
      </w:r>
    </w:p>
    <w:p>
      <w:pPr>
        <w:pStyle w:val="EndNoteBibliography"/>
        <w:ind w:left="720" w:hanging="720"/>
        <w:rPr>
          <w:szCs w:val="26"/>
        </w:rPr>
      </w:pPr>
      <w:r>
        <w:rPr/>
        <w:t xml:space="preserve">Tchakoute-Tchuigoua, H. (2010). Is there a difference in performance by the legal status of microfinance institutions? </w:t>
      </w:r>
      <w:r>
        <w:rPr>
          <w:i/>
        </w:rPr>
        <w:t>The Quarterly Review of Economics and Finance, 50</w:t>
      </w:r>
      <w:r>
        <w:rPr/>
        <w:t xml:space="preserve">(4), 436-442. </w:t>
      </w:r>
    </w:p>
    <w:p>
      <w:pPr>
        <w:pStyle w:val="EndNoteBibliography"/>
        <w:ind w:left="720" w:hanging="720"/>
        <w:rPr>
          <w:szCs w:val="26"/>
        </w:rPr>
      </w:pPr>
      <w:r>
        <w:rPr/>
        <w:t xml:space="preserve">Tchakoute-Tchuigoua, H. (2014). Institutional framework and capital structure of microfinance institutions. </w:t>
      </w:r>
      <w:r>
        <w:rPr>
          <w:i/>
        </w:rPr>
        <w:t>Journal of Business Research, 67</w:t>
      </w:r>
      <w:r>
        <w:rPr/>
        <w:t xml:space="preserve">(10), 2185-2197. </w:t>
      </w:r>
    </w:p>
    <w:p>
      <w:pPr>
        <w:pStyle w:val="EndNoteBibliography"/>
        <w:ind w:left="720" w:hanging="720"/>
        <w:rPr>
          <w:szCs w:val="26"/>
        </w:rPr>
      </w:pPr>
      <w:r>
        <w:rPr/>
        <w:t xml:space="preserve">Tchakoute-Tchuigoua, H. (2015). Capital structure of microfinance institutions. </w:t>
      </w:r>
      <w:r>
        <w:rPr>
          <w:i/>
        </w:rPr>
        <w:t>Journal of Financial Services Research, 47</w:t>
      </w:r>
      <w:r>
        <w:rPr/>
        <w:t xml:space="preserve">(2015), 313–340. </w:t>
      </w:r>
    </w:p>
    <w:p>
      <w:pPr>
        <w:pStyle w:val="EndNoteBibliography"/>
        <w:ind w:left="720" w:hanging="720"/>
        <w:rPr>
          <w:szCs w:val="26"/>
        </w:rPr>
      </w:pPr>
      <w:r>
        <w:rPr/>
        <w:t xml:space="preserve">Titman, S., &amp; Wessels, R. (1988). The determinants of capital structure choice. </w:t>
      </w:r>
      <w:r>
        <w:rPr>
          <w:i/>
        </w:rPr>
        <w:t>The Journal of finance, 43</w:t>
      </w:r>
      <w:r>
        <w:rPr/>
        <w:t xml:space="preserve">(1), 1-19. </w:t>
      </w:r>
    </w:p>
    <w:p>
      <w:pPr>
        <w:pStyle w:val="EndNoteBibliography"/>
        <w:ind w:left="720" w:hanging="720"/>
        <w:rPr>
          <w:szCs w:val="26"/>
        </w:rPr>
      </w:pPr>
      <w:r>
        <w:rPr/>
        <w:t xml:space="preserve">Torres-Reyna, O. (2007). </w:t>
      </w:r>
      <w:r>
        <w:rPr>
          <w:i/>
        </w:rPr>
        <w:t>Panel Data Analysis: Fixed and Random Effects Using Stata (V. 4.2)</w:t>
      </w:r>
      <w:r>
        <w:rPr/>
        <w:t>. Princeton: Princeton University Press.</w:t>
      </w:r>
    </w:p>
    <w:p>
      <w:pPr>
        <w:pStyle w:val="EndNoteBibliography"/>
        <w:ind w:left="720" w:hanging="720"/>
        <w:rPr>
          <w:szCs w:val="26"/>
        </w:rPr>
      </w:pPr>
      <w:r>
        <w:rPr/>
        <w:t xml:space="preserve">Wagenaar, K. (2012). Institutional transformation and mission drift in microfinance. </w:t>
      </w:r>
      <w:r>
        <w:rPr>
          <w:i/>
        </w:rPr>
        <w:t>Centre of Development Studies, University of Cambridge</w:t>
      </w:r>
      <w:r>
        <w:rPr/>
        <w:t xml:space="preserve">. Retrieved from Universite de Namur website: </w:t>
      </w:r>
      <w:hyperlink r:id="rId33">
        <w:r>
          <w:rPr>
            <w:rStyle w:val="InternetLink"/>
          </w:rPr>
          <w:t>http://www.unamur.be/en/eco/eeco/cred/papers/economics-of-non-profits/SP3_Wagenaar_UCamb.pdf</w:t>
        </w:r>
      </w:hyperlink>
    </w:p>
    <w:p>
      <w:pPr>
        <w:pStyle w:val="EndNoteBibliography"/>
        <w:ind w:left="720" w:hanging="720"/>
        <w:rPr>
          <w:szCs w:val="26"/>
        </w:rPr>
      </w:pPr>
      <w:r>
        <w:rPr/>
        <w:t xml:space="preserve">Zellner, A., &amp; Huang, D. S. (1962). Further properties of efficient estimators for seemingly unrelated regression equations. </w:t>
      </w:r>
      <w:r>
        <w:rPr>
          <w:i/>
        </w:rPr>
        <w:t>International Economic Review, 3</w:t>
      </w:r>
      <w:r>
        <w:rPr/>
        <w:t xml:space="preserve">(3), 300-313. </w:t>
      </w:r>
    </w:p>
    <w:p>
      <w:pPr>
        <w:pStyle w:val="Normal"/>
        <w:tabs>
          <w:tab w:val="clear" w:pos="720"/>
          <w:tab w:val="left" w:pos="5290" w:leader="none"/>
        </w:tabs>
        <w:spacing w:lineRule="auto" w:line="360"/>
        <w:rPr>
          <w:szCs w:val="26"/>
        </w:rPr>
      </w:pPr>
      <w:hyperlink r:id="rId34">
        <w:r>
          <w:rPr/>
        </w:r>
      </w:hyperlink>
      <w:r>
        <w:rPr/>
        <w:fldChar w:fldCharType="end"/>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pStyle w:val="Normal"/>
        <w:spacing w:lineRule="auto" w:line="360"/>
        <w:rPr>
          <w:szCs w:val="26"/>
        </w:rPr>
      </w:pPr>
      <w:r>
        <w:rPr/>
      </w:r>
    </w:p>
    <w:p>
      <w:pPr>
        <w:sectPr>
          <w:footerReference w:type="default" r:id="rId35"/>
          <w:footnotePr>
            <w:numFmt w:val="decimal"/>
          </w:footnotePr>
          <w:type w:val="nextPage"/>
          <w:pgSz w:w="12240" w:h="15840"/>
          <w:pgMar w:left="1440" w:right="1440" w:header="0" w:top="1440" w:footer="720" w:bottom="1440" w:gutter="0"/>
          <w:pgNumType w:fmt="decimal"/>
          <w:formProt w:val="false"/>
          <w:textDirection w:val="lrTb"/>
          <w:docGrid w:type="default" w:linePitch="326" w:charSpace="0"/>
        </w:sectPr>
        <w:pStyle w:val="Normal"/>
        <w:spacing w:lineRule="auto" w:line="360"/>
        <w:rPr>
          <w:szCs w:val="26"/>
        </w:rPr>
      </w:pPr>
      <w:r>
        <w:rPr/>
      </w:r>
    </w:p>
    <w:p>
      <w:pPr>
        <w:pStyle w:val="Caption1"/>
        <w:rPr>
          <w:rFonts w:cs="Calibri"/>
          <w:i w:val="false"/>
          <w:i w:val="false"/>
          <w:color w:val="000000"/>
          <w:sz w:val="24"/>
          <w:szCs w:val="24"/>
        </w:rPr>
      </w:pPr>
      <w:r>
        <w:rPr>
          <w:rFonts w:cs="Calibri"/>
          <w:i w:val="false"/>
          <w:color w:val="000000"/>
          <w:sz w:val="24"/>
          <w:szCs w:val="24"/>
        </w:rPr>
        <w:t xml:space="preserve">Appendix </w:t>
      </w:r>
      <w:r>
        <w:rPr>
          <w:rFonts w:cs="Calibri"/>
          <w:i w:val="false"/>
          <w:color w:val="000000"/>
          <w:sz w:val="24"/>
          <w:szCs w:val="24"/>
        </w:rPr>
        <w:fldChar w:fldCharType="begin"/>
      </w:r>
      <w:r>
        <w:rPr>
          <w:sz w:val="24"/>
          <w:i w:val="false"/>
          <w:szCs w:val="24"/>
          <w:rFonts w:cs="Calibri"/>
          <w:color w:val="000000"/>
        </w:rPr>
        <w:instrText> SEQ Appendix \* ARABIC </w:instrText>
      </w:r>
      <w:r>
        <w:rPr>
          <w:sz w:val="24"/>
          <w:i w:val="false"/>
          <w:szCs w:val="24"/>
          <w:rFonts w:cs="Calibri"/>
          <w:color w:val="000000"/>
        </w:rPr>
        <w:fldChar w:fldCharType="separate"/>
      </w:r>
      <w:r>
        <w:rPr>
          <w:sz w:val="24"/>
          <w:i w:val="false"/>
          <w:szCs w:val="24"/>
          <w:rFonts w:cs="Calibri"/>
          <w:color w:val="000000"/>
        </w:rPr>
        <w:t>1</w:t>
      </w:r>
      <w:r>
        <w:rPr>
          <w:sz w:val="24"/>
          <w:i w:val="false"/>
          <w:szCs w:val="24"/>
          <w:rFonts w:cs="Calibri"/>
          <w:color w:val="000000"/>
        </w:rPr>
        <w:fldChar w:fldCharType="end"/>
      </w:r>
      <w:r>
        <w:rPr>
          <w:rFonts w:cs="Calibri"/>
          <w:i w:val="false"/>
          <w:color w:val="000000"/>
          <w:sz w:val="24"/>
          <w:szCs w:val="24"/>
        </w:rPr>
        <w:t xml:space="preserve">: Results of the </w:t>
      </w:r>
      <w:r>
        <w:rPr>
          <w:i w:val="false"/>
          <w:sz w:val="24"/>
          <w:szCs w:val="24"/>
        </w:rPr>
        <w:t>Hausman Tests of Fixed versus Random Effects</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031"/>
        <w:gridCol w:w="1804"/>
        <w:gridCol w:w="1980"/>
        <w:gridCol w:w="1953"/>
        <w:gridCol w:w="3474"/>
        <w:gridCol w:w="2155"/>
      </w:tblGrid>
      <w:tr>
        <w:trPr>
          <w:trHeight w:val="290" w:hRule="atLeast"/>
        </w:trPr>
        <w:tc>
          <w:tcPr>
            <w:tcW w:w="4031" w:type="dxa"/>
            <w:tcBorders>
              <w:top w:val="single" w:sz="12" w:space="0" w:color="008000"/>
              <w:bottom w:val="single" w:sz="6" w:space="0" w:color="008000"/>
            </w:tcBorders>
            <w:shd w:color="auto" w:fill="auto" w:val="clear"/>
          </w:tcPr>
          <w:p>
            <w:pPr>
              <w:pStyle w:val="Normal"/>
              <w:widowControl w:val="false"/>
              <w:spacing w:lineRule="auto" w:line="360" w:before="0" w:after="160"/>
              <w:rPr>
                <w:szCs w:val="26"/>
              </w:rPr>
            </w:pPr>
            <w:r>
              <w:rPr/>
              <w:t>Dependent Variable</w:t>
            </w:r>
          </w:p>
        </w:tc>
        <w:tc>
          <w:tcPr>
            <w:tcW w:w="1804" w:type="dxa"/>
            <w:tcBorders>
              <w:top w:val="single" w:sz="12" w:space="0" w:color="008000"/>
              <w:bottom w:val="single" w:sz="6" w:space="0" w:color="008000"/>
            </w:tcBorders>
            <w:shd w:color="auto" w:fill="auto" w:val="clear"/>
          </w:tcPr>
          <w:p>
            <w:pPr>
              <w:pStyle w:val="Normal"/>
              <w:widowControl w:val="false"/>
              <w:spacing w:lineRule="auto" w:line="360" w:before="0" w:after="160"/>
              <w:rPr>
                <w:szCs w:val="26"/>
              </w:rPr>
            </w:pPr>
            <w:r>
              <w:rPr/>
              <w:t>Statistic</w:t>
            </w:r>
          </w:p>
        </w:tc>
        <w:tc>
          <w:tcPr>
            <w:tcW w:w="1980" w:type="dxa"/>
            <w:tcBorders>
              <w:top w:val="single" w:sz="12" w:space="0" w:color="008000"/>
              <w:bottom w:val="single" w:sz="6" w:space="0" w:color="008000"/>
            </w:tcBorders>
            <w:shd w:color="auto" w:fill="auto" w:val="clear"/>
          </w:tcPr>
          <w:p>
            <w:pPr>
              <w:pStyle w:val="Normal"/>
              <w:widowControl w:val="false"/>
              <w:spacing w:lineRule="auto" w:line="360" w:before="0" w:after="160"/>
              <w:rPr>
                <w:szCs w:val="26"/>
              </w:rPr>
            </w:pPr>
            <w:r>
              <w:rPr/>
              <w:t>Parameter</w:t>
            </w:r>
          </w:p>
        </w:tc>
        <w:tc>
          <w:tcPr>
            <w:tcW w:w="1953" w:type="dxa"/>
            <w:tcBorders>
              <w:top w:val="single" w:sz="12" w:space="0" w:color="008000"/>
              <w:bottom w:val="single" w:sz="6" w:space="0" w:color="008000"/>
            </w:tcBorders>
            <w:shd w:color="auto" w:fill="auto" w:val="clear"/>
          </w:tcPr>
          <w:p>
            <w:pPr>
              <w:pStyle w:val="Normal"/>
              <w:widowControl w:val="false"/>
              <w:spacing w:lineRule="auto" w:line="360" w:before="0" w:after="160"/>
              <w:rPr>
                <w:szCs w:val="26"/>
              </w:rPr>
            </w:pPr>
            <w:r>
              <w:rPr/>
              <w:t>Method</w:t>
            </w:r>
          </w:p>
        </w:tc>
        <w:tc>
          <w:tcPr>
            <w:tcW w:w="3474" w:type="dxa"/>
            <w:tcBorders>
              <w:top w:val="single" w:sz="12" w:space="0" w:color="008000"/>
              <w:bottom w:val="single" w:sz="6" w:space="0" w:color="008000"/>
            </w:tcBorders>
            <w:shd w:color="auto" w:fill="auto" w:val="clear"/>
          </w:tcPr>
          <w:p>
            <w:pPr>
              <w:pStyle w:val="Normal"/>
              <w:widowControl w:val="false"/>
              <w:spacing w:lineRule="auto" w:line="360" w:before="0" w:after="160"/>
              <w:rPr>
                <w:szCs w:val="26"/>
              </w:rPr>
            </w:pPr>
            <w:r>
              <w:rPr/>
              <w:t>Alternative</w:t>
            </w:r>
          </w:p>
        </w:tc>
        <w:tc>
          <w:tcPr>
            <w:tcW w:w="2155" w:type="dxa"/>
            <w:tcBorders>
              <w:top w:val="single" w:sz="12" w:space="0" w:color="008000"/>
              <w:bottom w:val="single" w:sz="6" w:space="0" w:color="008000"/>
            </w:tcBorders>
            <w:shd w:color="auto" w:fill="auto" w:val="clear"/>
          </w:tcPr>
          <w:p>
            <w:pPr>
              <w:pStyle w:val="Normal"/>
              <w:widowControl w:val="false"/>
              <w:spacing w:lineRule="auto" w:line="360" w:before="0" w:after="160"/>
              <w:rPr>
                <w:szCs w:val="26"/>
              </w:rPr>
            </w:pPr>
            <w:r>
              <w:rPr/>
              <w:t>Model Choice</w:t>
            </w:r>
          </w:p>
        </w:tc>
      </w:tr>
      <w:tr>
        <w:trPr>
          <w:trHeight w:val="290" w:hRule="atLeast"/>
        </w:trPr>
        <w:tc>
          <w:tcPr>
            <w:tcW w:w="4031" w:type="dxa"/>
            <w:tcBorders/>
            <w:shd w:color="auto" w:fill="auto" w:val="clear"/>
          </w:tcPr>
          <w:p>
            <w:pPr>
              <w:pStyle w:val="Normal"/>
              <w:widowControl w:val="false"/>
              <w:spacing w:lineRule="auto" w:line="360" w:before="0" w:after="160"/>
              <w:rPr>
                <w:szCs w:val="26"/>
              </w:rPr>
            </w:pPr>
            <w:r>
              <w:rPr/>
              <w:t xml:space="preserve">Debt to Equity </w:t>
            </w:r>
          </w:p>
        </w:tc>
        <w:tc>
          <w:tcPr>
            <w:tcW w:w="1804" w:type="dxa"/>
            <w:tcBorders/>
            <w:shd w:color="auto" w:fill="auto" w:val="clear"/>
          </w:tcPr>
          <w:p>
            <w:pPr>
              <w:pStyle w:val="Normal"/>
              <w:widowControl w:val="false"/>
              <w:spacing w:lineRule="auto" w:line="360" w:before="0" w:after="160"/>
              <w:rPr>
                <w:szCs w:val="26"/>
              </w:rPr>
            </w:pPr>
            <w:r>
              <w:rPr/>
              <w:t>56.75289***</w:t>
            </w:r>
          </w:p>
        </w:tc>
        <w:tc>
          <w:tcPr>
            <w:tcW w:w="1980" w:type="dxa"/>
            <w:tcBorders/>
            <w:shd w:color="auto" w:fill="auto" w:val="clear"/>
          </w:tcPr>
          <w:p>
            <w:pPr>
              <w:pStyle w:val="Normal"/>
              <w:widowControl w:val="false"/>
              <w:spacing w:lineRule="auto" w:line="360" w:before="0" w:after="160"/>
              <w:rPr>
                <w:szCs w:val="26"/>
              </w:rPr>
            </w:pPr>
            <w:r>
              <w:rPr/>
              <w:t>27</w:t>
            </w:r>
          </w:p>
        </w:tc>
        <w:tc>
          <w:tcPr>
            <w:tcW w:w="1953" w:type="dxa"/>
            <w:tcBorders/>
            <w:shd w:color="auto" w:fill="auto" w:val="clear"/>
          </w:tcPr>
          <w:p>
            <w:pPr>
              <w:pStyle w:val="Normal"/>
              <w:widowControl w:val="false"/>
              <w:spacing w:lineRule="auto" w:line="360" w:before="0" w:after="160"/>
              <w:rPr>
                <w:szCs w:val="26"/>
              </w:rPr>
            </w:pPr>
            <w:r>
              <w:rPr/>
              <w:t>Hausman Test</w:t>
            </w:r>
          </w:p>
        </w:tc>
        <w:tc>
          <w:tcPr>
            <w:tcW w:w="3474" w:type="dxa"/>
            <w:tcBorders/>
            <w:shd w:color="auto" w:fill="auto" w:val="clear"/>
          </w:tcPr>
          <w:p>
            <w:pPr>
              <w:pStyle w:val="Normal"/>
              <w:widowControl w:val="false"/>
              <w:spacing w:lineRule="auto" w:line="360" w:before="0" w:after="160"/>
              <w:rPr>
                <w:szCs w:val="26"/>
              </w:rPr>
            </w:pPr>
            <w:r>
              <w:rPr/>
              <w:t>one model is inconsistent</w:t>
            </w:r>
          </w:p>
        </w:tc>
        <w:tc>
          <w:tcPr>
            <w:tcW w:w="2155" w:type="dxa"/>
            <w:tcBorders/>
            <w:shd w:color="auto" w:fill="auto" w:val="clear"/>
          </w:tcPr>
          <w:p>
            <w:pPr>
              <w:pStyle w:val="Normal"/>
              <w:widowControl w:val="false"/>
              <w:spacing w:lineRule="auto" w:line="360" w:before="0" w:after="160"/>
              <w:rPr>
                <w:szCs w:val="26"/>
              </w:rPr>
            </w:pPr>
            <w:r>
              <w:rPr/>
              <w:t xml:space="preserve">Random Effects </w:t>
            </w:r>
          </w:p>
        </w:tc>
      </w:tr>
      <w:tr>
        <w:trPr>
          <w:trHeight w:val="290" w:hRule="atLeast"/>
        </w:trPr>
        <w:tc>
          <w:tcPr>
            <w:tcW w:w="4031" w:type="dxa"/>
            <w:tcBorders/>
            <w:shd w:color="auto" w:fill="auto" w:val="clear"/>
          </w:tcPr>
          <w:p>
            <w:pPr>
              <w:pStyle w:val="Normal"/>
              <w:widowControl w:val="false"/>
              <w:spacing w:lineRule="auto" w:line="360" w:before="0" w:after="160"/>
              <w:rPr>
                <w:szCs w:val="26"/>
              </w:rPr>
            </w:pPr>
            <w:r>
              <w:rPr/>
              <w:t>Capital to Total Assets</w:t>
            </w:r>
          </w:p>
        </w:tc>
        <w:tc>
          <w:tcPr>
            <w:tcW w:w="1804" w:type="dxa"/>
            <w:tcBorders/>
            <w:shd w:color="auto" w:fill="auto" w:val="clear"/>
          </w:tcPr>
          <w:p>
            <w:pPr>
              <w:pStyle w:val="Normal"/>
              <w:widowControl w:val="false"/>
              <w:spacing w:lineRule="auto" w:line="360" w:before="0" w:after="160"/>
              <w:rPr>
                <w:szCs w:val="26"/>
              </w:rPr>
            </w:pPr>
            <w:r>
              <w:rPr/>
              <w:t>14.82999</w:t>
            </w:r>
          </w:p>
        </w:tc>
        <w:tc>
          <w:tcPr>
            <w:tcW w:w="1980" w:type="dxa"/>
            <w:tcBorders/>
            <w:shd w:color="auto" w:fill="auto" w:val="clear"/>
          </w:tcPr>
          <w:p>
            <w:pPr>
              <w:pStyle w:val="Normal"/>
              <w:widowControl w:val="false"/>
              <w:spacing w:lineRule="auto" w:line="360" w:before="0" w:after="160"/>
              <w:rPr>
                <w:szCs w:val="26"/>
              </w:rPr>
            </w:pPr>
            <w:r>
              <w:rPr/>
              <w:t>27</w:t>
            </w:r>
          </w:p>
        </w:tc>
        <w:tc>
          <w:tcPr>
            <w:tcW w:w="1953" w:type="dxa"/>
            <w:tcBorders/>
            <w:shd w:color="auto" w:fill="auto" w:val="clear"/>
          </w:tcPr>
          <w:p>
            <w:pPr>
              <w:pStyle w:val="Normal"/>
              <w:widowControl w:val="false"/>
              <w:spacing w:lineRule="auto" w:line="360" w:before="0" w:after="160"/>
              <w:rPr>
                <w:szCs w:val="26"/>
              </w:rPr>
            </w:pPr>
            <w:r>
              <w:rPr/>
              <w:t>Hausman Test</w:t>
            </w:r>
          </w:p>
        </w:tc>
        <w:tc>
          <w:tcPr>
            <w:tcW w:w="3474" w:type="dxa"/>
            <w:tcBorders/>
            <w:shd w:color="auto" w:fill="auto" w:val="clear"/>
          </w:tcPr>
          <w:p>
            <w:pPr>
              <w:pStyle w:val="Normal"/>
              <w:widowControl w:val="false"/>
              <w:spacing w:lineRule="auto" w:line="360" w:before="0" w:after="160"/>
              <w:rPr>
                <w:szCs w:val="26"/>
              </w:rPr>
            </w:pPr>
            <w:r>
              <w:rPr/>
              <w:t>one model is inconsistent</w:t>
            </w:r>
          </w:p>
        </w:tc>
        <w:tc>
          <w:tcPr>
            <w:tcW w:w="2155" w:type="dxa"/>
            <w:tcBorders/>
            <w:shd w:color="auto" w:fill="auto" w:val="clear"/>
          </w:tcPr>
          <w:p>
            <w:pPr>
              <w:pStyle w:val="Normal"/>
              <w:widowControl w:val="false"/>
              <w:spacing w:lineRule="auto" w:line="360" w:before="0" w:after="160"/>
              <w:rPr>
                <w:szCs w:val="26"/>
              </w:rPr>
            </w:pPr>
            <w:r>
              <w:rPr/>
              <w:t>Fixed Effects</w:t>
            </w:r>
          </w:p>
        </w:tc>
      </w:tr>
      <w:tr>
        <w:trPr>
          <w:trHeight w:val="290" w:hRule="atLeast"/>
        </w:trPr>
        <w:tc>
          <w:tcPr>
            <w:tcW w:w="4031" w:type="dxa"/>
            <w:tcBorders/>
            <w:shd w:color="auto" w:fill="auto" w:val="clear"/>
          </w:tcPr>
          <w:p>
            <w:pPr>
              <w:pStyle w:val="Normal"/>
              <w:widowControl w:val="false"/>
              <w:spacing w:lineRule="auto" w:line="360" w:before="0" w:after="160"/>
              <w:rPr>
                <w:szCs w:val="26"/>
              </w:rPr>
            </w:pPr>
            <w:r>
              <w:rPr/>
              <w:t>Deposits to Total Assets</w:t>
            </w:r>
          </w:p>
        </w:tc>
        <w:tc>
          <w:tcPr>
            <w:tcW w:w="1804" w:type="dxa"/>
            <w:tcBorders/>
            <w:shd w:color="auto" w:fill="auto" w:val="clear"/>
          </w:tcPr>
          <w:p>
            <w:pPr>
              <w:pStyle w:val="Normal"/>
              <w:widowControl w:val="false"/>
              <w:spacing w:lineRule="auto" w:line="360" w:before="0" w:after="160"/>
              <w:rPr>
                <w:szCs w:val="26"/>
              </w:rPr>
            </w:pPr>
            <w:r>
              <w:rPr/>
              <w:t>55.17438***</w:t>
            </w:r>
          </w:p>
        </w:tc>
        <w:tc>
          <w:tcPr>
            <w:tcW w:w="1980" w:type="dxa"/>
            <w:tcBorders/>
            <w:shd w:color="auto" w:fill="auto" w:val="clear"/>
          </w:tcPr>
          <w:p>
            <w:pPr>
              <w:pStyle w:val="Normal"/>
              <w:widowControl w:val="false"/>
              <w:spacing w:lineRule="auto" w:line="360" w:before="0" w:after="160"/>
              <w:rPr>
                <w:szCs w:val="26"/>
              </w:rPr>
            </w:pPr>
            <w:r>
              <w:rPr/>
              <w:t>27</w:t>
            </w:r>
          </w:p>
        </w:tc>
        <w:tc>
          <w:tcPr>
            <w:tcW w:w="1953" w:type="dxa"/>
            <w:tcBorders/>
            <w:shd w:color="auto" w:fill="auto" w:val="clear"/>
          </w:tcPr>
          <w:p>
            <w:pPr>
              <w:pStyle w:val="Normal"/>
              <w:widowControl w:val="false"/>
              <w:spacing w:lineRule="auto" w:line="360" w:before="0" w:after="160"/>
              <w:rPr>
                <w:szCs w:val="26"/>
              </w:rPr>
            </w:pPr>
            <w:r>
              <w:rPr/>
              <w:t>Hausman Test</w:t>
            </w:r>
          </w:p>
        </w:tc>
        <w:tc>
          <w:tcPr>
            <w:tcW w:w="3474" w:type="dxa"/>
            <w:tcBorders/>
            <w:shd w:color="auto" w:fill="auto" w:val="clear"/>
          </w:tcPr>
          <w:p>
            <w:pPr>
              <w:pStyle w:val="Normal"/>
              <w:widowControl w:val="false"/>
              <w:spacing w:lineRule="auto" w:line="360" w:before="0" w:after="160"/>
              <w:rPr>
                <w:szCs w:val="26"/>
              </w:rPr>
            </w:pPr>
            <w:r>
              <w:rPr/>
              <w:t>one model is inconsistent</w:t>
            </w:r>
          </w:p>
        </w:tc>
        <w:tc>
          <w:tcPr>
            <w:tcW w:w="2155" w:type="dxa"/>
            <w:tcBorders/>
            <w:shd w:color="auto" w:fill="auto" w:val="clear"/>
          </w:tcPr>
          <w:p>
            <w:pPr>
              <w:pStyle w:val="Normal"/>
              <w:widowControl w:val="false"/>
              <w:spacing w:lineRule="auto" w:line="360" w:before="0" w:after="160"/>
              <w:rPr>
                <w:szCs w:val="26"/>
              </w:rPr>
            </w:pPr>
            <w:r>
              <w:rPr/>
              <w:t xml:space="preserve">Random Effects </w:t>
            </w:r>
          </w:p>
        </w:tc>
      </w:tr>
      <w:tr>
        <w:trPr>
          <w:trHeight w:val="290" w:hRule="atLeast"/>
        </w:trPr>
        <w:tc>
          <w:tcPr>
            <w:tcW w:w="4031" w:type="dxa"/>
            <w:tcBorders>
              <w:bottom w:val="single" w:sz="4" w:space="0" w:color="000000"/>
            </w:tcBorders>
            <w:shd w:color="auto" w:fill="auto" w:val="clear"/>
          </w:tcPr>
          <w:p>
            <w:pPr>
              <w:pStyle w:val="Normal"/>
              <w:widowControl w:val="false"/>
              <w:spacing w:lineRule="auto" w:line="360" w:before="0" w:after="160"/>
              <w:rPr>
                <w:szCs w:val="26"/>
              </w:rPr>
            </w:pPr>
            <w:r>
              <w:rPr/>
              <w:t>Donations to Total Assets</w:t>
            </w:r>
          </w:p>
        </w:tc>
        <w:tc>
          <w:tcPr>
            <w:tcW w:w="1804" w:type="dxa"/>
            <w:tcBorders>
              <w:bottom w:val="single" w:sz="4" w:space="0" w:color="000000"/>
            </w:tcBorders>
            <w:shd w:color="auto" w:fill="auto" w:val="clear"/>
          </w:tcPr>
          <w:p>
            <w:pPr>
              <w:pStyle w:val="Normal"/>
              <w:widowControl w:val="false"/>
              <w:spacing w:lineRule="auto" w:line="360" w:before="0" w:after="160"/>
              <w:rPr>
                <w:szCs w:val="26"/>
              </w:rPr>
            </w:pPr>
            <w:r>
              <w:rPr/>
              <w:t>42.60000**</w:t>
            </w:r>
          </w:p>
        </w:tc>
        <w:tc>
          <w:tcPr>
            <w:tcW w:w="1980" w:type="dxa"/>
            <w:tcBorders>
              <w:bottom w:val="single" w:sz="4" w:space="0" w:color="000000"/>
            </w:tcBorders>
            <w:shd w:color="auto" w:fill="auto" w:val="clear"/>
          </w:tcPr>
          <w:p>
            <w:pPr>
              <w:pStyle w:val="Normal"/>
              <w:widowControl w:val="false"/>
              <w:spacing w:lineRule="auto" w:line="360" w:before="0" w:after="160"/>
              <w:rPr>
                <w:szCs w:val="26"/>
              </w:rPr>
            </w:pPr>
            <w:r>
              <w:rPr/>
              <w:t>27</w:t>
            </w:r>
          </w:p>
        </w:tc>
        <w:tc>
          <w:tcPr>
            <w:tcW w:w="1953" w:type="dxa"/>
            <w:tcBorders>
              <w:bottom w:val="single" w:sz="4" w:space="0" w:color="000000"/>
            </w:tcBorders>
            <w:shd w:color="auto" w:fill="auto" w:val="clear"/>
          </w:tcPr>
          <w:p>
            <w:pPr>
              <w:pStyle w:val="Normal"/>
              <w:widowControl w:val="false"/>
              <w:spacing w:lineRule="auto" w:line="360" w:before="0" w:after="160"/>
              <w:rPr>
                <w:szCs w:val="26"/>
              </w:rPr>
            </w:pPr>
            <w:r>
              <w:rPr/>
              <w:t>Hausman Test</w:t>
            </w:r>
          </w:p>
        </w:tc>
        <w:tc>
          <w:tcPr>
            <w:tcW w:w="3474" w:type="dxa"/>
            <w:tcBorders>
              <w:bottom w:val="single" w:sz="4" w:space="0" w:color="000000"/>
            </w:tcBorders>
            <w:shd w:color="auto" w:fill="auto" w:val="clear"/>
          </w:tcPr>
          <w:p>
            <w:pPr>
              <w:pStyle w:val="Normal"/>
              <w:widowControl w:val="false"/>
              <w:spacing w:lineRule="auto" w:line="360" w:before="0" w:after="160"/>
              <w:rPr>
                <w:szCs w:val="26"/>
              </w:rPr>
            </w:pPr>
            <w:r>
              <w:rPr/>
              <w:t>one model is inconsistent</w:t>
            </w:r>
          </w:p>
        </w:tc>
        <w:tc>
          <w:tcPr>
            <w:tcW w:w="2155" w:type="dxa"/>
            <w:tcBorders>
              <w:bottom w:val="single" w:sz="4" w:space="0" w:color="000000"/>
            </w:tcBorders>
            <w:shd w:color="auto" w:fill="auto" w:val="clear"/>
          </w:tcPr>
          <w:p>
            <w:pPr>
              <w:pStyle w:val="Normal"/>
              <w:widowControl w:val="false"/>
              <w:spacing w:lineRule="auto" w:line="360" w:before="0" w:after="160"/>
              <w:rPr>
                <w:szCs w:val="26"/>
              </w:rPr>
            </w:pPr>
            <w:r>
              <w:rPr/>
              <w:t xml:space="preserve">Random Effects </w:t>
            </w:r>
          </w:p>
        </w:tc>
      </w:tr>
      <w:tr>
        <w:trPr>
          <w:trHeight w:val="290" w:hRule="atLeast"/>
        </w:trPr>
        <w:tc>
          <w:tcPr>
            <w:tcW w:w="15397" w:type="dxa"/>
            <w:gridSpan w:val="6"/>
            <w:tcBorders>
              <w:top w:val="single" w:sz="4" w:space="0" w:color="000000"/>
              <w:bottom w:val="single" w:sz="12" w:space="0" w:color="008000"/>
            </w:tcBorders>
            <w:shd w:color="auto" w:fill="auto" w:val="clear"/>
          </w:tcPr>
          <w:p>
            <w:pPr>
              <w:pStyle w:val="Normal"/>
              <w:widowControl w:val="false"/>
              <w:spacing w:lineRule="auto" w:line="360" w:before="0" w:after="160"/>
              <w:rPr>
                <w:szCs w:val="26"/>
              </w:rPr>
            </w:pPr>
            <w:r>
              <w:rPr/>
              <w:t>The tests derive from the regression models run using the full dataset.</w:t>
            </w:r>
          </w:p>
        </w:tc>
      </w:tr>
    </w:tbl>
    <w:p>
      <w:pPr>
        <w:pStyle w:val="Normal"/>
        <w:spacing w:lineRule="auto" w:line="360"/>
        <w:rPr>
          <w:szCs w:val="26"/>
        </w:rPr>
      </w:pPr>
      <w:r>
        <w:rPr/>
      </w:r>
    </w:p>
    <w:p>
      <w:pPr>
        <w:pStyle w:val="Normal"/>
        <w:spacing w:lineRule="auto" w:line="360"/>
        <w:rPr>
          <w:szCs w:val="26"/>
        </w:rPr>
      </w:pPr>
      <w:r>
        <w:rPr/>
      </w:r>
    </w:p>
    <w:p>
      <w:pPr>
        <w:pStyle w:val="Caption1"/>
        <w:rPr>
          <w:i w:val="false"/>
          <w:i w:val="false"/>
          <w:sz w:val="24"/>
          <w:szCs w:val="24"/>
        </w:rPr>
      </w:pPr>
      <w:r>
        <w:rPr>
          <w:i w:val="false"/>
          <w:sz w:val="24"/>
          <w:szCs w:val="24"/>
        </w:rPr>
        <w:t xml:space="preserve">Appendix </w:t>
      </w:r>
      <w:r>
        <w:rPr>
          <w:i w:val="false"/>
          <w:iCs w:val="false"/>
          <w:sz w:val="24"/>
          <w:szCs w:val="24"/>
        </w:rPr>
        <w:fldChar w:fldCharType="begin"/>
      </w:r>
      <w:r>
        <w:rPr>
          <w:sz w:val="24"/>
          <w:i w:val="false"/>
          <w:szCs w:val="24"/>
          <w:iCs w:val="false"/>
        </w:rPr>
        <w:instrText> SEQ Appendix \* ARABIC </w:instrText>
      </w:r>
      <w:r>
        <w:rPr>
          <w:sz w:val="24"/>
          <w:i w:val="false"/>
          <w:szCs w:val="24"/>
          <w:iCs w:val="false"/>
        </w:rPr>
        <w:fldChar w:fldCharType="separate"/>
      </w:r>
      <w:r>
        <w:rPr>
          <w:sz w:val="24"/>
          <w:i w:val="false"/>
          <w:szCs w:val="24"/>
          <w:iCs w:val="false"/>
        </w:rPr>
        <w:t>2</w:t>
      </w:r>
      <w:r>
        <w:rPr>
          <w:sz w:val="24"/>
          <w:i w:val="false"/>
          <w:szCs w:val="24"/>
          <w:iCs w:val="false"/>
        </w:rPr>
        <w:fldChar w:fldCharType="end"/>
      </w:r>
      <w:r>
        <w:rPr>
          <w:i w:val="false"/>
          <w:iCs w:val="false"/>
          <w:sz w:val="24"/>
          <w:szCs w:val="24"/>
        </w:rPr>
        <w:t>:</w:t>
      </w:r>
      <w:r>
        <w:rPr>
          <w:i w:val="false"/>
          <w:sz w:val="24"/>
          <w:szCs w:val="24"/>
        </w:rPr>
        <w:t xml:space="preserve"> Breusch-Pagan Test for the Choice of Fixed/ Random Effects versus Pooled OLS</w:t>
      </w:r>
    </w:p>
    <w:tbl>
      <w:tblPr>
        <w:tblpPr w:bottomFromText="0" w:horzAnchor="text" w:leftFromText="180" w:rightFromText="180" w:tblpX="0" w:tblpY="1" w:topFromText="0" w:vertAnchor="text"/>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93"/>
        <w:gridCol w:w="1706"/>
        <w:gridCol w:w="1341"/>
        <w:gridCol w:w="7305"/>
        <w:gridCol w:w="2153"/>
      </w:tblGrid>
      <w:tr>
        <w:trPr>
          <w:trHeight w:val="290" w:hRule="atLeast"/>
        </w:trPr>
        <w:tc>
          <w:tcPr>
            <w:tcW w:w="2893" w:type="dxa"/>
            <w:tcBorders>
              <w:top w:val="single" w:sz="12" w:space="0" w:color="008000"/>
              <w:bottom w:val="single" w:sz="6"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Dependent Variable</w:t>
            </w:r>
          </w:p>
        </w:tc>
        <w:tc>
          <w:tcPr>
            <w:tcW w:w="1706" w:type="dxa"/>
            <w:tcBorders>
              <w:top w:val="single" w:sz="12" w:space="0" w:color="008000"/>
              <w:bottom w:val="single" w:sz="6"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Statistic</w:t>
            </w:r>
          </w:p>
        </w:tc>
        <w:tc>
          <w:tcPr>
            <w:tcW w:w="1341" w:type="dxa"/>
            <w:tcBorders>
              <w:top w:val="single" w:sz="12" w:space="0" w:color="008000"/>
              <w:bottom w:val="single" w:sz="6"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Parameter</w:t>
            </w:r>
          </w:p>
        </w:tc>
        <w:tc>
          <w:tcPr>
            <w:tcW w:w="7305" w:type="dxa"/>
            <w:tcBorders>
              <w:top w:val="single" w:sz="12" w:space="0" w:color="008000"/>
              <w:bottom w:val="single" w:sz="6"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Method</w:t>
            </w:r>
          </w:p>
        </w:tc>
        <w:tc>
          <w:tcPr>
            <w:tcW w:w="2153" w:type="dxa"/>
            <w:tcBorders>
              <w:top w:val="single" w:sz="12" w:space="0" w:color="008000"/>
              <w:bottom w:val="single" w:sz="6"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Alternative</w:t>
            </w:r>
          </w:p>
        </w:tc>
      </w:tr>
      <w:tr>
        <w:trPr>
          <w:trHeight w:val="290" w:hRule="atLeast"/>
        </w:trPr>
        <w:tc>
          <w:tcPr>
            <w:tcW w:w="2893"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Debt to Equity</w:t>
            </w:r>
          </w:p>
        </w:tc>
        <w:tc>
          <w:tcPr>
            <w:tcW w:w="1706"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712***</w:t>
            </w:r>
          </w:p>
        </w:tc>
        <w:tc>
          <w:tcPr>
            <w:tcW w:w="1341"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730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Lagrange Multiplier Test - (Breusch-Pagan) for unbalanced panels</w:t>
            </w:r>
          </w:p>
        </w:tc>
        <w:tc>
          <w:tcPr>
            <w:tcW w:w="2153"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Significant effects</w:t>
            </w:r>
          </w:p>
        </w:tc>
      </w:tr>
      <w:tr>
        <w:trPr>
          <w:trHeight w:val="290" w:hRule="atLeast"/>
        </w:trPr>
        <w:tc>
          <w:tcPr>
            <w:tcW w:w="2893"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Deposits to Total Assets</w:t>
            </w:r>
          </w:p>
        </w:tc>
        <w:tc>
          <w:tcPr>
            <w:tcW w:w="1706"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1500***</w:t>
            </w:r>
          </w:p>
        </w:tc>
        <w:tc>
          <w:tcPr>
            <w:tcW w:w="1341"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730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Lagrange Multiplier Test - (Breusch-Pagan) for unbalanced panels</w:t>
            </w:r>
          </w:p>
        </w:tc>
        <w:tc>
          <w:tcPr>
            <w:tcW w:w="2153"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Significant effects</w:t>
            </w:r>
          </w:p>
        </w:tc>
      </w:tr>
      <w:tr>
        <w:trPr>
          <w:trHeight w:val="290" w:hRule="atLeast"/>
        </w:trPr>
        <w:tc>
          <w:tcPr>
            <w:tcW w:w="2893"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Capital to Total Assets</w:t>
            </w:r>
          </w:p>
        </w:tc>
        <w:tc>
          <w:tcPr>
            <w:tcW w:w="1706"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5.92***</w:t>
            </w:r>
          </w:p>
        </w:tc>
        <w:tc>
          <w:tcPr>
            <w:tcW w:w="1341"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730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 xml:space="preserve">F test for individual effects </w:t>
            </w:r>
          </w:p>
        </w:tc>
        <w:tc>
          <w:tcPr>
            <w:tcW w:w="2153"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Significant effects</w:t>
            </w:r>
          </w:p>
        </w:tc>
      </w:tr>
      <w:tr>
        <w:trPr>
          <w:trHeight w:val="290" w:hRule="atLeast"/>
        </w:trPr>
        <w:tc>
          <w:tcPr>
            <w:tcW w:w="2893" w:type="dxa"/>
            <w:tcBorders>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Donations to Assets Ratio</w:t>
            </w:r>
          </w:p>
        </w:tc>
        <w:tc>
          <w:tcPr>
            <w:tcW w:w="1706"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1398.***</w:t>
            </w:r>
          </w:p>
        </w:tc>
        <w:tc>
          <w:tcPr>
            <w:tcW w:w="1341"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r>
          </w:p>
        </w:tc>
        <w:tc>
          <w:tcPr>
            <w:tcW w:w="7305" w:type="dxa"/>
            <w:tcBorders>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Lagrange Multiplier Test - (Breusch-Pagan) for unbalanced panels</w:t>
            </w:r>
          </w:p>
        </w:tc>
        <w:tc>
          <w:tcPr>
            <w:tcW w:w="2153" w:type="dxa"/>
            <w:tcBorders>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Significant effects</w:t>
            </w:r>
          </w:p>
        </w:tc>
      </w:tr>
      <w:tr>
        <w:trPr>
          <w:trHeight w:val="290" w:hRule="atLeast"/>
        </w:trPr>
        <w:tc>
          <w:tcPr>
            <w:tcW w:w="15398" w:type="dxa"/>
            <w:gridSpan w:val="5"/>
            <w:tcBorders>
              <w:top w:val="single" w:sz="4" w:space="0" w:color="000000"/>
              <w:bottom w:val="single" w:sz="12"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 xml:space="preserve">In all cases, we utilise the full dataset in the analysis. We run the Breusch-Pagan LM test on the random-effects models. </w:t>
            </w:r>
          </w:p>
          <w:p>
            <w:pPr>
              <w:pStyle w:val="Normal"/>
              <w:widowControl w:val="false"/>
              <w:spacing w:lineRule="auto" w:line="360" w:before="0" w:after="160"/>
              <w:jc w:val="left"/>
              <w:rPr>
                <w:rFonts w:cs="Calibri"/>
                <w:color w:val="000000"/>
                <w:szCs w:val="24"/>
              </w:rPr>
            </w:pPr>
            <w:r>
              <w:rPr>
                <w:rFonts w:cs="Calibri"/>
                <w:color w:val="000000"/>
                <w:szCs w:val="24"/>
              </w:rPr>
              <w:t>As the hypothesis shows, the fixed/ random effects models fare better than pooled OLS in all instances.</w:t>
            </w:r>
          </w:p>
        </w:tc>
      </w:tr>
    </w:tbl>
    <w:p>
      <w:pPr>
        <w:pStyle w:val="Normal"/>
        <w:spacing w:lineRule="auto" w:line="360"/>
        <w:rPr>
          <w:szCs w:val="26"/>
        </w:rPr>
      </w:pPr>
      <w:r>
        <w:rPr/>
        <w:t xml:space="preserve"> </w:t>
      </w:r>
    </w:p>
    <w:p>
      <w:pPr>
        <w:pStyle w:val="Normal"/>
        <w:tabs>
          <w:tab w:val="clear" w:pos="720"/>
          <w:tab w:val="left" w:pos="5290" w:leader="none"/>
        </w:tabs>
        <w:spacing w:lineRule="auto" w:line="360"/>
        <w:rPr>
          <w:szCs w:val="26"/>
        </w:rPr>
      </w:pPr>
      <w:r>
        <w:rPr/>
      </w:r>
    </w:p>
    <w:p>
      <w:pPr>
        <w:pStyle w:val="Caption1"/>
        <w:rPr>
          <w:i w:val="false"/>
          <w:i w:val="false"/>
          <w:sz w:val="24"/>
          <w:szCs w:val="24"/>
        </w:rPr>
      </w:pPr>
      <w:r>
        <w:rPr>
          <w:i w:val="false"/>
          <w:sz w:val="24"/>
          <w:szCs w:val="24"/>
        </w:rPr>
        <w:t xml:space="preserve">Appendix </w:t>
      </w:r>
      <w:r>
        <w:rPr>
          <w:i w:val="false"/>
          <w:iCs w:val="false"/>
          <w:sz w:val="24"/>
          <w:szCs w:val="24"/>
        </w:rPr>
        <w:fldChar w:fldCharType="begin"/>
      </w:r>
      <w:r>
        <w:rPr>
          <w:sz w:val="24"/>
          <w:i w:val="false"/>
          <w:szCs w:val="24"/>
          <w:iCs w:val="false"/>
        </w:rPr>
        <w:instrText> SEQ Appendix \* ARABIC </w:instrText>
      </w:r>
      <w:r>
        <w:rPr>
          <w:sz w:val="24"/>
          <w:i w:val="false"/>
          <w:szCs w:val="24"/>
          <w:iCs w:val="false"/>
        </w:rPr>
        <w:fldChar w:fldCharType="separate"/>
      </w:r>
      <w:r>
        <w:rPr>
          <w:sz w:val="24"/>
          <w:i w:val="false"/>
          <w:szCs w:val="24"/>
          <w:iCs w:val="false"/>
        </w:rPr>
        <w:t>3</w:t>
      </w:r>
      <w:r>
        <w:rPr>
          <w:sz w:val="24"/>
          <w:i w:val="false"/>
          <w:szCs w:val="24"/>
          <w:iCs w:val="false"/>
        </w:rPr>
        <w:fldChar w:fldCharType="end"/>
      </w:r>
      <w:r>
        <w:rPr>
          <w:i w:val="false"/>
          <w:iCs w:val="false"/>
          <w:sz w:val="24"/>
          <w:szCs w:val="24"/>
        </w:rPr>
        <w:t>:</w:t>
      </w:r>
      <w:r>
        <w:rPr>
          <w:i w:val="false"/>
          <w:sz w:val="24"/>
          <w:szCs w:val="24"/>
        </w:rPr>
        <w:t xml:space="preserve"> Testing for cross-sectional dependence/contemporaneous correlation- Breusch-Pagan LM test of independence and Pasaran CD test</w:t>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2762"/>
        <w:gridCol w:w="1198"/>
        <w:gridCol w:w="1281"/>
        <w:gridCol w:w="7071"/>
        <w:gridCol w:w="3086"/>
      </w:tblGrid>
      <w:tr>
        <w:trPr>
          <w:trHeight w:val="290" w:hRule="atLeast"/>
        </w:trPr>
        <w:tc>
          <w:tcPr>
            <w:tcW w:w="2762" w:type="dxa"/>
            <w:tcBorders>
              <w:top w:val="single" w:sz="12" w:space="0" w:color="008000"/>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Dependent Variable</w:t>
            </w:r>
          </w:p>
        </w:tc>
        <w:tc>
          <w:tcPr>
            <w:tcW w:w="1198" w:type="dxa"/>
            <w:tcBorders>
              <w:top w:val="single" w:sz="12" w:space="0" w:color="008000"/>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Statistic</w:t>
            </w:r>
          </w:p>
        </w:tc>
        <w:tc>
          <w:tcPr>
            <w:tcW w:w="1281" w:type="dxa"/>
            <w:tcBorders>
              <w:top w:val="single" w:sz="12" w:space="0" w:color="008000"/>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Parameter</w:t>
            </w:r>
          </w:p>
        </w:tc>
        <w:tc>
          <w:tcPr>
            <w:tcW w:w="7071" w:type="dxa"/>
            <w:tcBorders>
              <w:top w:val="single" w:sz="12" w:space="0" w:color="008000"/>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Method</w:t>
            </w:r>
          </w:p>
        </w:tc>
        <w:tc>
          <w:tcPr>
            <w:tcW w:w="3086" w:type="dxa"/>
            <w:tcBorders>
              <w:top w:val="single" w:sz="12" w:space="0" w:color="008000"/>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Alternative</w:t>
            </w:r>
          </w:p>
        </w:tc>
      </w:tr>
      <w:tr>
        <w:trPr>
          <w:trHeight w:val="290" w:hRule="atLeast"/>
        </w:trPr>
        <w:tc>
          <w:tcPr>
            <w:tcW w:w="2762" w:type="dxa"/>
            <w:tcBorders>
              <w:top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Debt to Equity</w:t>
            </w:r>
          </w:p>
        </w:tc>
        <w:tc>
          <w:tcPr>
            <w:tcW w:w="1198"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10077***</w:t>
            </w:r>
          </w:p>
        </w:tc>
        <w:tc>
          <w:tcPr>
            <w:tcW w:w="1281"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5300</w:t>
            </w:r>
          </w:p>
        </w:tc>
        <w:tc>
          <w:tcPr>
            <w:tcW w:w="7071" w:type="dxa"/>
            <w:tcBorders>
              <w:top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Breusch-Pagan LM test for cross-sectional dependence in panels</w:t>
            </w:r>
          </w:p>
        </w:tc>
        <w:tc>
          <w:tcPr>
            <w:tcW w:w="3086" w:type="dxa"/>
            <w:tcBorders>
              <w:top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Cross-sectional dependence</w:t>
            </w:r>
          </w:p>
        </w:tc>
      </w:tr>
      <w:tr>
        <w:trPr>
          <w:trHeight w:val="290" w:hRule="atLeast"/>
        </w:trPr>
        <w:tc>
          <w:tcPr>
            <w:tcW w:w="2762"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Capital to Total Assets</w:t>
            </w:r>
          </w:p>
        </w:tc>
        <w:tc>
          <w:tcPr>
            <w:tcW w:w="1198"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10227***</w:t>
            </w:r>
          </w:p>
        </w:tc>
        <w:tc>
          <w:tcPr>
            <w:tcW w:w="1281"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5339</w:t>
            </w:r>
          </w:p>
        </w:tc>
        <w:tc>
          <w:tcPr>
            <w:tcW w:w="7071"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Breusch-Pagan LM test for cross-sectional dependence in panels</w:t>
            </w:r>
          </w:p>
        </w:tc>
        <w:tc>
          <w:tcPr>
            <w:tcW w:w="3086"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Cross-sectional dependence</w:t>
            </w:r>
          </w:p>
        </w:tc>
      </w:tr>
      <w:tr>
        <w:trPr>
          <w:trHeight w:val="290" w:hRule="atLeast"/>
        </w:trPr>
        <w:tc>
          <w:tcPr>
            <w:tcW w:w="2762"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Deposits to Total Assets</w:t>
            </w:r>
          </w:p>
        </w:tc>
        <w:tc>
          <w:tcPr>
            <w:tcW w:w="1198"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10110***</w:t>
            </w:r>
          </w:p>
        </w:tc>
        <w:tc>
          <w:tcPr>
            <w:tcW w:w="1281"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5339</w:t>
            </w:r>
          </w:p>
        </w:tc>
        <w:tc>
          <w:tcPr>
            <w:tcW w:w="7071"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Breusch-Pagan LM test for cross-sectional dependence in panels</w:t>
            </w:r>
          </w:p>
        </w:tc>
        <w:tc>
          <w:tcPr>
            <w:tcW w:w="3086"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Cross-sectional dependence</w:t>
            </w:r>
          </w:p>
        </w:tc>
      </w:tr>
      <w:tr>
        <w:trPr>
          <w:trHeight w:val="290" w:hRule="atLeast"/>
        </w:trPr>
        <w:tc>
          <w:tcPr>
            <w:tcW w:w="2762" w:type="dxa"/>
            <w:tcBorders>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Donations to Assets Ratio</w:t>
            </w:r>
          </w:p>
        </w:tc>
        <w:tc>
          <w:tcPr>
            <w:tcW w:w="1198"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7180***</w:t>
            </w:r>
          </w:p>
        </w:tc>
        <w:tc>
          <w:tcPr>
            <w:tcW w:w="1281"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4244</w:t>
            </w:r>
          </w:p>
        </w:tc>
        <w:tc>
          <w:tcPr>
            <w:tcW w:w="7071"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Breusch-Pagan LM test for cross-sectional dependence in panels</w:t>
            </w:r>
          </w:p>
        </w:tc>
        <w:tc>
          <w:tcPr>
            <w:tcW w:w="3086"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Cross-sectional dependence</w:t>
            </w:r>
          </w:p>
        </w:tc>
      </w:tr>
      <w:tr>
        <w:trPr>
          <w:trHeight w:val="290" w:hRule="atLeast"/>
        </w:trPr>
        <w:tc>
          <w:tcPr>
            <w:tcW w:w="15398" w:type="dxa"/>
            <w:gridSpan w:val="5"/>
            <w:tcBorders>
              <w:top w:val="single" w:sz="4" w:space="0" w:color="000000"/>
              <w:bottom w:val="single" w:sz="12"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 xml:space="preserve">Serial correlation is a problem in the panel time series. Panel time series refers to datasets with a long time series component such that each panel could be subject to inference using a regression model. In our case, the mean number of panels is three (3) while the median is five (5), which we assume is below the threshold.  </w:t>
            </w:r>
          </w:p>
        </w:tc>
      </w:tr>
    </w:tbl>
    <w:p>
      <w:pPr>
        <w:pStyle w:val="Normal"/>
        <w:tabs>
          <w:tab w:val="clear" w:pos="720"/>
          <w:tab w:val="left" w:pos="5290" w:leader="none"/>
        </w:tabs>
        <w:spacing w:lineRule="auto" w:line="360"/>
        <w:rPr>
          <w:szCs w:val="26"/>
        </w:rPr>
      </w:pPr>
      <w:r>
        <w:rPr/>
      </w:r>
    </w:p>
    <w:p>
      <w:pPr>
        <w:pStyle w:val="Caption1"/>
        <w:rPr>
          <w:i w:val="false"/>
          <w:i w:val="false"/>
          <w:sz w:val="24"/>
          <w:szCs w:val="24"/>
        </w:rPr>
      </w:pPr>
      <w:r>
        <w:rPr>
          <w:i w:val="false"/>
          <w:sz w:val="24"/>
          <w:szCs w:val="24"/>
        </w:rPr>
        <w:t xml:space="preserve">Appendix </w:t>
      </w:r>
      <w:r>
        <w:rPr>
          <w:i w:val="false"/>
          <w:iCs w:val="false"/>
          <w:sz w:val="24"/>
          <w:szCs w:val="24"/>
        </w:rPr>
        <w:fldChar w:fldCharType="begin"/>
      </w:r>
      <w:r>
        <w:rPr>
          <w:sz w:val="24"/>
          <w:i w:val="false"/>
          <w:szCs w:val="24"/>
          <w:iCs w:val="false"/>
        </w:rPr>
        <w:instrText> SEQ Appendix \* ARABIC </w:instrText>
      </w:r>
      <w:r>
        <w:rPr>
          <w:sz w:val="24"/>
          <w:i w:val="false"/>
          <w:szCs w:val="24"/>
          <w:iCs w:val="false"/>
        </w:rPr>
        <w:fldChar w:fldCharType="separate"/>
      </w:r>
      <w:r>
        <w:rPr>
          <w:sz w:val="24"/>
          <w:i w:val="false"/>
          <w:szCs w:val="24"/>
          <w:iCs w:val="false"/>
        </w:rPr>
        <w:t>4</w:t>
      </w:r>
      <w:r>
        <w:rPr>
          <w:sz w:val="24"/>
          <w:i w:val="false"/>
          <w:szCs w:val="24"/>
          <w:iCs w:val="false"/>
        </w:rPr>
        <w:fldChar w:fldCharType="end"/>
      </w:r>
      <w:r>
        <w:rPr>
          <w:i w:val="false"/>
          <w:iCs w:val="false"/>
          <w:sz w:val="24"/>
          <w:szCs w:val="24"/>
        </w:rPr>
        <w:t>:</w:t>
      </w:r>
      <w:r>
        <w:rPr>
          <w:i w:val="false"/>
          <w:sz w:val="24"/>
          <w:szCs w:val="24"/>
        </w:rPr>
        <w:t xml:space="preserve"> Pasaran CD Test</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535"/>
        <w:gridCol w:w="1709"/>
        <w:gridCol w:w="6818"/>
        <w:gridCol w:w="3335"/>
      </w:tblGrid>
      <w:tr>
        <w:trPr>
          <w:trHeight w:val="290" w:hRule="atLeast"/>
        </w:trPr>
        <w:tc>
          <w:tcPr>
            <w:tcW w:w="3535" w:type="dxa"/>
            <w:tcBorders>
              <w:top w:val="single" w:sz="12" w:space="0" w:color="008000"/>
              <w:bottom w:val="single" w:sz="6" w:space="0" w:color="008000"/>
            </w:tcBorders>
            <w:shd w:color="auto" w:fill="auto" w:val="clear"/>
          </w:tcPr>
          <w:p>
            <w:pPr>
              <w:pStyle w:val="Normal"/>
              <w:widowControl w:val="false"/>
              <w:tabs>
                <w:tab w:val="clear" w:pos="720"/>
                <w:tab w:val="left" w:pos="5290" w:leader="none"/>
              </w:tabs>
              <w:spacing w:lineRule="auto" w:line="360" w:before="0" w:after="160"/>
              <w:rPr>
                <w:szCs w:val="26"/>
              </w:rPr>
            </w:pPr>
            <w:r>
              <w:rPr/>
              <w:t>Dependent Variable</w:t>
            </w:r>
          </w:p>
        </w:tc>
        <w:tc>
          <w:tcPr>
            <w:tcW w:w="1709" w:type="dxa"/>
            <w:tcBorders>
              <w:top w:val="single" w:sz="12" w:space="0" w:color="008000"/>
              <w:bottom w:val="single" w:sz="6" w:space="0" w:color="008000"/>
            </w:tcBorders>
            <w:shd w:color="auto" w:fill="auto" w:val="clear"/>
          </w:tcPr>
          <w:p>
            <w:pPr>
              <w:pStyle w:val="Normal"/>
              <w:widowControl w:val="false"/>
              <w:tabs>
                <w:tab w:val="clear" w:pos="720"/>
                <w:tab w:val="left" w:pos="5290" w:leader="none"/>
              </w:tabs>
              <w:spacing w:lineRule="auto" w:line="360" w:before="0" w:after="160"/>
              <w:rPr>
                <w:szCs w:val="26"/>
              </w:rPr>
            </w:pPr>
            <w:r>
              <w:rPr/>
              <w:t>Statistic</w:t>
            </w:r>
          </w:p>
        </w:tc>
        <w:tc>
          <w:tcPr>
            <w:tcW w:w="6818" w:type="dxa"/>
            <w:tcBorders>
              <w:top w:val="single" w:sz="12" w:space="0" w:color="008000"/>
              <w:bottom w:val="single" w:sz="6" w:space="0" w:color="008000"/>
            </w:tcBorders>
            <w:shd w:color="auto" w:fill="auto" w:val="clear"/>
          </w:tcPr>
          <w:p>
            <w:pPr>
              <w:pStyle w:val="Normal"/>
              <w:widowControl w:val="false"/>
              <w:tabs>
                <w:tab w:val="clear" w:pos="720"/>
                <w:tab w:val="left" w:pos="5290" w:leader="none"/>
              </w:tabs>
              <w:spacing w:lineRule="auto" w:line="360" w:before="0" w:after="160"/>
              <w:rPr>
                <w:szCs w:val="26"/>
              </w:rPr>
            </w:pPr>
            <w:r>
              <w:rPr/>
              <w:t>Method</w:t>
            </w:r>
          </w:p>
        </w:tc>
        <w:tc>
          <w:tcPr>
            <w:tcW w:w="3335" w:type="dxa"/>
            <w:tcBorders>
              <w:top w:val="single" w:sz="12" w:space="0" w:color="008000"/>
              <w:bottom w:val="single" w:sz="6" w:space="0" w:color="008000"/>
            </w:tcBorders>
            <w:shd w:color="auto" w:fill="auto" w:val="clear"/>
          </w:tcPr>
          <w:p>
            <w:pPr>
              <w:pStyle w:val="Normal"/>
              <w:widowControl w:val="false"/>
              <w:tabs>
                <w:tab w:val="clear" w:pos="720"/>
                <w:tab w:val="left" w:pos="5290" w:leader="none"/>
              </w:tabs>
              <w:spacing w:lineRule="auto" w:line="360" w:before="0" w:after="160"/>
              <w:rPr>
                <w:szCs w:val="26"/>
              </w:rPr>
            </w:pPr>
            <w:r>
              <w:rPr/>
              <w:t>Alternative</w:t>
            </w:r>
          </w:p>
        </w:tc>
      </w:tr>
      <w:tr>
        <w:trPr>
          <w:trHeight w:val="290" w:hRule="atLeast"/>
        </w:trPr>
        <w:tc>
          <w:tcPr>
            <w:tcW w:w="3535" w:type="dxa"/>
            <w:tcBorders/>
            <w:shd w:color="auto" w:fill="auto" w:val="clear"/>
          </w:tcPr>
          <w:p>
            <w:pPr>
              <w:pStyle w:val="Normal"/>
              <w:widowControl w:val="false"/>
              <w:tabs>
                <w:tab w:val="clear" w:pos="720"/>
                <w:tab w:val="left" w:pos="5290" w:leader="none"/>
              </w:tabs>
              <w:spacing w:lineRule="auto" w:line="360" w:before="0" w:after="160"/>
              <w:rPr>
                <w:szCs w:val="26"/>
              </w:rPr>
            </w:pPr>
            <w:r>
              <w:rPr/>
              <w:t>Debt to Equity Ratio</w:t>
            </w:r>
          </w:p>
        </w:tc>
        <w:tc>
          <w:tcPr>
            <w:tcW w:w="1709" w:type="dxa"/>
            <w:tcBorders/>
            <w:shd w:color="auto" w:fill="auto" w:val="clear"/>
          </w:tcPr>
          <w:p>
            <w:pPr>
              <w:pStyle w:val="Normal"/>
              <w:widowControl w:val="false"/>
              <w:tabs>
                <w:tab w:val="clear" w:pos="720"/>
                <w:tab w:val="left" w:pos="5290" w:leader="none"/>
              </w:tabs>
              <w:spacing w:lineRule="auto" w:line="360" w:before="0" w:after="160"/>
              <w:rPr>
                <w:szCs w:val="26"/>
              </w:rPr>
            </w:pPr>
            <w:r>
              <w:rPr/>
              <w:t>-1.1169</w:t>
            </w:r>
          </w:p>
        </w:tc>
        <w:tc>
          <w:tcPr>
            <w:tcW w:w="6818" w:type="dxa"/>
            <w:tcBorders/>
            <w:shd w:color="auto" w:fill="auto" w:val="clear"/>
          </w:tcPr>
          <w:p>
            <w:pPr>
              <w:pStyle w:val="Normal"/>
              <w:widowControl w:val="false"/>
              <w:tabs>
                <w:tab w:val="clear" w:pos="720"/>
                <w:tab w:val="left" w:pos="5290" w:leader="none"/>
              </w:tabs>
              <w:spacing w:lineRule="auto" w:line="360" w:before="0" w:after="160"/>
              <w:rPr>
                <w:szCs w:val="26"/>
              </w:rPr>
            </w:pPr>
            <w:r>
              <w:rPr/>
              <w:t>Pesaran CD test for cross-sectional dependence in panels</w:t>
            </w:r>
          </w:p>
        </w:tc>
        <w:tc>
          <w:tcPr>
            <w:tcW w:w="3335" w:type="dxa"/>
            <w:tcBorders/>
            <w:shd w:color="auto" w:fill="auto" w:val="clear"/>
          </w:tcPr>
          <w:p>
            <w:pPr>
              <w:pStyle w:val="Normal"/>
              <w:widowControl w:val="false"/>
              <w:tabs>
                <w:tab w:val="clear" w:pos="720"/>
                <w:tab w:val="left" w:pos="5290" w:leader="none"/>
              </w:tabs>
              <w:spacing w:lineRule="auto" w:line="360" w:before="0" w:after="160"/>
              <w:rPr>
                <w:szCs w:val="26"/>
              </w:rPr>
            </w:pPr>
            <w:r>
              <w:rPr/>
              <w:t>Cross-sectional dependence</w:t>
            </w:r>
          </w:p>
        </w:tc>
      </w:tr>
      <w:tr>
        <w:trPr>
          <w:trHeight w:val="290" w:hRule="atLeast"/>
        </w:trPr>
        <w:tc>
          <w:tcPr>
            <w:tcW w:w="3535" w:type="dxa"/>
            <w:tcBorders/>
            <w:shd w:color="auto" w:fill="auto" w:val="clear"/>
          </w:tcPr>
          <w:p>
            <w:pPr>
              <w:pStyle w:val="Normal"/>
              <w:widowControl w:val="false"/>
              <w:tabs>
                <w:tab w:val="clear" w:pos="720"/>
                <w:tab w:val="left" w:pos="5290" w:leader="none"/>
              </w:tabs>
              <w:spacing w:lineRule="auto" w:line="360" w:before="0" w:after="160"/>
              <w:rPr>
                <w:szCs w:val="26"/>
              </w:rPr>
            </w:pPr>
            <w:r>
              <w:rPr/>
              <w:t>Capital to Total Assets Ratio</w:t>
            </w:r>
          </w:p>
        </w:tc>
        <w:tc>
          <w:tcPr>
            <w:tcW w:w="1709" w:type="dxa"/>
            <w:tcBorders/>
            <w:shd w:color="auto" w:fill="auto" w:val="clear"/>
          </w:tcPr>
          <w:p>
            <w:pPr>
              <w:pStyle w:val="Normal"/>
              <w:widowControl w:val="false"/>
              <w:tabs>
                <w:tab w:val="clear" w:pos="720"/>
                <w:tab w:val="left" w:pos="5290" w:leader="none"/>
              </w:tabs>
              <w:spacing w:lineRule="auto" w:line="360" w:before="0" w:after="160"/>
              <w:rPr>
                <w:szCs w:val="26"/>
              </w:rPr>
            </w:pPr>
            <w:r>
              <w:rPr/>
              <w:t>5.574065***</w:t>
            </w:r>
          </w:p>
        </w:tc>
        <w:tc>
          <w:tcPr>
            <w:tcW w:w="6818" w:type="dxa"/>
            <w:tcBorders/>
            <w:shd w:color="auto" w:fill="auto" w:val="clear"/>
          </w:tcPr>
          <w:p>
            <w:pPr>
              <w:pStyle w:val="Normal"/>
              <w:widowControl w:val="false"/>
              <w:tabs>
                <w:tab w:val="clear" w:pos="720"/>
                <w:tab w:val="left" w:pos="5290" w:leader="none"/>
              </w:tabs>
              <w:spacing w:lineRule="auto" w:line="360" w:before="0" w:after="160"/>
              <w:rPr>
                <w:szCs w:val="26"/>
              </w:rPr>
            </w:pPr>
            <w:r>
              <w:rPr/>
              <w:t>Pesaran CD test for cross-sectional dependence in panels</w:t>
            </w:r>
          </w:p>
        </w:tc>
        <w:tc>
          <w:tcPr>
            <w:tcW w:w="3335" w:type="dxa"/>
            <w:tcBorders/>
            <w:shd w:color="auto" w:fill="auto" w:val="clear"/>
          </w:tcPr>
          <w:p>
            <w:pPr>
              <w:pStyle w:val="Normal"/>
              <w:widowControl w:val="false"/>
              <w:tabs>
                <w:tab w:val="clear" w:pos="720"/>
                <w:tab w:val="left" w:pos="5290" w:leader="none"/>
              </w:tabs>
              <w:spacing w:lineRule="auto" w:line="360" w:before="0" w:after="160"/>
              <w:rPr>
                <w:szCs w:val="26"/>
              </w:rPr>
            </w:pPr>
            <w:r>
              <w:rPr/>
              <w:t>Cross-sectional dependence</w:t>
            </w:r>
          </w:p>
        </w:tc>
      </w:tr>
      <w:tr>
        <w:trPr>
          <w:trHeight w:val="290" w:hRule="atLeast"/>
        </w:trPr>
        <w:tc>
          <w:tcPr>
            <w:tcW w:w="3535" w:type="dxa"/>
            <w:tcBorders/>
            <w:shd w:color="auto" w:fill="auto" w:val="clear"/>
          </w:tcPr>
          <w:p>
            <w:pPr>
              <w:pStyle w:val="Normal"/>
              <w:widowControl w:val="false"/>
              <w:tabs>
                <w:tab w:val="clear" w:pos="720"/>
                <w:tab w:val="left" w:pos="5290" w:leader="none"/>
              </w:tabs>
              <w:spacing w:lineRule="auto" w:line="360" w:before="0" w:after="160"/>
              <w:rPr>
                <w:szCs w:val="26"/>
              </w:rPr>
            </w:pPr>
            <w:r>
              <w:rPr/>
              <w:t>Deposits to Total Assets Ratio</w:t>
            </w:r>
          </w:p>
        </w:tc>
        <w:tc>
          <w:tcPr>
            <w:tcW w:w="1709" w:type="dxa"/>
            <w:tcBorders/>
            <w:shd w:color="auto" w:fill="auto" w:val="clear"/>
          </w:tcPr>
          <w:p>
            <w:pPr>
              <w:pStyle w:val="Normal"/>
              <w:widowControl w:val="false"/>
              <w:tabs>
                <w:tab w:val="clear" w:pos="720"/>
                <w:tab w:val="left" w:pos="5290" w:leader="none"/>
              </w:tabs>
              <w:spacing w:lineRule="auto" w:line="360" w:before="0" w:after="160"/>
              <w:rPr>
                <w:szCs w:val="26"/>
              </w:rPr>
            </w:pPr>
            <w:r>
              <w:rPr/>
              <w:t>5.058966***</w:t>
            </w:r>
          </w:p>
        </w:tc>
        <w:tc>
          <w:tcPr>
            <w:tcW w:w="6818" w:type="dxa"/>
            <w:tcBorders/>
            <w:shd w:color="auto" w:fill="auto" w:val="clear"/>
          </w:tcPr>
          <w:p>
            <w:pPr>
              <w:pStyle w:val="Normal"/>
              <w:widowControl w:val="false"/>
              <w:tabs>
                <w:tab w:val="clear" w:pos="720"/>
                <w:tab w:val="left" w:pos="5290" w:leader="none"/>
              </w:tabs>
              <w:spacing w:lineRule="auto" w:line="360" w:before="0" w:after="160"/>
              <w:rPr>
                <w:szCs w:val="26"/>
              </w:rPr>
            </w:pPr>
            <w:r>
              <w:rPr/>
              <w:t>Pesaran CD test for cross-sectional dependence in panels</w:t>
            </w:r>
          </w:p>
        </w:tc>
        <w:tc>
          <w:tcPr>
            <w:tcW w:w="3335" w:type="dxa"/>
            <w:tcBorders/>
            <w:shd w:color="auto" w:fill="auto" w:val="clear"/>
          </w:tcPr>
          <w:p>
            <w:pPr>
              <w:pStyle w:val="Normal"/>
              <w:widowControl w:val="false"/>
              <w:tabs>
                <w:tab w:val="clear" w:pos="720"/>
                <w:tab w:val="left" w:pos="5290" w:leader="none"/>
              </w:tabs>
              <w:spacing w:lineRule="auto" w:line="360" w:before="0" w:after="160"/>
              <w:rPr>
                <w:szCs w:val="26"/>
              </w:rPr>
            </w:pPr>
            <w:r>
              <w:rPr/>
              <w:t>Cross-sectional dependence</w:t>
            </w:r>
          </w:p>
        </w:tc>
      </w:tr>
      <w:tr>
        <w:trPr>
          <w:trHeight w:val="290" w:hRule="atLeast"/>
        </w:trPr>
        <w:tc>
          <w:tcPr>
            <w:tcW w:w="3535" w:type="dxa"/>
            <w:tcBorders>
              <w:bottom w:val="single" w:sz="4" w:space="0" w:color="000000"/>
            </w:tcBorders>
            <w:shd w:color="auto" w:fill="auto" w:val="clear"/>
          </w:tcPr>
          <w:p>
            <w:pPr>
              <w:pStyle w:val="Normal"/>
              <w:widowControl w:val="false"/>
              <w:tabs>
                <w:tab w:val="clear" w:pos="720"/>
                <w:tab w:val="left" w:pos="5290" w:leader="none"/>
              </w:tabs>
              <w:spacing w:lineRule="auto" w:line="360" w:before="0" w:after="160"/>
              <w:rPr>
                <w:szCs w:val="26"/>
              </w:rPr>
            </w:pPr>
            <w:r>
              <w:rPr/>
              <w:t>Donations to Assets Ratio</w:t>
            </w:r>
          </w:p>
        </w:tc>
        <w:tc>
          <w:tcPr>
            <w:tcW w:w="1709" w:type="dxa"/>
            <w:tcBorders>
              <w:bottom w:val="single" w:sz="4" w:space="0" w:color="000000"/>
            </w:tcBorders>
            <w:shd w:color="auto" w:fill="auto" w:val="clear"/>
          </w:tcPr>
          <w:p>
            <w:pPr>
              <w:pStyle w:val="Normal"/>
              <w:widowControl w:val="false"/>
              <w:tabs>
                <w:tab w:val="clear" w:pos="720"/>
                <w:tab w:val="left" w:pos="5290" w:leader="none"/>
              </w:tabs>
              <w:spacing w:lineRule="auto" w:line="360" w:before="0" w:after="160"/>
              <w:rPr>
                <w:szCs w:val="26"/>
              </w:rPr>
            </w:pPr>
            <w:r>
              <w:rPr/>
              <w:t>11.1****</w:t>
            </w:r>
          </w:p>
        </w:tc>
        <w:tc>
          <w:tcPr>
            <w:tcW w:w="6818" w:type="dxa"/>
            <w:tcBorders>
              <w:bottom w:val="single" w:sz="4" w:space="0" w:color="000000"/>
            </w:tcBorders>
            <w:shd w:color="auto" w:fill="auto" w:val="clear"/>
          </w:tcPr>
          <w:p>
            <w:pPr>
              <w:pStyle w:val="Normal"/>
              <w:widowControl w:val="false"/>
              <w:tabs>
                <w:tab w:val="clear" w:pos="720"/>
                <w:tab w:val="left" w:pos="5290" w:leader="none"/>
              </w:tabs>
              <w:spacing w:lineRule="auto" w:line="360" w:before="0" w:after="160"/>
              <w:rPr>
                <w:szCs w:val="26"/>
              </w:rPr>
            </w:pPr>
            <w:r>
              <w:rPr/>
              <w:t>Pesaran CD test for cross-sectional dependence in panels</w:t>
            </w:r>
          </w:p>
        </w:tc>
        <w:tc>
          <w:tcPr>
            <w:tcW w:w="3335" w:type="dxa"/>
            <w:tcBorders>
              <w:bottom w:val="single" w:sz="4" w:space="0" w:color="000000"/>
            </w:tcBorders>
            <w:shd w:color="auto" w:fill="auto" w:val="clear"/>
          </w:tcPr>
          <w:p>
            <w:pPr>
              <w:pStyle w:val="Normal"/>
              <w:widowControl w:val="false"/>
              <w:tabs>
                <w:tab w:val="clear" w:pos="720"/>
                <w:tab w:val="left" w:pos="5290" w:leader="none"/>
              </w:tabs>
              <w:spacing w:lineRule="auto" w:line="360" w:before="0" w:after="160"/>
              <w:rPr>
                <w:szCs w:val="26"/>
              </w:rPr>
            </w:pPr>
            <w:r>
              <w:rPr/>
              <w:t>Cross-sectional dependence</w:t>
            </w:r>
          </w:p>
        </w:tc>
      </w:tr>
      <w:tr>
        <w:trPr>
          <w:trHeight w:val="290" w:hRule="atLeast"/>
        </w:trPr>
        <w:tc>
          <w:tcPr>
            <w:tcW w:w="15397" w:type="dxa"/>
            <w:gridSpan w:val="4"/>
            <w:tcBorders>
              <w:top w:val="single" w:sz="4" w:space="0" w:color="000000"/>
              <w:bottom w:val="single" w:sz="12" w:space="0" w:color="008000"/>
            </w:tcBorders>
            <w:shd w:color="auto" w:fill="auto" w:val="clear"/>
          </w:tcPr>
          <w:p>
            <w:pPr>
              <w:pStyle w:val="Normal"/>
              <w:widowControl w:val="false"/>
              <w:tabs>
                <w:tab w:val="clear" w:pos="720"/>
                <w:tab w:val="left" w:pos="5290" w:leader="none"/>
              </w:tabs>
              <w:spacing w:lineRule="auto" w:line="360" w:before="0" w:after="160"/>
              <w:rPr>
                <w:szCs w:val="26"/>
              </w:rPr>
            </w:pPr>
            <w:r>
              <w:rPr/>
            </w:r>
          </w:p>
        </w:tc>
      </w:tr>
    </w:tbl>
    <w:p>
      <w:pPr>
        <w:pStyle w:val="Normal"/>
        <w:tabs>
          <w:tab w:val="clear" w:pos="720"/>
          <w:tab w:val="left" w:pos="5290" w:leader="none"/>
        </w:tabs>
        <w:spacing w:lineRule="auto" w:line="360"/>
        <w:rPr>
          <w:szCs w:val="26"/>
        </w:rPr>
      </w:pPr>
      <w:r>
        <w:rPr/>
      </w:r>
    </w:p>
    <w:p>
      <w:pPr>
        <w:pStyle w:val="Normal"/>
        <w:tabs>
          <w:tab w:val="clear" w:pos="720"/>
          <w:tab w:val="left" w:pos="5290" w:leader="none"/>
        </w:tabs>
        <w:spacing w:lineRule="auto" w:line="360"/>
        <w:rPr>
          <w:szCs w:val="26"/>
        </w:rPr>
      </w:pPr>
      <w:r>
        <w:rPr/>
      </w:r>
    </w:p>
    <w:p>
      <w:pPr>
        <w:pStyle w:val="Normal"/>
        <w:tabs>
          <w:tab w:val="clear" w:pos="720"/>
          <w:tab w:val="left" w:pos="5290" w:leader="none"/>
        </w:tabs>
        <w:spacing w:lineRule="auto" w:line="360"/>
        <w:rPr>
          <w:szCs w:val="26"/>
        </w:rPr>
      </w:pPr>
      <w:r>
        <w:rPr/>
      </w:r>
    </w:p>
    <w:p>
      <w:pPr>
        <w:pStyle w:val="Normal"/>
        <w:tabs>
          <w:tab w:val="clear" w:pos="720"/>
          <w:tab w:val="left" w:pos="5290" w:leader="none"/>
        </w:tabs>
        <w:spacing w:lineRule="auto" w:line="360"/>
        <w:rPr>
          <w:szCs w:val="26"/>
        </w:rPr>
      </w:pPr>
      <w:r>
        <w:rPr/>
      </w:r>
    </w:p>
    <w:p>
      <w:pPr>
        <w:pStyle w:val="Caption1"/>
        <w:rPr>
          <w:i w:val="false"/>
          <w:i w:val="false"/>
          <w:sz w:val="24"/>
          <w:szCs w:val="24"/>
        </w:rPr>
      </w:pPr>
      <w:r>
        <w:rPr>
          <w:i w:val="false"/>
          <w:sz w:val="24"/>
          <w:szCs w:val="24"/>
        </w:rPr>
        <w:t xml:space="preserve">Appendix </w:t>
      </w:r>
      <w:r>
        <w:rPr>
          <w:i w:val="false"/>
          <w:iCs w:val="false"/>
          <w:sz w:val="24"/>
          <w:szCs w:val="24"/>
        </w:rPr>
        <w:fldChar w:fldCharType="begin"/>
      </w:r>
      <w:r>
        <w:rPr>
          <w:sz w:val="24"/>
          <w:i w:val="false"/>
          <w:szCs w:val="24"/>
          <w:iCs w:val="false"/>
        </w:rPr>
        <w:instrText> SEQ Appendix \* ARABIC </w:instrText>
      </w:r>
      <w:r>
        <w:rPr>
          <w:sz w:val="24"/>
          <w:i w:val="false"/>
          <w:szCs w:val="24"/>
          <w:iCs w:val="false"/>
        </w:rPr>
        <w:fldChar w:fldCharType="separate"/>
      </w:r>
      <w:r>
        <w:rPr>
          <w:sz w:val="24"/>
          <w:i w:val="false"/>
          <w:szCs w:val="24"/>
          <w:iCs w:val="false"/>
        </w:rPr>
        <w:t>5</w:t>
      </w:r>
      <w:r>
        <w:rPr>
          <w:sz w:val="24"/>
          <w:i w:val="false"/>
          <w:szCs w:val="24"/>
          <w:iCs w:val="false"/>
        </w:rPr>
        <w:fldChar w:fldCharType="end"/>
      </w:r>
      <w:r>
        <w:rPr>
          <w:i w:val="false"/>
          <w:iCs w:val="false"/>
          <w:sz w:val="24"/>
          <w:szCs w:val="24"/>
        </w:rPr>
        <w:t>:</w:t>
      </w:r>
      <w:r>
        <w:rPr>
          <w:i w:val="false"/>
          <w:sz w:val="24"/>
          <w:szCs w:val="24"/>
        </w:rPr>
        <w:t xml:space="preserve"> Variance Inflation Factors (VIF) for Pooled Regressions </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75"/>
        <w:gridCol w:w="1213"/>
        <w:gridCol w:w="673"/>
        <w:gridCol w:w="2507"/>
        <w:gridCol w:w="1213"/>
        <w:gridCol w:w="675"/>
        <w:gridCol w:w="2507"/>
        <w:gridCol w:w="1659"/>
        <w:gridCol w:w="675"/>
        <w:gridCol w:w="2499"/>
      </w:tblGrid>
      <w:tr>
        <w:trPr>
          <w:trHeight w:val="290" w:hRule="atLeast"/>
        </w:trPr>
        <w:tc>
          <w:tcPr>
            <w:tcW w:w="15396" w:type="dxa"/>
            <w:gridSpan w:val="10"/>
            <w:tcBorders>
              <w:top w:val="single" w:sz="12" w:space="0" w:color="008000"/>
              <w:bottom w:val="single" w:sz="6" w:space="0" w:color="008000"/>
            </w:tcBorders>
            <w:shd w:color="auto" w:fill="auto" w:val="clear"/>
          </w:tcPr>
          <w:p>
            <w:pPr>
              <w:pStyle w:val="Normal"/>
              <w:widowControl w:val="false"/>
              <w:spacing w:lineRule="auto" w:line="360" w:before="0" w:after="160"/>
              <w:jc w:val="center"/>
              <w:rPr>
                <w:rFonts w:cs="Calibri"/>
                <w:color w:val="000000"/>
                <w:szCs w:val="24"/>
              </w:rPr>
            </w:pPr>
            <w:r>
              <w:rPr>
                <w:rFonts w:cs="Calibri"/>
                <w:color w:val="000000"/>
                <w:szCs w:val="24"/>
              </w:rPr>
              <w:t>DEPENDENT VARIABLES</w:t>
            </w:r>
          </w:p>
        </w:tc>
      </w:tr>
      <w:tr>
        <w:trPr>
          <w:trHeight w:val="290" w:hRule="atLeast"/>
        </w:trPr>
        <w:tc>
          <w:tcPr>
            <w:tcW w:w="1775"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r>
          </w:p>
        </w:tc>
        <w:tc>
          <w:tcPr>
            <w:tcW w:w="4393" w:type="dxa"/>
            <w:gridSpan w:val="3"/>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Debt to Equity Ratio</w:t>
            </w:r>
          </w:p>
        </w:tc>
        <w:tc>
          <w:tcPr>
            <w:tcW w:w="4395" w:type="dxa"/>
            <w:gridSpan w:val="3"/>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Capital to Assets Ratio</w:t>
            </w:r>
          </w:p>
        </w:tc>
        <w:tc>
          <w:tcPr>
            <w:tcW w:w="4833" w:type="dxa"/>
            <w:gridSpan w:val="3"/>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Deposits to Assets Ratio</w:t>
            </w:r>
          </w:p>
        </w:tc>
      </w:tr>
      <w:tr>
        <w:trPr>
          <w:trHeight w:val="290" w:hRule="atLeast"/>
        </w:trPr>
        <w:tc>
          <w:tcPr>
            <w:tcW w:w="1775" w:type="dxa"/>
            <w:tcBorders>
              <w:top w:val="single" w:sz="4" w:space="0" w:color="000000"/>
              <w:bottom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Variable</w:t>
            </w:r>
          </w:p>
        </w:tc>
        <w:tc>
          <w:tcPr>
            <w:tcW w:w="1213" w:type="dxa"/>
            <w:tcBorders>
              <w:top w:val="single" w:sz="4" w:space="0" w:color="000000"/>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GVIF</w:t>
            </w:r>
          </w:p>
        </w:tc>
        <w:tc>
          <w:tcPr>
            <w:tcW w:w="673" w:type="dxa"/>
            <w:tcBorders>
              <w:top w:val="single" w:sz="4" w:space="0" w:color="000000"/>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DF</w:t>
            </w:r>
          </w:p>
        </w:tc>
        <w:tc>
          <w:tcPr>
            <w:tcW w:w="2507" w:type="dxa"/>
            <w:tcBorders>
              <w:top w:val="single" w:sz="4" w:space="0" w:color="000000"/>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GVIF^(1/(2*Df))</w:t>
            </w:r>
          </w:p>
        </w:tc>
        <w:tc>
          <w:tcPr>
            <w:tcW w:w="1213"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GVIF</w:t>
            </w:r>
          </w:p>
        </w:tc>
        <w:tc>
          <w:tcPr>
            <w:tcW w:w="675"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DF</w:t>
            </w:r>
          </w:p>
        </w:tc>
        <w:tc>
          <w:tcPr>
            <w:tcW w:w="2507"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GVIF^(1/(2*Df))</w:t>
            </w:r>
          </w:p>
        </w:tc>
        <w:tc>
          <w:tcPr>
            <w:tcW w:w="1659"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GVIF</w:t>
            </w:r>
          </w:p>
        </w:tc>
        <w:tc>
          <w:tcPr>
            <w:tcW w:w="675"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DF</w:t>
            </w:r>
          </w:p>
        </w:tc>
        <w:tc>
          <w:tcPr>
            <w:tcW w:w="2499" w:type="dxa"/>
            <w:tcBorders>
              <w:bottom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GVIF^(1/(2*Df))</w:t>
            </w:r>
          </w:p>
        </w:tc>
      </w:tr>
      <w:tr>
        <w:trPr>
          <w:trHeight w:val="290" w:hRule="atLeast"/>
        </w:trPr>
        <w:tc>
          <w:tcPr>
            <w:tcW w:w="1775" w:type="dxa"/>
            <w:tcBorders>
              <w:top w:val="single" w:sz="4" w:space="0" w:color="000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Size (Assets)</w:t>
            </w:r>
          </w:p>
        </w:tc>
        <w:tc>
          <w:tcPr>
            <w:tcW w:w="1213"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1.5425</w:t>
            </w:r>
          </w:p>
        </w:tc>
        <w:tc>
          <w:tcPr>
            <w:tcW w:w="673"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1.2420</w:t>
            </w:r>
          </w:p>
        </w:tc>
        <w:tc>
          <w:tcPr>
            <w:tcW w:w="1213"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1.5499</w:t>
            </w:r>
          </w:p>
        </w:tc>
        <w:tc>
          <w:tcPr>
            <w:tcW w:w="675"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1.2450</w:t>
            </w:r>
          </w:p>
        </w:tc>
        <w:tc>
          <w:tcPr>
            <w:tcW w:w="1659"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1.5442</w:t>
            </w:r>
          </w:p>
        </w:tc>
        <w:tc>
          <w:tcPr>
            <w:tcW w:w="675"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499" w:type="dxa"/>
            <w:tcBorders>
              <w:top w:val="single" w:sz="4" w:space="0" w:color="000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1.2427</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KKM</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1.2617</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1.1233</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1.2617</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1.1232</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1.2621</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1.1234</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Education</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1.4969</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1.2235</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1.4983</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1.2240</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1.4978</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1.2238</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Fin Dev</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1.0379</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1.0188</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1.0380</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1.0188</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1.0379</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1.0188</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Asset Structure</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1.1534</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1.0740</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1.1553</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1.0748</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1.1528</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1.0737</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Profit Margin</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1.0472</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1.0233</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1.0457</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1.0226</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1.0467</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1.0231</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Legal Status</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1.6462</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3</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1.0866</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1.6357</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3</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1.0855</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1.6438</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3</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1.0864</w:t>
            </w:r>
          </w:p>
        </w:tc>
      </w:tr>
      <w:tr>
        <w:trPr>
          <w:trHeight w:val="290" w:hRule="atLeast"/>
        </w:trPr>
        <w:tc>
          <w:tcPr>
            <w:tcW w:w="1775" w:type="dxa"/>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Age</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1.4095</w:t>
            </w:r>
          </w:p>
        </w:tc>
        <w:tc>
          <w:tcPr>
            <w:tcW w:w="67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2</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1.0896</w:t>
            </w:r>
          </w:p>
        </w:tc>
        <w:tc>
          <w:tcPr>
            <w:tcW w:w="1213"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1.4056</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2</w:t>
            </w:r>
          </w:p>
        </w:tc>
        <w:tc>
          <w:tcPr>
            <w:tcW w:w="2507"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1.0888</w:t>
            </w:r>
          </w:p>
        </w:tc>
        <w:tc>
          <w:tcPr>
            <w:tcW w:w="165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1.4014</w:t>
            </w:r>
          </w:p>
        </w:tc>
        <w:tc>
          <w:tcPr>
            <w:tcW w:w="675"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2</w:t>
            </w:r>
          </w:p>
        </w:tc>
        <w:tc>
          <w:tcPr>
            <w:tcW w:w="2499" w:type="dxa"/>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1.0880</w:t>
            </w:r>
          </w:p>
        </w:tc>
      </w:tr>
      <w:tr>
        <w:trPr>
          <w:trHeight w:val="290" w:hRule="atLeast"/>
        </w:trPr>
        <w:tc>
          <w:tcPr>
            <w:tcW w:w="1775" w:type="dxa"/>
            <w:tcBorders>
              <w:bottom w:val="single" w:sz="12" w:space="0" w:color="008000"/>
            </w:tcBorders>
            <w:shd w:color="auto" w:fill="auto" w:val="clear"/>
          </w:tcPr>
          <w:p>
            <w:pPr>
              <w:pStyle w:val="Normal"/>
              <w:widowControl w:val="false"/>
              <w:spacing w:lineRule="auto" w:line="360" w:before="0" w:after="160"/>
              <w:jc w:val="left"/>
              <w:rPr>
                <w:rFonts w:cs="Calibri"/>
                <w:color w:val="000000"/>
                <w:szCs w:val="24"/>
              </w:rPr>
            </w:pPr>
            <w:r>
              <w:rPr>
                <w:rFonts w:cs="Calibri"/>
                <w:color w:val="000000"/>
                <w:szCs w:val="24"/>
              </w:rPr>
              <w:t>Year</w:t>
            </w:r>
          </w:p>
        </w:tc>
        <w:tc>
          <w:tcPr>
            <w:tcW w:w="1213"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1.6043</w:t>
            </w:r>
          </w:p>
        </w:tc>
        <w:tc>
          <w:tcPr>
            <w:tcW w:w="673"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19</w:t>
            </w:r>
          </w:p>
        </w:tc>
        <w:tc>
          <w:tcPr>
            <w:tcW w:w="2507"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1.0125</w:t>
            </w:r>
          </w:p>
        </w:tc>
        <w:tc>
          <w:tcPr>
            <w:tcW w:w="1213"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1.6093</w:t>
            </w:r>
          </w:p>
        </w:tc>
        <w:tc>
          <w:tcPr>
            <w:tcW w:w="675"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19</w:t>
            </w:r>
          </w:p>
        </w:tc>
        <w:tc>
          <w:tcPr>
            <w:tcW w:w="2507"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1.0126</w:t>
            </w:r>
          </w:p>
        </w:tc>
        <w:tc>
          <w:tcPr>
            <w:tcW w:w="1659"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1.6086</w:t>
            </w:r>
          </w:p>
        </w:tc>
        <w:tc>
          <w:tcPr>
            <w:tcW w:w="675"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19</w:t>
            </w:r>
          </w:p>
        </w:tc>
        <w:tc>
          <w:tcPr>
            <w:tcW w:w="2499" w:type="dxa"/>
            <w:tcBorders>
              <w:bottom w:val="single" w:sz="12" w:space="0" w:color="008000"/>
            </w:tcBorders>
            <w:shd w:color="auto" w:fill="auto" w:val="clear"/>
          </w:tcPr>
          <w:p>
            <w:pPr>
              <w:pStyle w:val="Normal"/>
              <w:widowControl w:val="false"/>
              <w:spacing w:lineRule="auto" w:line="360" w:before="0" w:after="160"/>
              <w:jc w:val="right"/>
              <w:rPr>
                <w:rFonts w:cs="Calibri"/>
                <w:color w:val="000000"/>
                <w:szCs w:val="24"/>
              </w:rPr>
            </w:pPr>
            <w:r>
              <w:rPr>
                <w:rFonts w:cs="Calibri"/>
                <w:color w:val="000000"/>
                <w:szCs w:val="24"/>
              </w:rPr>
              <w:t>1.0126</w:t>
            </w:r>
          </w:p>
        </w:tc>
      </w:tr>
    </w:tbl>
    <w:p>
      <w:pPr>
        <w:pStyle w:val="Normal"/>
        <w:tabs>
          <w:tab w:val="clear" w:pos="720"/>
          <w:tab w:val="left" w:pos="5290" w:leader="none"/>
        </w:tabs>
        <w:spacing w:lineRule="auto" w:line="360"/>
        <w:rPr>
          <w:szCs w:val="26"/>
        </w:rPr>
      </w:pPr>
      <w:r>
        <w:rPr/>
      </w:r>
    </w:p>
    <w:p>
      <w:pPr>
        <w:pStyle w:val="Normal"/>
        <w:tabs>
          <w:tab w:val="clear" w:pos="720"/>
          <w:tab w:val="left" w:pos="5290" w:leader="none"/>
        </w:tabs>
        <w:spacing w:lineRule="auto" w:line="360"/>
        <w:jc w:val="right"/>
        <w:rPr>
          <w:szCs w:val="26"/>
        </w:rPr>
      </w:pPr>
      <w:r>
        <w:rPr/>
        <w:t>Source: Authors' Construction from the MIX datasets</w:t>
      </w:r>
    </w:p>
    <w:p>
      <w:pPr>
        <w:pStyle w:val="Normal"/>
        <w:tabs>
          <w:tab w:val="clear" w:pos="720"/>
          <w:tab w:val="left" w:pos="5290" w:leader="none"/>
        </w:tabs>
        <w:spacing w:lineRule="auto" w:line="360"/>
        <w:jc w:val="right"/>
        <w:rPr>
          <w:szCs w:val="26"/>
        </w:rPr>
      </w:pPr>
      <w:r>
        <w:rPr/>
      </w:r>
    </w:p>
    <w:p>
      <w:pPr>
        <w:pStyle w:val="Normal"/>
        <w:tabs>
          <w:tab w:val="clear" w:pos="720"/>
          <w:tab w:val="left" w:pos="5290" w:leader="none"/>
        </w:tabs>
        <w:spacing w:lineRule="auto" w:line="360"/>
        <w:rPr>
          <w:szCs w:val="26"/>
        </w:rPr>
      </w:pPr>
      <w:r>
        <w:rPr/>
      </w:r>
    </w:p>
    <w:p>
      <w:pPr>
        <w:pStyle w:val="Caption1"/>
        <w:rPr>
          <w:i w:val="false"/>
          <w:i w:val="false"/>
          <w:sz w:val="24"/>
          <w:szCs w:val="24"/>
        </w:rPr>
      </w:pPr>
      <w:r>
        <w:rPr>
          <w:i w:val="false"/>
          <w:sz w:val="24"/>
          <w:szCs w:val="24"/>
        </w:rPr>
        <w:t xml:space="preserve">Appendix </w:t>
      </w:r>
      <w:r>
        <w:rPr>
          <w:i w:val="false"/>
          <w:iCs w:val="false"/>
          <w:sz w:val="24"/>
          <w:szCs w:val="24"/>
        </w:rPr>
        <w:fldChar w:fldCharType="begin"/>
      </w:r>
      <w:r>
        <w:rPr>
          <w:sz w:val="24"/>
          <w:i w:val="false"/>
          <w:szCs w:val="24"/>
          <w:iCs w:val="false"/>
        </w:rPr>
        <w:instrText> SEQ Appendix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w:t>
      </w:r>
      <w:r>
        <w:rPr>
          <w:i w:val="false"/>
          <w:sz w:val="24"/>
          <w:szCs w:val="24"/>
        </w:rPr>
        <w:t xml:space="preserve"> Normality of Residuals </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681"/>
        <w:gridCol w:w="7716"/>
      </w:tblGrid>
      <w:tr>
        <w:trPr>
          <w:trHeight w:val="4498" w:hRule="atLeast"/>
        </w:trPr>
        <w:tc>
          <w:tcPr>
            <w:tcW w:w="7681" w:type="dxa"/>
            <w:tcBorders/>
            <w:shd w:color="auto" w:fill="auto" w:val="clear"/>
          </w:tcPr>
          <w:p>
            <w:pPr>
              <w:pStyle w:val="Normal"/>
              <w:widowControl w:val="false"/>
              <w:tabs>
                <w:tab w:val="clear" w:pos="720"/>
                <w:tab w:val="left" w:pos="5290" w:leader="none"/>
              </w:tabs>
              <w:spacing w:lineRule="auto" w:line="360"/>
              <w:rPr>
                <w:szCs w:val="26"/>
              </w:rPr>
            </w:pPr>
            <w:r>
              <w:rPr/>
              <w:drawing>
                <wp:inline distT="0" distB="0" distL="0" distR="0">
                  <wp:extent cx="4731385" cy="2768600"/>
                  <wp:effectExtent l="0" t="0" r="0" b="0"/>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36"/>
                          <a:stretch>
                            <a:fillRect/>
                          </a:stretch>
                        </pic:blipFill>
                        <pic:spPr bwMode="auto">
                          <a:xfrm>
                            <a:off x="0" y="0"/>
                            <a:ext cx="4731385" cy="2768600"/>
                          </a:xfrm>
                          <a:prstGeom prst="rect">
                            <a:avLst/>
                          </a:prstGeom>
                        </pic:spPr>
                      </pic:pic>
                    </a:graphicData>
                  </a:graphic>
                </wp:inline>
              </w:drawing>
            </w:r>
          </w:p>
        </w:tc>
        <w:tc>
          <w:tcPr>
            <w:tcW w:w="7716" w:type="dxa"/>
            <w:tcBorders/>
            <w:shd w:color="auto" w:fill="auto" w:val="clear"/>
          </w:tcPr>
          <w:p>
            <w:pPr>
              <w:pStyle w:val="Normal"/>
              <w:widowControl w:val="false"/>
              <w:tabs>
                <w:tab w:val="clear" w:pos="720"/>
                <w:tab w:val="left" w:pos="5290" w:leader="none"/>
              </w:tabs>
              <w:spacing w:lineRule="auto" w:line="360"/>
              <w:rPr>
                <w:szCs w:val="26"/>
              </w:rPr>
            </w:pPr>
            <w:r>
              <w:rPr/>
              <w:drawing>
                <wp:inline distT="0" distB="0" distL="0" distR="0">
                  <wp:extent cx="4643755" cy="2768600"/>
                  <wp:effectExtent l="0" t="0" r="0" b="0"/>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37"/>
                          <a:stretch>
                            <a:fillRect/>
                          </a:stretch>
                        </pic:blipFill>
                        <pic:spPr bwMode="auto">
                          <a:xfrm>
                            <a:off x="0" y="0"/>
                            <a:ext cx="4643755" cy="2768600"/>
                          </a:xfrm>
                          <a:prstGeom prst="rect">
                            <a:avLst/>
                          </a:prstGeom>
                        </pic:spPr>
                      </pic:pic>
                    </a:graphicData>
                  </a:graphic>
                </wp:inline>
              </w:drawing>
            </w:r>
          </w:p>
        </w:tc>
      </w:tr>
      <w:tr>
        <w:trPr>
          <w:trHeight w:val="4498" w:hRule="atLeast"/>
        </w:trPr>
        <w:tc>
          <w:tcPr>
            <w:tcW w:w="7681" w:type="dxa"/>
            <w:tcBorders/>
            <w:shd w:color="auto" w:fill="auto" w:val="clear"/>
          </w:tcPr>
          <w:p>
            <w:pPr>
              <w:pStyle w:val="Normal"/>
              <w:widowControl w:val="false"/>
              <w:tabs>
                <w:tab w:val="clear" w:pos="720"/>
                <w:tab w:val="left" w:pos="5290" w:leader="none"/>
              </w:tabs>
              <w:spacing w:lineRule="auto" w:line="360"/>
              <w:rPr>
                <w:szCs w:val="26"/>
              </w:rPr>
            </w:pPr>
            <w:r>
              <w:rPr/>
              <w:drawing>
                <wp:inline distT="0" distB="0" distL="0" distR="0">
                  <wp:extent cx="4730750" cy="2806700"/>
                  <wp:effectExtent l="0" t="0" r="0" b="0"/>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38"/>
                          <a:stretch>
                            <a:fillRect/>
                          </a:stretch>
                        </pic:blipFill>
                        <pic:spPr bwMode="auto">
                          <a:xfrm>
                            <a:off x="0" y="0"/>
                            <a:ext cx="4730750" cy="2806700"/>
                          </a:xfrm>
                          <a:prstGeom prst="rect">
                            <a:avLst/>
                          </a:prstGeom>
                        </pic:spPr>
                      </pic:pic>
                    </a:graphicData>
                  </a:graphic>
                </wp:inline>
              </w:drawing>
            </w:r>
          </w:p>
        </w:tc>
        <w:tc>
          <w:tcPr>
            <w:tcW w:w="7716" w:type="dxa"/>
            <w:tcBorders/>
            <w:shd w:color="auto" w:fill="auto" w:val="clear"/>
          </w:tcPr>
          <w:p>
            <w:pPr>
              <w:pStyle w:val="Normal"/>
              <w:widowControl w:val="false"/>
              <w:tabs>
                <w:tab w:val="clear" w:pos="720"/>
                <w:tab w:val="left" w:pos="5290" w:leader="none"/>
              </w:tabs>
              <w:spacing w:lineRule="auto" w:line="360"/>
              <w:rPr>
                <w:szCs w:val="26"/>
              </w:rPr>
            </w:pPr>
            <w:r>
              <w:rPr/>
              <w:drawing>
                <wp:inline distT="0" distB="0" distL="0" distR="0">
                  <wp:extent cx="4762500" cy="2806700"/>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39"/>
                          <a:stretch>
                            <a:fillRect/>
                          </a:stretch>
                        </pic:blipFill>
                        <pic:spPr bwMode="auto">
                          <a:xfrm>
                            <a:off x="0" y="0"/>
                            <a:ext cx="4762500" cy="2806700"/>
                          </a:xfrm>
                          <a:prstGeom prst="rect">
                            <a:avLst/>
                          </a:prstGeom>
                        </pic:spPr>
                      </pic:pic>
                    </a:graphicData>
                  </a:graphic>
                </wp:inline>
              </w:drawing>
            </w:r>
          </w:p>
        </w:tc>
      </w:tr>
    </w:tbl>
    <w:p>
      <w:pPr>
        <w:sectPr>
          <w:footerReference w:type="default" r:id="rId40"/>
          <w:footnotePr>
            <w:numFmt w:val="decimal"/>
          </w:footnotePr>
          <w:type w:val="nextPage"/>
          <w:pgSz w:orient="landscape" w:w="16838" w:h="11906"/>
          <w:pgMar w:left="720" w:right="720" w:header="0" w:top="720" w:footer="720" w:bottom="777" w:gutter="0"/>
          <w:pgNumType w:fmt="decimal"/>
          <w:formProt w:val="false"/>
          <w:textDirection w:val="lrTb"/>
          <w:docGrid w:type="default" w:linePitch="326" w:charSpace="0"/>
        </w:sectPr>
      </w:pP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978"/>
        <w:gridCol w:w="6979"/>
      </w:tblGrid>
      <w:tr>
        <w:trPr>
          <w:trHeight w:val="4493" w:hRule="atLeast"/>
        </w:trPr>
        <w:tc>
          <w:tcPr>
            <w:tcW w:w="6978" w:type="dxa"/>
            <w:tcBorders>
              <w:top w:val="nil"/>
              <w:left w:val="nil"/>
              <w:bottom w:val="nil"/>
              <w:right w:val="nil"/>
            </w:tcBorders>
          </w:tcPr>
          <w:p>
            <w:pPr>
              <w:pStyle w:val="Normal"/>
              <w:widowControl/>
              <w:tabs>
                <w:tab w:val="clear" w:pos="720"/>
                <w:tab w:val="left" w:pos="1296" w:leader="none"/>
              </w:tabs>
              <w:spacing w:before="0" w:after="0"/>
              <w:rPr>
                <w:b/>
                <w:b/>
                <w:bCs/>
                <w:iCs/>
                <w:sz w:val="26"/>
                <w:szCs w:val="28"/>
              </w:rPr>
            </w:pPr>
            <w:r>
              <w:rPr>
                <w:rFonts w:eastAsia="Times New Roman" w:cs="Times New Roman"/>
                <w:kern w:val="0"/>
                <w:lang w:eastAsia="en-GB" w:bidi="ar-SA"/>
              </w:rPr>
              <w:drawing>
                <wp:inline distT="0" distB="0" distL="0" distR="0">
                  <wp:extent cx="4316095" cy="2838450"/>
                  <wp:effectExtent l="0" t="0" r="0" b="0"/>
                  <wp:docPr id="3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descr=""/>
                          <pic:cNvPicPr>
                            <a:picLocks noChangeAspect="1" noChangeArrowheads="1"/>
                          </pic:cNvPicPr>
                        </pic:nvPicPr>
                        <pic:blipFill>
                          <a:blip r:embed="rId41"/>
                          <a:stretch>
                            <a:fillRect/>
                          </a:stretch>
                        </pic:blipFill>
                        <pic:spPr bwMode="auto">
                          <a:xfrm>
                            <a:off x="0" y="0"/>
                            <a:ext cx="4316095" cy="2838450"/>
                          </a:xfrm>
                          <a:prstGeom prst="rect">
                            <a:avLst/>
                          </a:prstGeom>
                        </pic:spPr>
                      </pic:pic>
                    </a:graphicData>
                  </a:graphic>
                </wp:inline>
              </w:drawing>
            </w:r>
          </w:p>
        </w:tc>
        <w:tc>
          <w:tcPr>
            <w:tcW w:w="6979" w:type="dxa"/>
            <w:tcBorders>
              <w:top w:val="nil"/>
              <w:left w:val="nil"/>
              <w:bottom w:val="nil"/>
              <w:right w:val="nil"/>
            </w:tcBorders>
          </w:tcPr>
          <w:p>
            <w:pPr>
              <w:pStyle w:val="Normal"/>
              <w:widowControl/>
              <w:tabs>
                <w:tab w:val="clear" w:pos="720"/>
                <w:tab w:val="left" w:pos="1296" w:leader="none"/>
              </w:tabs>
              <w:spacing w:before="0" w:after="0"/>
              <w:rPr>
                <w:b/>
                <w:b/>
                <w:bCs/>
                <w:iCs/>
                <w:sz w:val="26"/>
                <w:szCs w:val="28"/>
              </w:rPr>
            </w:pPr>
            <w:r>
              <w:rPr>
                <w:rFonts w:eastAsia="Times New Roman" w:cs="Times New Roman"/>
                <w:kern w:val="0"/>
                <w:lang w:eastAsia="en-GB" w:bidi="ar-SA"/>
              </w:rPr>
              <w:drawing>
                <wp:inline distT="0" distB="0" distL="0" distR="0">
                  <wp:extent cx="4317365" cy="2838450"/>
                  <wp:effectExtent l="0" t="0" r="0" b="0"/>
                  <wp:docPr id="3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
                          <pic:cNvPicPr>
                            <a:picLocks noChangeAspect="1" noChangeArrowheads="1"/>
                          </pic:cNvPicPr>
                        </pic:nvPicPr>
                        <pic:blipFill>
                          <a:blip r:embed="rId42"/>
                          <a:stretch>
                            <a:fillRect/>
                          </a:stretch>
                        </pic:blipFill>
                        <pic:spPr bwMode="auto">
                          <a:xfrm>
                            <a:off x="0" y="0"/>
                            <a:ext cx="4317365" cy="2838450"/>
                          </a:xfrm>
                          <a:prstGeom prst="rect">
                            <a:avLst/>
                          </a:prstGeom>
                        </pic:spPr>
                      </pic:pic>
                    </a:graphicData>
                  </a:graphic>
                </wp:inline>
              </w:drawing>
            </w:r>
          </w:p>
        </w:tc>
      </w:tr>
      <w:tr>
        <w:trPr>
          <w:trHeight w:val="4493" w:hRule="atLeast"/>
        </w:trPr>
        <w:tc>
          <w:tcPr>
            <w:tcW w:w="6978" w:type="dxa"/>
            <w:tcBorders>
              <w:top w:val="nil"/>
              <w:left w:val="nil"/>
              <w:bottom w:val="nil"/>
              <w:right w:val="nil"/>
            </w:tcBorders>
          </w:tcPr>
          <w:p>
            <w:pPr>
              <w:pStyle w:val="Normal"/>
              <w:widowControl/>
              <w:tabs>
                <w:tab w:val="clear" w:pos="720"/>
                <w:tab w:val="left" w:pos="1296" w:leader="none"/>
              </w:tabs>
              <w:spacing w:before="0" w:after="0"/>
              <w:rPr>
                <w:szCs w:val="26"/>
              </w:rPr>
            </w:pPr>
            <w:r>
              <w:rPr>
                <w:rFonts w:eastAsia="Times New Roman" w:cs="Times New Roman"/>
                <w:kern w:val="0"/>
                <w:lang w:eastAsia="en-GB" w:bidi="ar-SA"/>
              </w:rPr>
              <w:drawing>
                <wp:inline distT="0" distB="0" distL="0" distR="0">
                  <wp:extent cx="4315460" cy="2838450"/>
                  <wp:effectExtent l="0" t="0" r="0" b="0"/>
                  <wp:docPr id="3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descr=""/>
                          <pic:cNvPicPr>
                            <a:picLocks noChangeAspect="1" noChangeArrowheads="1"/>
                          </pic:cNvPicPr>
                        </pic:nvPicPr>
                        <pic:blipFill>
                          <a:blip r:embed="rId43"/>
                          <a:stretch>
                            <a:fillRect/>
                          </a:stretch>
                        </pic:blipFill>
                        <pic:spPr bwMode="auto">
                          <a:xfrm>
                            <a:off x="0" y="0"/>
                            <a:ext cx="4315460" cy="2838450"/>
                          </a:xfrm>
                          <a:prstGeom prst="rect">
                            <a:avLst/>
                          </a:prstGeom>
                        </pic:spPr>
                      </pic:pic>
                    </a:graphicData>
                  </a:graphic>
                </wp:inline>
              </w:drawing>
            </w:r>
          </w:p>
        </w:tc>
        <w:tc>
          <w:tcPr>
            <w:tcW w:w="6979" w:type="dxa"/>
            <w:tcBorders>
              <w:top w:val="nil"/>
              <w:left w:val="nil"/>
              <w:bottom w:val="nil"/>
              <w:right w:val="nil"/>
            </w:tcBorders>
          </w:tcPr>
          <w:p>
            <w:pPr>
              <w:pStyle w:val="Normal"/>
              <w:widowControl/>
              <w:tabs>
                <w:tab w:val="clear" w:pos="720"/>
                <w:tab w:val="left" w:pos="1296" w:leader="none"/>
              </w:tabs>
              <w:spacing w:before="0" w:after="0"/>
              <w:rPr>
                <w:szCs w:val="26"/>
              </w:rPr>
            </w:pPr>
            <w:r>
              <w:rPr>
                <w:rFonts w:eastAsia="Times New Roman" w:cs="Times New Roman"/>
                <w:kern w:val="0"/>
                <w:lang w:eastAsia="en-GB" w:bidi="ar-SA"/>
              </w:rPr>
              <w:drawing>
                <wp:inline distT="0" distB="0" distL="0" distR="0">
                  <wp:extent cx="4291330" cy="2838450"/>
                  <wp:effectExtent l="0" t="0" r="0" b="0"/>
                  <wp:docPr id="3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
                          <pic:cNvPicPr>
                            <a:picLocks noChangeAspect="1" noChangeArrowheads="1"/>
                          </pic:cNvPicPr>
                        </pic:nvPicPr>
                        <pic:blipFill>
                          <a:blip r:embed="rId44"/>
                          <a:stretch>
                            <a:fillRect/>
                          </a:stretch>
                        </pic:blipFill>
                        <pic:spPr bwMode="auto">
                          <a:xfrm>
                            <a:off x="0" y="0"/>
                            <a:ext cx="4291330" cy="2838450"/>
                          </a:xfrm>
                          <a:prstGeom prst="rect">
                            <a:avLst/>
                          </a:prstGeom>
                        </pic:spPr>
                      </pic:pic>
                    </a:graphicData>
                  </a:graphic>
                </wp:inline>
              </w:drawing>
            </w:r>
          </w:p>
        </w:tc>
      </w:tr>
    </w:tbl>
    <w:p>
      <w:pPr>
        <w:pStyle w:val="Normal"/>
        <w:tabs>
          <w:tab w:val="clear" w:pos="720"/>
          <w:tab w:val="left" w:pos="1296" w:leader="none"/>
        </w:tabs>
        <w:rPr>
          <w:b/>
          <w:b/>
          <w:bCs/>
          <w:iCs/>
          <w:sz w:val="26"/>
          <w:szCs w:val="28"/>
        </w:rPr>
      </w:pPr>
      <w:r>
        <w:rPr/>
      </w:r>
    </w:p>
    <w:sectPr>
      <w:footerReference w:type="default" r:id="rId45"/>
      <w:footnotePr>
        <w:numFmt w:val="decimal"/>
      </w:footnotePr>
      <w:type w:val="nextPage"/>
      <w:pgSz w:orient="landscape" w:w="16838" w:h="11906"/>
      <w:pgMar w:left="1440" w:right="1440" w:header="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Segoe UI">
    <w:charset w:val="01"/>
    <w:family w:val="roman"/>
    <w:pitch w:val="variable"/>
  </w:font>
  <w:font w:name="Courier New">
    <w:charset w:val="01"/>
    <w:family w:val="roman"/>
    <w:pitch w:val="variable"/>
  </w:font>
  <w:font w:name="Maiandra GD">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jc w:val="center"/>
      <w:rPr>
        <w:rFonts w:ascii="Times New Roman" w:hAnsi="Times New Roman"/>
        <w:szCs w:val="24"/>
        <w:lang w:val="en-US"/>
      </w:rPr>
    </w:pPr>
    <w:r>
      <w:rPr>
        <w:rFonts w:ascii="Times New Roman" w:hAnsi="Times New Roman"/>
        <w:szCs w:val="24"/>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For more detailed, but simplified discussion on the derivation and application of the within-estimator, refer to </w:t>
      </w:r>
      <w:r>
        <w:fldChar w:fldCharType="begin"/>
      </w:r>
      <w:r>
        <w:rPr/>
        <w:instrText>ADDIN EN.CITE &lt;EndNote&gt;&lt;Cite AuthorYear="1"&gt;&lt;Author&gt;Roberts&lt;/Author&gt;&lt;Year&gt;2013&lt;/Year&gt;&lt;RecNum&gt;361&lt;/RecNum&gt;&lt;DisplayText&gt;Roberts and Whited (2013)&lt;/DisplayText&gt;&lt;record&gt;&lt;rec-number&gt;361&lt;/rec-number&gt;&lt;foreign-keys&gt;&lt;key app="EN" db-id="wds9909saar09se5x9txwfw7ax9wfe2ftrt2" timestamp="1518441232" guid="f93664ca-b30d-4679-8402-900442238de1"&gt;361&lt;/key&gt;&lt;/foreign-keys&gt;&lt;ref-type name="Book Section"&gt;5&lt;/ref-type&gt;&lt;contributors&gt;&lt;authors&gt;&lt;author&gt;Roberts, M.R. &lt;/author&gt;&lt;author&gt;Whited, T.M.&lt;/author&gt;&lt;/authors&gt;&lt;secondary-authors&gt;&lt;author&gt;George M. Constantinides&lt;/author&gt;&lt;author&gt;Milton Harris&lt;/author&gt;&lt;author&gt;Rene M. Stulz&lt;/author&gt;&lt;/secondary-authors&gt;&lt;/contributors&gt;&lt;titles&gt;&lt;title&gt;Endogeneity in empirical corporate finance&lt;/title&gt;&lt;secondary-title&gt;Handbook of the Economics of Finance&lt;/secondary-title&gt;&lt;/titles&gt;&lt;pages&gt;494-567&lt;/pages&gt;&lt;volume&gt;2A&lt;/volume&gt;&lt;section&gt;7&lt;/section&gt;&lt;dates&gt;&lt;year&gt;2013&lt;/year&gt;&lt;/dates&gt;&lt;pub-location&gt;Amsterdam&lt;/pub-location&gt;&lt;publisher&gt;North-Holland&lt;/publisher&gt;&lt;urls&gt;&lt;/urls&gt;&lt;/record&gt;&lt;/Cite&gt;&lt;/EndNote&gt;</w:instrText>
      </w:r>
      <w:r>
        <w:rPr/>
      </w:r>
      <w:r>
        <w:rPr/>
        <w:fldChar w:fldCharType="separate"/>
      </w:r>
      <w:r>
        <w:rPr/>
        <w:t>Roberts and Whited (2013)</w:t>
      </w:r>
      <w:r>
        <w:rPr/>
      </w:r>
      <w:r>
        <w:rPr/>
        <w:fldChar w:fldCharType="end"/>
      </w:r>
      <w:r>
        <w:rPr/>
        <w:t>, Chapter (), pp. 558.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z w:val="26"/>
      </w:rPr>
    </w:lvl>
    <w:lvl w:ilvl="1">
      <w:start w:val="3"/>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ZA"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4808"/>
    <w:pPr>
      <w:widowControl/>
      <w:bidi w:val="0"/>
      <w:spacing w:lineRule="auto" w:line="259" w:before="0" w:after="0"/>
      <w:jc w:val="both"/>
    </w:pPr>
    <w:rPr>
      <w:rFonts w:ascii="Garamond" w:hAnsi="Garamond" w:eastAsia="Times New Roman" w:cs="Times New Roman"/>
      <w:color w:val="auto"/>
      <w:kern w:val="0"/>
      <w:sz w:val="24"/>
      <w:szCs w:val="22"/>
      <w:lang w:val="en-GB" w:eastAsia="en-GB" w:bidi="ar-SA"/>
    </w:rPr>
  </w:style>
  <w:style w:type="paragraph" w:styleId="Heading1">
    <w:name w:val="Heading 1"/>
    <w:basedOn w:val="Normal"/>
    <w:next w:val="Normal"/>
    <w:link w:val="Heading1Char"/>
    <w:uiPriority w:val="9"/>
    <w:qFormat/>
    <w:rsid w:val="00e444c4"/>
    <w:pPr>
      <w:keepNext w:val="true"/>
      <w:spacing w:before="240" w:after="60"/>
      <w:outlineLvl w:val="0"/>
    </w:pPr>
    <w:rPr>
      <w:b/>
      <w:bCs/>
      <w:kern w:val="2"/>
      <w:sz w:val="28"/>
      <w:szCs w:val="32"/>
    </w:rPr>
  </w:style>
  <w:style w:type="paragraph" w:styleId="Heading2">
    <w:name w:val="Heading 2"/>
    <w:basedOn w:val="Normal"/>
    <w:next w:val="Normal"/>
    <w:link w:val="Heading2Char"/>
    <w:uiPriority w:val="9"/>
    <w:unhideWhenUsed/>
    <w:qFormat/>
    <w:rsid w:val="00e444c4"/>
    <w:pPr>
      <w:keepNext w:val="true"/>
      <w:spacing w:before="240" w:after="60"/>
      <w:outlineLvl w:val="1"/>
    </w:pPr>
    <w:rPr>
      <w:b/>
      <w:bCs/>
      <w:iCs/>
      <w:sz w:val="26"/>
      <w:szCs w:val="28"/>
    </w:rPr>
  </w:style>
  <w:style w:type="paragraph" w:styleId="Heading3">
    <w:name w:val="Heading 3"/>
    <w:basedOn w:val="Normal"/>
    <w:next w:val="Normal"/>
    <w:link w:val="Heading3Char"/>
    <w:uiPriority w:val="9"/>
    <w:unhideWhenUsed/>
    <w:qFormat/>
    <w:rsid w:val="00e444c4"/>
    <w:pPr>
      <w:keepNext w:val="true"/>
      <w:spacing w:before="240" w:after="60"/>
      <w:outlineLvl w:val="2"/>
    </w:pPr>
    <w:rPr>
      <w:b/>
      <w:bCs/>
      <w:szCs w:val="26"/>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link w:val="EndNoteBibliographyTitle"/>
    <w:qFormat/>
    <w:locked/>
    <w:rsid w:val="00387e3e"/>
    <w:rPr>
      <w:rFonts w:cs="Calibri"/>
      <w:sz w:val="22"/>
      <w:szCs w:val="22"/>
      <w:lang w:val="en-GB"/>
    </w:rPr>
  </w:style>
  <w:style w:type="character" w:styleId="EndNoteBibliographyChar" w:customStyle="1">
    <w:name w:val="EndNote Bibliography Char"/>
    <w:link w:val="EndNoteBibliography"/>
    <w:qFormat/>
    <w:locked/>
    <w:rsid w:val="00387e3e"/>
    <w:rPr>
      <w:rFonts w:cs="Calibri"/>
      <w:sz w:val="22"/>
      <w:szCs w:val="22"/>
      <w:lang w:val="en-GB"/>
    </w:rPr>
  </w:style>
  <w:style w:type="character" w:styleId="Annotationreference">
    <w:name w:val="annotation reference"/>
    <w:uiPriority w:val="99"/>
    <w:semiHidden/>
    <w:unhideWhenUsed/>
    <w:qFormat/>
    <w:rsid w:val="00761d72"/>
    <w:rPr>
      <w:rFonts w:cs="Times New Roman"/>
      <w:sz w:val="16"/>
      <w:szCs w:val="16"/>
    </w:rPr>
  </w:style>
  <w:style w:type="character" w:styleId="CommentTextChar" w:customStyle="1">
    <w:name w:val="Comment Text Char"/>
    <w:link w:val="CommentText"/>
    <w:uiPriority w:val="99"/>
    <w:semiHidden/>
    <w:qFormat/>
    <w:locked/>
    <w:rsid w:val="00761d72"/>
    <w:rPr>
      <w:rFonts w:ascii="Garamond" w:hAnsi="Garamond" w:cs="Times New Roman"/>
      <w:sz w:val="20"/>
      <w:szCs w:val="20"/>
    </w:rPr>
  </w:style>
  <w:style w:type="character" w:styleId="CommentSubjectChar" w:customStyle="1">
    <w:name w:val="Comment Subject Char"/>
    <w:link w:val="CommentSubject"/>
    <w:uiPriority w:val="99"/>
    <w:semiHidden/>
    <w:qFormat/>
    <w:locked/>
    <w:rsid w:val="00761d72"/>
    <w:rPr>
      <w:rFonts w:ascii="Garamond" w:hAnsi="Garamond" w:cs="Times New Roman"/>
      <w:b/>
      <w:bCs/>
      <w:sz w:val="20"/>
      <w:szCs w:val="20"/>
    </w:rPr>
  </w:style>
  <w:style w:type="character" w:styleId="BalloonTextChar" w:customStyle="1">
    <w:name w:val="Balloon Text Char"/>
    <w:link w:val="BalloonText"/>
    <w:uiPriority w:val="99"/>
    <w:semiHidden/>
    <w:qFormat/>
    <w:locked/>
    <w:rsid w:val="00761d72"/>
    <w:rPr>
      <w:rFonts w:ascii="Segoe UI" w:hAnsi="Segoe UI" w:cs="Segoe UI"/>
      <w:sz w:val="18"/>
      <w:szCs w:val="18"/>
    </w:rPr>
  </w:style>
  <w:style w:type="character" w:styleId="HeaderChar" w:customStyle="1">
    <w:name w:val="Header Char"/>
    <w:link w:val="Header"/>
    <w:uiPriority w:val="99"/>
    <w:qFormat/>
    <w:rsid w:val="00647b2d"/>
    <w:rPr>
      <w:rFonts w:ascii="Garamond" w:hAnsi="Garamond"/>
      <w:sz w:val="24"/>
    </w:rPr>
  </w:style>
  <w:style w:type="character" w:styleId="Heading1Char" w:customStyle="1">
    <w:name w:val="Heading 1 Char"/>
    <w:link w:val="Heading1"/>
    <w:uiPriority w:val="9"/>
    <w:qFormat/>
    <w:rsid w:val="00e444c4"/>
    <w:rPr>
      <w:rFonts w:ascii="Garamond" w:hAnsi="Garamond"/>
      <w:b/>
      <w:bCs/>
      <w:kern w:val="2"/>
      <w:sz w:val="28"/>
      <w:szCs w:val="32"/>
    </w:rPr>
  </w:style>
  <w:style w:type="character" w:styleId="Heading2Char" w:customStyle="1">
    <w:name w:val="Heading 2 Char"/>
    <w:link w:val="Heading2"/>
    <w:uiPriority w:val="9"/>
    <w:qFormat/>
    <w:rsid w:val="00e444c4"/>
    <w:rPr>
      <w:rFonts w:ascii="Garamond" w:hAnsi="Garamond"/>
      <w:b/>
      <w:bCs/>
      <w:iCs/>
      <w:sz w:val="26"/>
      <w:szCs w:val="28"/>
    </w:rPr>
  </w:style>
  <w:style w:type="character" w:styleId="Heading3Char" w:customStyle="1">
    <w:name w:val="Heading 3 Char"/>
    <w:link w:val="Heading3"/>
    <w:uiPriority w:val="9"/>
    <w:qFormat/>
    <w:rsid w:val="00e444c4"/>
    <w:rPr>
      <w:rFonts w:ascii="Garamond" w:hAnsi="Garamond" w:eastAsia="Times New Roman" w:cs="Times New Roman"/>
      <w:b/>
      <w:bCs/>
      <w:sz w:val="24"/>
      <w:szCs w:val="26"/>
    </w:rPr>
  </w:style>
  <w:style w:type="character" w:styleId="FooterChar" w:customStyle="1">
    <w:name w:val="Footer Char"/>
    <w:link w:val="Footer"/>
    <w:uiPriority w:val="99"/>
    <w:qFormat/>
    <w:rsid w:val="00752482"/>
    <w:rPr>
      <w:rFonts w:ascii="Garamond" w:hAnsi="Garamond"/>
      <w:sz w:val="24"/>
      <w:szCs w:val="22"/>
    </w:rPr>
  </w:style>
  <w:style w:type="character" w:styleId="HTMLPreformattedChar" w:customStyle="1">
    <w:name w:val="HTML Preformatted Char"/>
    <w:link w:val="HTMLPreformatted"/>
    <w:uiPriority w:val="99"/>
    <w:semiHidden/>
    <w:qFormat/>
    <w:rsid w:val="003f1c7c"/>
    <w:rPr>
      <w:rFonts w:ascii="Courier New" w:hAnsi="Courier New" w:cs="Courier New"/>
    </w:rPr>
  </w:style>
  <w:style w:type="character" w:styleId="Ggboefpdpvb" w:customStyle="1">
    <w:name w:val="ggboefpdpvb"/>
    <w:qFormat/>
    <w:rsid w:val="003f1c7c"/>
    <w:rPr/>
  </w:style>
  <w:style w:type="character" w:styleId="FootnoteTextChar" w:customStyle="1">
    <w:name w:val="Footnote Text Char"/>
    <w:link w:val="FootnoteText"/>
    <w:uiPriority w:val="99"/>
    <w:semiHidden/>
    <w:qFormat/>
    <w:rsid w:val="003059dd"/>
    <w:rPr>
      <w:rFonts w:ascii="Maiandra GD" w:hAnsi="Maiandra GD"/>
      <w:lang w:val="en-US" w:eastAsia="en-US"/>
    </w:rPr>
  </w:style>
  <w:style w:type="character" w:styleId="FootnoteCharacters">
    <w:name w:val="Footnote Characters"/>
    <w:uiPriority w:val="99"/>
    <w:semiHidden/>
    <w:unhideWhenUsed/>
    <w:qFormat/>
    <w:rsid w:val="003059dd"/>
    <w:rPr>
      <w:vertAlign w:val="superscript"/>
    </w:rPr>
  </w:style>
  <w:style w:type="character" w:styleId="FootnoteAnchor">
    <w:name w:val="Footnote Anchor"/>
    <w:rPr>
      <w:vertAlign w:val="superscript"/>
    </w:rPr>
  </w:style>
  <w:style w:type="character" w:styleId="InternetLink">
    <w:name w:val="Hyperlink"/>
    <w:uiPriority w:val="99"/>
    <w:unhideWhenUsed/>
    <w:rsid w:val="002e5544"/>
    <w:rPr>
      <w:color w:val="0563C1"/>
      <w:u w:val="single"/>
    </w:rPr>
  </w:style>
  <w:style w:type="character" w:styleId="UnresolvedMention">
    <w:name w:val="Unresolved Mention"/>
    <w:uiPriority w:val="99"/>
    <w:semiHidden/>
    <w:unhideWhenUsed/>
    <w:qFormat/>
    <w:rsid w:val="002e554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BibliographyTitle" w:customStyle="1">
    <w:name w:val="EndNote Bibliography Title"/>
    <w:basedOn w:val="Normal"/>
    <w:link w:val="EndNoteBibliographyTitleChar"/>
    <w:qFormat/>
    <w:rsid w:val="00387e3e"/>
    <w:pPr>
      <w:jc w:val="center"/>
    </w:pPr>
    <w:rPr>
      <w:rFonts w:ascii="Calibri" w:hAnsi="Calibri" w:cs="Calibri"/>
      <w:sz w:val="22"/>
    </w:rPr>
  </w:style>
  <w:style w:type="paragraph" w:styleId="EndNoteBibliography" w:customStyle="1">
    <w:name w:val="EndNote Bibliography"/>
    <w:basedOn w:val="Normal"/>
    <w:link w:val="EndNoteBibliographyChar"/>
    <w:qFormat/>
    <w:rsid w:val="00387e3e"/>
    <w:pPr>
      <w:spacing w:lineRule="auto" w:line="240"/>
    </w:pPr>
    <w:rPr>
      <w:rFonts w:ascii="Calibri" w:hAnsi="Calibri" w:cs="Calibri"/>
      <w:sz w:val="22"/>
    </w:rPr>
  </w:style>
  <w:style w:type="paragraph" w:styleId="ListParagraph">
    <w:name w:val="List Paragraph"/>
    <w:basedOn w:val="Normal"/>
    <w:uiPriority w:val="34"/>
    <w:qFormat/>
    <w:rsid w:val="00933594"/>
    <w:pPr>
      <w:spacing w:before="0" w:after="0"/>
      <w:ind w:left="720" w:hanging="0"/>
      <w:contextualSpacing/>
    </w:pPr>
    <w:rPr>
      <w:lang w:eastAsia="en-US"/>
    </w:rPr>
  </w:style>
  <w:style w:type="paragraph" w:styleId="Caption1">
    <w:name w:val="caption"/>
    <w:basedOn w:val="Normal"/>
    <w:next w:val="Normal"/>
    <w:uiPriority w:val="35"/>
    <w:unhideWhenUsed/>
    <w:qFormat/>
    <w:rsid w:val="00933594"/>
    <w:pPr>
      <w:spacing w:lineRule="auto" w:line="240" w:before="0" w:after="200"/>
    </w:pPr>
    <w:rPr>
      <w:i/>
      <w:iCs/>
      <w:color w:val="44546A"/>
      <w:sz w:val="18"/>
      <w:szCs w:val="18"/>
      <w:lang w:eastAsia="en-US"/>
    </w:rPr>
  </w:style>
  <w:style w:type="paragraph" w:styleId="Annotationtext">
    <w:name w:val="annotation text"/>
    <w:basedOn w:val="Normal"/>
    <w:link w:val="CommentTextChar"/>
    <w:uiPriority w:val="99"/>
    <w:semiHidden/>
    <w:unhideWhenUsed/>
    <w:qFormat/>
    <w:rsid w:val="00761d72"/>
    <w:pPr/>
    <w:rPr>
      <w:sz w:val="20"/>
      <w:szCs w:val="20"/>
    </w:rPr>
  </w:style>
  <w:style w:type="paragraph" w:styleId="Annotationsubject">
    <w:name w:val="annotation subject"/>
    <w:basedOn w:val="Annotationtext"/>
    <w:next w:val="Annotationtext"/>
    <w:link w:val="CommentSubjectChar"/>
    <w:uiPriority w:val="99"/>
    <w:semiHidden/>
    <w:unhideWhenUsed/>
    <w:qFormat/>
    <w:rsid w:val="00761d72"/>
    <w:pPr/>
    <w:rPr>
      <w:b/>
      <w:bCs/>
    </w:rPr>
  </w:style>
  <w:style w:type="paragraph" w:styleId="BalloonText">
    <w:name w:val="Balloon Text"/>
    <w:basedOn w:val="Normal"/>
    <w:link w:val="BalloonTextChar"/>
    <w:uiPriority w:val="99"/>
    <w:semiHidden/>
    <w:unhideWhenUsed/>
    <w:qFormat/>
    <w:rsid w:val="00761d72"/>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47b2d"/>
    <w:pPr>
      <w:tabs>
        <w:tab w:val="clear" w:pos="720"/>
        <w:tab w:val="center" w:pos="4513" w:leader="none"/>
        <w:tab w:val="right" w:pos="9026" w:leader="none"/>
      </w:tabs>
      <w:spacing w:lineRule="auto" w:line="240"/>
    </w:pPr>
    <w:rPr/>
  </w:style>
  <w:style w:type="paragraph" w:styleId="Revision">
    <w:name w:val="Revision"/>
    <w:uiPriority w:val="99"/>
    <w:semiHidden/>
    <w:qFormat/>
    <w:rsid w:val="00647b2d"/>
    <w:pPr>
      <w:widowControl/>
      <w:bidi w:val="0"/>
      <w:spacing w:before="0" w:after="0"/>
      <w:jc w:val="left"/>
    </w:pPr>
    <w:rPr>
      <w:rFonts w:ascii="Garamond" w:hAnsi="Garamond" w:eastAsia="Times New Roman" w:cs="Times New Roman"/>
      <w:color w:val="auto"/>
      <w:kern w:val="0"/>
      <w:sz w:val="24"/>
      <w:szCs w:val="22"/>
      <w:lang w:val="en-GB" w:eastAsia="en-GB" w:bidi="ar-SA"/>
    </w:rPr>
  </w:style>
  <w:style w:type="paragraph" w:styleId="Footer">
    <w:name w:val="Footer"/>
    <w:basedOn w:val="Normal"/>
    <w:link w:val="FooterChar"/>
    <w:uiPriority w:val="99"/>
    <w:unhideWhenUsed/>
    <w:rsid w:val="00752482"/>
    <w:pPr>
      <w:tabs>
        <w:tab w:val="clear" w:pos="720"/>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3f1c7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szCs w:val="20"/>
    </w:rPr>
  </w:style>
  <w:style w:type="paragraph" w:styleId="Footnote">
    <w:name w:val="Footnote Text"/>
    <w:basedOn w:val="Normal"/>
    <w:link w:val="FootnoteTextChar"/>
    <w:uiPriority w:val="99"/>
    <w:semiHidden/>
    <w:unhideWhenUsed/>
    <w:rsid w:val="003059dd"/>
    <w:pPr>
      <w:spacing w:lineRule="auto" w:line="240"/>
    </w:pPr>
    <w:rPr>
      <w:rFonts w:ascii="Maiandra GD" w:hAnsi="Maiandra GD"/>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b37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1">
    <w:name w:val="Table Simple 1"/>
    <w:basedOn w:val="TableNormal"/>
    <w:uiPriority w:val="99"/>
    <w:rsid w:val="00051726"/>
    <w:pPr>
      <w:spacing w:after="160" w:line="259" w:lineRule="auto"/>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PlainTable5">
    <w:name w:val="Plain Table 5"/>
    <w:basedOn w:val="TableNormal"/>
    <w:uiPriority w:val="45"/>
    <w:rsid w:val="00006f0a"/>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rsid w:val="00006f0a"/>
    <w:pPr>
      <w:spacing w:after="160" w:line="259" w:lineRule="auto"/>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PlainTable4">
    <w:name w:val="Plain Table 4"/>
    <w:basedOn w:val="TableNormal"/>
    <w:uiPriority w:val="44"/>
    <w:rsid w:val="0059297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3Deffects3">
    <w:name w:val="Table 3D effects 3"/>
    <w:basedOn w:val="TableNormal"/>
    <w:uiPriority w:val="99"/>
    <w:rsid w:val="00592974"/>
    <w:pPr>
      <w:spacing w:line="259" w:lineRule="auto"/>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imple2">
    <w:name w:val="Table Simple 2"/>
    <w:basedOn w:val="TableNormal"/>
    <w:uiPriority w:val="99"/>
    <w:rsid w:val="00b56abb"/>
    <w:pPr>
      <w:spacing w:line="259" w:lineRule="auto"/>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footer" Target="footer2.xml"/><Relationship Id="rId14" Type="http://schemas.openxmlformats.org/officeDocument/2006/relationships/image" Target="media/image11.png"/><Relationship Id="rId15" Type="http://schemas.openxmlformats.org/officeDocument/2006/relationships/footer" Target="footer3.xm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4.xm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yperlink" Target="https://www.themix.org/sites/default/files/mix_market_global_outreach_financial_benchmark_report_2017-2018.pdf" TargetMode="External"/><Relationship Id="rId33" Type="http://schemas.openxmlformats.org/officeDocument/2006/relationships/hyperlink" Target="http://www.unamur.be/en/eco/eeco/cred/papers/economics-of-non-profits/SP3_Wagenaar_UCamb.pdf" TargetMode="External"/><Relationship Id="rId34" Type="http://schemas.openxmlformats.org/officeDocument/2006/relationships/hyperlink" Target="http://www.unamur.be/en/eco/eeco/cred/papers/economics-of-non-profits/SP3_Wagenaar_UCamb.pdf" TargetMode="External"/><Relationship Id="rId35" Type="http://schemas.openxmlformats.org/officeDocument/2006/relationships/footer" Target="footer14.xml"/><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footer" Target="footer15.xml"/><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footer" Target="footer16.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2E74B-E190-4FEA-B838-7DD691D4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Application>LibreOffice/7.1.2.2$Linux_X86_64 LibreOffice_project/10$Build-2</Application>
  <AppVersion>15.0000</AppVersion>
  <Pages>56</Pages>
  <Words>10579</Words>
  <Characters>58819</Characters>
  <CharactersWithSpaces>68231</CharactersWithSpaces>
  <Paragraphs>1766</Paragraphs>
  <Company>IMSciences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2020-08-29T20:21:00Z</dcterms:created>
  <dc:creator>Attaullah Shah</dc:creator>
  <dc:description/>
  <dc:language>en-US</dc:language>
  <cp:lastModifiedBy>John Karuitha</cp:lastModifiedBy>
  <dcterms:modified xsi:type="dcterms:W3CDTF">2021-01-05T12:48:00Z</dcterms:modified>
  <cp:revision>15</cp:revision>
  <dc:subject/>
  <dc:title>.</dc:title>
</cp:coreProperties>
</file>

<file path=docProps/custom.xml><?xml version="1.0" encoding="utf-8"?>
<Properties xmlns="http://schemas.openxmlformats.org/officeDocument/2006/custom-properties" xmlns:vt="http://schemas.openxmlformats.org/officeDocument/2006/docPropsVTypes"/>
</file>