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922" w:rsidRPr="00874DA8" w:rsidRDefault="00FC499A" w:rsidP="004C6091">
      <w:pPr>
        <w:jc w:val="both"/>
        <w:rPr>
          <w:rFonts w:ascii="Book Antiqua" w:hAnsi="Book Antiqua"/>
          <w:b/>
          <w:sz w:val="24"/>
          <w:szCs w:val="24"/>
          <w:u w:val="single"/>
        </w:rPr>
      </w:pPr>
      <w:r w:rsidRPr="00874DA8">
        <w:rPr>
          <w:rFonts w:ascii="Book Antiqua" w:hAnsi="Book Antiqua"/>
          <w:b/>
          <w:sz w:val="24"/>
          <w:szCs w:val="24"/>
          <w:u w:val="single"/>
        </w:rPr>
        <w:t>THE CONCEPTUAL FRAMEWORK OF ACCOUNTING</w:t>
      </w:r>
    </w:p>
    <w:p w:rsidR="00FC499A" w:rsidRPr="00874DA8" w:rsidRDefault="00FC499A" w:rsidP="004C6091">
      <w:pPr>
        <w:jc w:val="both"/>
        <w:rPr>
          <w:rFonts w:ascii="Book Antiqua" w:hAnsi="Book Antiqua"/>
          <w:sz w:val="24"/>
          <w:szCs w:val="24"/>
        </w:rPr>
      </w:pPr>
      <w:r w:rsidRPr="00874DA8">
        <w:rPr>
          <w:rFonts w:ascii="Book Antiqua" w:hAnsi="Book Antiqua"/>
          <w:sz w:val="24"/>
          <w:szCs w:val="24"/>
        </w:rPr>
        <w:t xml:space="preserve">The figure below summarizes what is generally agreed as the conceptual framework of financial reporting/ accounting. </w:t>
      </w:r>
      <w:r w:rsidR="00877642" w:rsidRPr="00874DA8">
        <w:rPr>
          <w:rFonts w:ascii="Book Antiqua" w:hAnsi="Book Antiqua"/>
          <w:sz w:val="24"/>
          <w:szCs w:val="24"/>
        </w:rPr>
        <w:t xml:space="preserve"> Accounting revolves around the terminology included. We look at each term below.</w:t>
      </w:r>
    </w:p>
    <w:p w:rsidR="00877642" w:rsidRPr="00874DA8" w:rsidRDefault="00FC499A" w:rsidP="004C6091">
      <w:pPr>
        <w:jc w:val="both"/>
        <w:rPr>
          <w:rFonts w:ascii="Book Antiqua" w:hAnsi="Book Antiqua"/>
          <w:b/>
          <w:sz w:val="24"/>
          <w:szCs w:val="24"/>
        </w:rPr>
      </w:pPr>
      <w:r w:rsidRPr="00874DA8">
        <w:rPr>
          <w:rFonts w:ascii="Book Antiqua" w:hAnsi="Book Antiqua"/>
          <w:b/>
          <w:noProof/>
          <w:sz w:val="24"/>
          <w:szCs w:val="24"/>
          <w:lang w:val="fr-FR" w:eastAsia="fr-FR"/>
        </w:rPr>
        <w:drawing>
          <wp:inline distT="0" distB="0" distL="0" distR="0">
            <wp:extent cx="4962525"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877642" w:rsidRPr="00874DA8" w:rsidRDefault="00877642" w:rsidP="004C6091">
      <w:pPr>
        <w:jc w:val="both"/>
        <w:rPr>
          <w:rFonts w:ascii="Book Antiqua" w:hAnsi="Book Antiqua"/>
          <w:sz w:val="24"/>
          <w:szCs w:val="24"/>
        </w:rPr>
      </w:pPr>
    </w:p>
    <w:p w:rsidR="00FC499A" w:rsidRPr="00874DA8" w:rsidRDefault="00877642" w:rsidP="004C6091">
      <w:pPr>
        <w:jc w:val="both"/>
        <w:rPr>
          <w:rFonts w:ascii="Book Antiqua" w:hAnsi="Book Antiqua"/>
          <w:sz w:val="24"/>
          <w:szCs w:val="24"/>
        </w:rPr>
      </w:pPr>
      <w:r w:rsidRPr="00874DA8">
        <w:rPr>
          <w:rFonts w:ascii="Book Antiqua" w:hAnsi="Book Antiqua"/>
          <w:b/>
          <w:sz w:val="24"/>
          <w:szCs w:val="24"/>
        </w:rPr>
        <w:t>Accounting principles and assumptions:</w:t>
      </w:r>
      <w:r w:rsidRPr="00874DA8">
        <w:rPr>
          <w:rFonts w:ascii="Book Antiqua" w:hAnsi="Book Antiqua"/>
          <w:sz w:val="24"/>
          <w:szCs w:val="24"/>
        </w:rPr>
        <w:t xml:space="preserve"> Refer to topic one for a thorough review of the principles and assumptions.</w:t>
      </w:r>
    </w:p>
    <w:p w:rsidR="00877642" w:rsidRPr="00874DA8" w:rsidRDefault="00877642" w:rsidP="004C6091">
      <w:pPr>
        <w:autoSpaceDE w:val="0"/>
        <w:autoSpaceDN w:val="0"/>
        <w:adjustRightInd w:val="0"/>
        <w:spacing w:after="0" w:line="240" w:lineRule="auto"/>
        <w:jc w:val="both"/>
        <w:rPr>
          <w:rFonts w:ascii="Book Antiqua" w:hAnsi="Book Antiqua"/>
          <w:sz w:val="24"/>
          <w:szCs w:val="24"/>
        </w:rPr>
      </w:pPr>
      <w:r w:rsidRPr="00874DA8">
        <w:rPr>
          <w:rFonts w:ascii="Book Antiqua" w:hAnsi="Book Antiqua"/>
          <w:b/>
          <w:sz w:val="24"/>
          <w:szCs w:val="24"/>
        </w:rPr>
        <w:t xml:space="preserve">Objectives of financial reporting:  </w:t>
      </w:r>
      <w:r w:rsidRPr="00874DA8">
        <w:rPr>
          <w:rFonts w:ascii="Book Antiqua" w:hAnsi="Book Antiqua"/>
          <w:sz w:val="24"/>
          <w:szCs w:val="24"/>
        </w:rPr>
        <w:t>To provide financial information about the reporting entity that is useful to present and potential equity investors, lenders, and other creditors in making decisions in their capacity as capital providers.</w:t>
      </w:r>
      <w:r w:rsidR="00A23D37" w:rsidRPr="00874DA8">
        <w:rPr>
          <w:rFonts w:ascii="Book Antiqua" w:hAnsi="Book Antiqua"/>
          <w:sz w:val="24"/>
          <w:szCs w:val="24"/>
        </w:rPr>
        <w:t xml:space="preserve"> Again refer to topic one and the assignments for an overview of this.</w:t>
      </w:r>
    </w:p>
    <w:p w:rsidR="00A23D37" w:rsidRPr="00874DA8" w:rsidRDefault="00A23D37" w:rsidP="004C6091">
      <w:pPr>
        <w:autoSpaceDE w:val="0"/>
        <w:autoSpaceDN w:val="0"/>
        <w:adjustRightInd w:val="0"/>
        <w:spacing w:after="0" w:line="240" w:lineRule="auto"/>
        <w:jc w:val="both"/>
        <w:rPr>
          <w:rFonts w:ascii="Book Antiqua" w:hAnsi="Book Antiqua"/>
          <w:sz w:val="24"/>
          <w:szCs w:val="24"/>
        </w:rPr>
      </w:pPr>
    </w:p>
    <w:p w:rsidR="00A23D37" w:rsidRPr="00874DA8" w:rsidRDefault="00A23D37" w:rsidP="004C6091">
      <w:pPr>
        <w:autoSpaceDE w:val="0"/>
        <w:autoSpaceDN w:val="0"/>
        <w:adjustRightInd w:val="0"/>
        <w:spacing w:after="0" w:line="240" w:lineRule="auto"/>
        <w:jc w:val="both"/>
        <w:rPr>
          <w:rFonts w:ascii="Book Antiqua" w:hAnsi="Book Antiqua"/>
          <w:sz w:val="24"/>
          <w:szCs w:val="24"/>
        </w:rPr>
      </w:pPr>
      <w:r w:rsidRPr="00874DA8">
        <w:rPr>
          <w:rFonts w:ascii="Book Antiqua" w:hAnsi="Book Antiqua"/>
          <w:b/>
          <w:sz w:val="24"/>
          <w:szCs w:val="24"/>
        </w:rPr>
        <w:t xml:space="preserve">Qualitative characteristics of information:  </w:t>
      </w:r>
      <w:r w:rsidRPr="00874DA8">
        <w:rPr>
          <w:rFonts w:ascii="Book Antiqua" w:hAnsi="Book Antiqua"/>
          <w:sz w:val="24"/>
          <w:szCs w:val="24"/>
        </w:rPr>
        <w:t xml:space="preserve">The fundamental qualitative characteristics of financial information are </w:t>
      </w:r>
      <w:r w:rsidRPr="00874DA8">
        <w:rPr>
          <w:rFonts w:ascii="Book Antiqua" w:hAnsi="Book Antiqua"/>
          <w:b/>
          <w:sz w:val="24"/>
          <w:szCs w:val="24"/>
        </w:rPr>
        <w:t>relevance</w:t>
      </w:r>
      <w:r w:rsidRPr="00874DA8">
        <w:rPr>
          <w:rFonts w:ascii="Book Antiqua" w:hAnsi="Book Antiqua"/>
          <w:sz w:val="24"/>
          <w:szCs w:val="24"/>
        </w:rPr>
        <w:t xml:space="preserve"> and </w:t>
      </w:r>
      <w:r w:rsidRPr="00874DA8">
        <w:rPr>
          <w:rFonts w:ascii="Book Antiqua" w:hAnsi="Book Antiqua"/>
          <w:b/>
          <w:sz w:val="24"/>
          <w:szCs w:val="24"/>
        </w:rPr>
        <w:t>reliability</w:t>
      </w:r>
      <w:r w:rsidR="00874DA8">
        <w:rPr>
          <w:rFonts w:ascii="Book Antiqua" w:hAnsi="Book Antiqua"/>
          <w:sz w:val="24"/>
          <w:szCs w:val="24"/>
        </w:rPr>
        <w:t>. Reliability is a by-</w:t>
      </w:r>
      <w:r w:rsidR="00874DA8" w:rsidRPr="00874DA8">
        <w:rPr>
          <w:rFonts w:ascii="Book Antiqua" w:hAnsi="Book Antiqua"/>
          <w:sz w:val="24"/>
          <w:szCs w:val="24"/>
        </w:rPr>
        <w:t>product</w:t>
      </w:r>
      <w:r w:rsidRPr="00874DA8">
        <w:rPr>
          <w:rFonts w:ascii="Book Antiqua" w:hAnsi="Book Antiqua"/>
          <w:sz w:val="24"/>
          <w:szCs w:val="24"/>
        </w:rPr>
        <w:t xml:space="preserve"> of </w:t>
      </w:r>
      <w:r w:rsidRPr="00874DA8">
        <w:rPr>
          <w:rFonts w:ascii="Book Antiqua" w:hAnsi="Book Antiqua"/>
          <w:b/>
          <w:sz w:val="24"/>
          <w:szCs w:val="24"/>
        </w:rPr>
        <w:t>‘faithful representation’</w:t>
      </w:r>
      <w:r w:rsidRPr="00874DA8">
        <w:rPr>
          <w:rFonts w:ascii="Book Antiqua" w:hAnsi="Book Antiqua"/>
          <w:sz w:val="24"/>
          <w:szCs w:val="24"/>
        </w:rPr>
        <w:t xml:space="preserve"> of facts about the entity.  Relevance and reliability are limited by materiality and cost. Relevant and reliable information enhances timeliness, comparability, understandability</w:t>
      </w:r>
      <w:bookmarkStart w:id="0" w:name="_GoBack"/>
      <w:bookmarkEnd w:id="0"/>
      <w:r w:rsidRPr="00874DA8">
        <w:rPr>
          <w:rFonts w:ascii="Book Antiqua" w:hAnsi="Book Antiqua"/>
          <w:sz w:val="24"/>
          <w:szCs w:val="24"/>
        </w:rPr>
        <w:t>, and verifiability. Refer to topic one for more details.</w:t>
      </w:r>
    </w:p>
    <w:p w:rsidR="00A23D37" w:rsidRPr="00874DA8" w:rsidRDefault="00A23D37" w:rsidP="004C6091">
      <w:pPr>
        <w:autoSpaceDE w:val="0"/>
        <w:autoSpaceDN w:val="0"/>
        <w:adjustRightInd w:val="0"/>
        <w:spacing w:after="0" w:line="240" w:lineRule="auto"/>
        <w:jc w:val="both"/>
        <w:rPr>
          <w:rFonts w:ascii="Book Antiqua" w:hAnsi="Book Antiqua"/>
          <w:sz w:val="24"/>
          <w:szCs w:val="24"/>
        </w:rPr>
      </w:pPr>
    </w:p>
    <w:p w:rsidR="00A23D37" w:rsidRPr="00874DA8" w:rsidRDefault="00A23D37" w:rsidP="004C6091">
      <w:pPr>
        <w:autoSpaceDE w:val="0"/>
        <w:autoSpaceDN w:val="0"/>
        <w:adjustRightInd w:val="0"/>
        <w:spacing w:after="0" w:line="240" w:lineRule="auto"/>
        <w:jc w:val="both"/>
        <w:rPr>
          <w:rFonts w:ascii="Book Antiqua" w:hAnsi="Book Antiqua"/>
          <w:b/>
          <w:sz w:val="24"/>
          <w:szCs w:val="24"/>
        </w:rPr>
      </w:pPr>
      <w:r w:rsidRPr="00874DA8">
        <w:rPr>
          <w:rFonts w:ascii="Book Antiqua" w:hAnsi="Book Antiqua"/>
          <w:b/>
          <w:sz w:val="24"/>
          <w:szCs w:val="24"/>
        </w:rPr>
        <w:t>Key terms used in financial reporting/ accounting:</w:t>
      </w:r>
    </w:p>
    <w:p w:rsidR="00A23D37" w:rsidRPr="00874DA8" w:rsidRDefault="00A23D37" w:rsidP="004C6091">
      <w:pPr>
        <w:autoSpaceDE w:val="0"/>
        <w:autoSpaceDN w:val="0"/>
        <w:adjustRightInd w:val="0"/>
        <w:spacing w:after="0" w:line="240" w:lineRule="auto"/>
        <w:jc w:val="both"/>
        <w:rPr>
          <w:rFonts w:ascii="Book Antiqua" w:hAnsi="Book Antiqua"/>
          <w:sz w:val="24"/>
          <w:szCs w:val="24"/>
        </w:rPr>
      </w:pPr>
      <w:r w:rsidRPr="00874DA8">
        <w:rPr>
          <w:rFonts w:ascii="Book Antiqua" w:hAnsi="Book Antiqua"/>
          <w:sz w:val="24"/>
          <w:szCs w:val="24"/>
        </w:rPr>
        <w:t>There are key terms used in financial reporting, that are essential for the understanding of the field. The key terms are:</w:t>
      </w:r>
    </w:p>
    <w:p w:rsidR="00A23D37" w:rsidRPr="00874DA8" w:rsidRDefault="00A23D37" w:rsidP="004C6091">
      <w:pPr>
        <w:pStyle w:val="ListParagraph"/>
        <w:numPr>
          <w:ilvl w:val="0"/>
          <w:numId w:val="1"/>
        </w:numPr>
        <w:autoSpaceDE w:val="0"/>
        <w:autoSpaceDN w:val="0"/>
        <w:adjustRightInd w:val="0"/>
        <w:spacing w:after="0" w:line="240" w:lineRule="auto"/>
        <w:jc w:val="both"/>
        <w:rPr>
          <w:rFonts w:ascii="Book Antiqua" w:hAnsi="Book Antiqua"/>
          <w:sz w:val="24"/>
          <w:szCs w:val="24"/>
        </w:rPr>
      </w:pPr>
      <w:r w:rsidRPr="00874DA8">
        <w:rPr>
          <w:rFonts w:ascii="Book Antiqua" w:hAnsi="Book Antiqua"/>
          <w:sz w:val="24"/>
          <w:szCs w:val="24"/>
        </w:rPr>
        <w:t>Asset.</w:t>
      </w:r>
    </w:p>
    <w:p w:rsidR="00A23D37" w:rsidRPr="00874DA8" w:rsidRDefault="00A23D37" w:rsidP="004C6091">
      <w:pPr>
        <w:pStyle w:val="ListParagraph"/>
        <w:numPr>
          <w:ilvl w:val="0"/>
          <w:numId w:val="1"/>
        </w:numPr>
        <w:autoSpaceDE w:val="0"/>
        <w:autoSpaceDN w:val="0"/>
        <w:adjustRightInd w:val="0"/>
        <w:spacing w:after="0" w:line="240" w:lineRule="auto"/>
        <w:jc w:val="both"/>
        <w:rPr>
          <w:rFonts w:ascii="Book Antiqua" w:hAnsi="Book Antiqua"/>
          <w:sz w:val="24"/>
          <w:szCs w:val="24"/>
        </w:rPr>
      </w:pPr>
      <w:r w:rsidRPr="00874DA8">
        <w:rPr>
          <w:rFonts w:ascii="Book Antiqua" w:hAnsi="Book Antiqua"/>
          <w:sz w:val="24"/>
          <w:szCs w:val="24"/>
        </w:rPr>
        <w:t>Liability (Including capital, though capital may be classified separately).</w:t>
      </w:r>
    </w:p>
    <w:p w:rsidR="00A23D37" w:rsidRPr="00874DA8" w:rsidRDefault="00A23D37" w:rsidP="004C6091">
      <w:pPr>
        <w:pStyle w:val="ListParagraph"/>
        <w:numPr>
          <w:ilvl w:val="0"/>
          <w:numId w:val="1"/>
        </w:numPr>
        <w:autoSpaceDE w:val="0"/>
        <w:autoSpaceDN w:val="0"/>
        <w:adjustRightInd w:val="0"/>
        <w:spacing w:after="0" w:line="240" w:lineRule="auto"/>
        <w:jc w:val="both"/>
        <w:rPr>
          <w:rFonts w:ascii="Book Antiqua" w:hAnsi="Book Antiqua"/>
          <w:sz w:val="24"/>
          <w:szCs w:val="24"/>
        </w:rPr>
      </w:pPr>
      <w:r w:rsidRPr="00874DA8">
        <w:rPr>
          <w:rFonts w:ascii="Book Antiqua" w:hAnsi="Book Antiqua"/>
          <w:sz w:val="24"/>
          <w:szCs w:val="24"/>
        </w:rPr>
        <w:t>Income/ revenue.</w:t>
      </w:r>
    </w:p>
    <w:p w:rsidR="00A23D37" w:rsidRPr="00874DA8" w:rsidRDefault="00A23D37" w:rsidP="004C6091">
      <w:pPr>
        <w:pStyle w:val="ListParagraph"/>
        <w:numPr>
          <w:ilvl w:val="0"/>
          <w:numId w:val="1"/>
        </w:numPr>
        <w:autoSpaceDE w:val="0"/>
        <w:autoSpaceDN w:val="0"/>
        <w:adjustRightInd w:val="0"/>
        <w:spacing w:after="0" w:line="240" w:lineRule="auto"/>
        <w:jc w:val="both"/>
        <w:rPr>
          <w:rFonts w:ascii="Book Antiqua" w:hAnsi="Book Antiqua"/>
          <w:sz w:val="24"/>
          <w:szCs w:val="24"/>
        </w:rPr>
      </w:pPr>
      <w:r w:rsidRPr="00874DA8">
        <w:rPr>
          <w:rFonts w:ascii="Book Antiqua" w:hAnsi="Book Antiqua"/>
          <w:sz w:val="24"/>
          <w:szCs w:val="24"/>
        </w:rPr>
        <w:lastRenderedPageBreak/>
        <w:t>Expense</w:t>
      </w:r>
    </w:p>
    <w:p w:rsidR="00A23D37" w:rsidRPr="00874DA8" w:rsidRDefault="00A23D37" w:rsidP="004C6091">
      <w:pPr>
        <w:autoSpaceDE w:val="0"/>
        <w:autoSpaceDN w:val="0"/>
        <w:adjustRightInd w:val="0"/>
        <w:spacing w:after="0" w:line="240" w:lineRule="auto"/>
        <w:jc w:val="both"/>
        <w:rPr>
          <w:rFonts w:ascii="Book Antiqua" w:hAnsi="Book Antiqua"/>
          <w:sz w:val="24"/>
          <w:szCs w:val="24"/>
        </w:rPr>
      </w:pPr>
    </w:p>
    <w:p w:rsidR="00A23D37" w:rsidRPr="00874DA8" w:rsidRDefault="005F5836" w:rsidP="004C6091">
      <w:pPr>
        <w:autoSpaceDE w:val="0"/>
        <w:autoSpaceDN w:val="0"/>
        <w:adjustRightInd w:val="0"/>
        <w:spacing w:after="0" w:line="240" w:lineRule="auto"/>
        <w:jc w:val="both"/>
        <w:rPr>
          <w:rFonts w:ascii="Book Antiqua" w:hAnsi="Book Antiqua"/>
          <w:sz w:val="24"/>
          <w:szCs w:val="24"/>
        </w:rPr>
      </w:pPr>
      <w:r w:rsidRPr="00874DA8">
        <w:rPr>
          <w:rFonts w:ascii="Book Antiqua" w:hAnsi="Book Antiqua"/>
          <w:sz w:val="24"/>
          <w:szCs w:val="24"/>
        </w:rPr>
        <w:t xml:space="preserve">We discuss </w:t>
      </w:r>
      <w:r w:rsidR="00A23D37" w:rsidRPr="00874DA8">
        <w:rPr>
          <w:rFonts w:ascii="Book Antiqua" w:hAnsi="Book Antiqua"/>
          <w:sz w:val="24"/>
          <w:szCs w:val="24"/>
        </w:rPr>
        <w:t xml:space="preserve">each of the terms </w:t>
      </w:r>
      <w:r w:rsidRPr="00874DA8">
        <w:rPr>
          <w:rFonts w:ascii="Book Antiqua" w:hAnsi="Book Antiqua"/>
          <w:sz w:val="24"/>
          <w:szCs w:val="24"/>
        </w:rPr>
        <w:t>below.</w:t>
      </w:r>
    </w:p>
    <w:p w:rsidR="005F5836" w:rsidRPr="00874DA8" w:rsidRDefault="005F5836" w:rsidP="004C6091">
      <w:pPr>
        <w:autoSpaceDE w:val="0"/>
        <w:autoSpaceDN w:val="0"/>
        <w:adjustRightInd w:val="0"/>
        <w:spacing w:after="0" w:line="240" w:lineRule="auto"/>
        <w:jc w:val="both"/>
        <w:rPr>
          <w:rFonts w:ascii="Book Antiqua" w:hAnsi="Book Antiqua"/>
          <w:sz w:val="24"/>
          <w:szCs w:val="24"/>
        </w:rPr>
      </w:pPr>
    </w:p>
    <w:p w:rsidR="005F5836" w:rsidRPr="00874DA8" w:rsidRDefault="006B5581" w:rsidP="004C6091">
      <w:pPr>
        <w:autoSpaceDE w:val="0"/>
        <w:autoSpaceDN w:val="0"/>
        <w:adjustRightInd w:val="0"/>
        <w:spacing w:after="0" w:line="240" w:lineRule="auto"/>
        <w:jc w:val="both"/>
        <w:rPr>
          <w:rFonts w:ascii="Book Antiqua" w:hAnsi="Book Antiqua"/>
          <w:b/>
          <w:sz w:val="24"/>
          <w:szCs w:val="24"/>
          <w:u w:val="single"/>
        </w:rPr>
      </w:pPr>
      <w:r w:rsidRPr="00874DA8">
        <w:rPr>
          <w:rFonts w:ascii="Book Antiqua" w:hAnsi="Book Antiqua"/>
          <w:b/>
          <w:sz w:val="24"/>
          <w:szCs w:val="24"/>
          <w:u w:val="single"/>
        </w:rPr>
        <w:t>ASSET</w:t>
      </w:r>
    </w:p>
    <w:p w:rsidR="005F5836" w:rsidRPr="00874DA8" w:rsidRDefault="005F5836" w:rsidP="004C6091">
      <w:pPr>
        <w:autoSpaceDE w:val="0"/>
        <w:autoSpaceDN w:val="0"/>
        <w:adjustRightInd w:val="0"/>
        <w:spacing w:after="0" w:line="240" w:lineRule="auto"/>
        <w:jc w:val="both"/>
        <w:rPr>
          <w:rFonts w:ascii="Book Antiqua" w:hAnsi="Book Antiqua" w:cs="TimesLTStd-Roman"/>
          <w:sz w:val="24"/>
          <w:szCs w:val="24"/>
        </w:rPr>
      </w:pPr>
      <w:r w:rsidRPr="00874DA8">
        <w:rPr>
          <w:rFonts w:ascii="Book Antiqua" w:hAnsi="Book Antiqua" w:cs="TimesLTStd-Bold"/>
          <w:b/>
          <w:bCs/>
          <w:sz w:val="24"/>
          <w:szCs w:val="24"/>
        </w:rPr>
        <w:t xml:space="preserve">Assets </w:t>
      </w:r>
      <w:r w:rsidRPr="00874DA8">
        <w:rPr>
          <w:rFonts w:ascii="Book Antiqua" w:hAnsi="Book Antiqua" w:cs="TimesLTStd-Roman"/>
          <w:sz w:val="24"/>
          <w:szCs w:val="24"/>
        </w:rPr>
        <w:t xml:space="preserve">are economic resources with probable future benefits owned or controlled by an entity as a result of past transactions. In other words, they are the acquired resources the entity can use to operate in the future. To be reported, assets must have a measurable, verifiable value, usually based on the purchase price. However, subsequent to acquisition, so as not to mislead users by reporting a value for the assets that is too high, managers use judgment (and past experience) to determine an acquired asset’s most likely future benefit. For example, a company may have a list of customers who owe Ksh. 1,000,000 in total. History suggests, however, that only Ksh. 980,000 is likely to be collected. The lower, more probable, and more conservative figure is reported to users for purposes of projecting future cash flows. In future chapters, we discuss the estimation process to determine the amount to report. Assets are measured initially under the </w:t>
      </w:r>
      <w:r w:rsidRPr="00874DA8">
        <w:rPr>
          <w:rFonts w:ascii="Book Antiqua" w:hAnsi="Book Antiqua" w:cs="TimesLTStd-Bold"/>
          <w:b/>
          <w:bCs/>
          <w:sz w:val="24"/>
          <w:szCs w:val="24"/>
        </w:rPr>
        <w:t xml:space="preserve">historical cost principle </w:t>
      </w:r>
      <w:r w:rsidRPr="00874DA8">
        <w:rPr>
          <w:rFonts w:ascii="Book Antiqua" w:hAnsi="Book Antiqua" w:cs="TimesLTStd-Roman"/>
          <w:sz w:val="24"/>
          <w:szCs w:val="24"/>
        </w:rPr>
        <w:t>(or cost principle). That is, on the acquisition date, cash paid plus the value of all noncash considerations (any assets, privileges, or rights) given in the exchange become the historical cost of a new asset (i.e., its fair market value on the exchange date). For example, what would be the measured historical cost of a new delivery van when trading in an old delivery van with a market value of Ksh. 200,000 and paying Ksh.1, 500,000 cash? The new van’s cost would be Ksh. 1,700,000 (the sum of what was exchanged). Thus, in most cases, cost is relatively easy to determine and can be verified due to the arm’s length exchange.</w:t>
      </w:r>
    </w:p>
    <w:p w:rsidR="005F5836" w:rsidRPr="00874DA8" w:rsidRDefault="005F5836" w:rsidP="004C6091">
      <w:pPr>
        <w:autoSpaceDE w:val="0"/>
        <w:autoSpaceDN w:val="0"/>
        <w:adjustRightInd w:val="0"/>
        <w:spacing w:after="0" w:line="240" w:lineRule="auto"/>
        <w:jc w:val="both"/>
        <w:rPr>
          <w:rFonts w:ascii="Book Antiqua" w:hAnsi="Book Antiqua" w:cs="TimesLTStd-Roman"/>
          <w:sz w:val="24"/>
          <w:szCs w:val="24"/>
        </w:rPr>
      </w:pPr>
    </w:p>
    <w:p w:rsidR="006B5581" w:rsidRPr="00874DA8" w:rsidRDefault="005F5836" w:rsidP="004C6091">
      <w:pPr>
        <w:autoSpaceDE w:val="0"/>
        <w:autoSpaceDN w:val="0"/>
        <w:adjustRightInd w:val="0"/>
        <w:spacing w:after="0" w:line="240" w:lineRule="auto"/>
        <w:jc w:val="both"/>
        <w:rPr>
          <w:rFonts w:ascii="Book Antiqua" w:hAnsi="Book Antiqua" w:cs="TimesLTStd-Roman"/>
          <w:sz w:val="24"/>
          <w:szCs w:val="24"/>
        </w:rPr>
      </w:pPr>
      <w:r w:rsidRPr="00874DA8">
        <w:rPr>
          <w:rFonts w:ascii="Book Antiqua" w:hAnsi="Book Antiqua" w:cs="TimesLTStd-Roman"/>
          <w:sz w:val="24"/>
          <w:szCs w:val="24"/>
        </w:rPr>
        <w:t xml:space="preserve">Most companies list assets in order of liquidity, or how soon an asset is expected by management to be turned into cash or used. Notice that several of Papa John’s assets are categorized as current assets. Current assets are those resources will be used or turned into cash within one year (the next 12 months). Note that inventory is always considered a current asset, regardless of how long it takes to produce and sell the inventory. </w:t>
      </w:r>
      <w:r w:rsidR="006B5581" w:rsidRPr="00874DA8">
        <w:rPr>
          <w:rFonts w:ascii="Book Antiqua" w:hAnsi="Book Antiqua" w:cs="TimesLTStd-Roman"/>
          <w:sz w:val="24"/>
          <w:szCs w:val="24"/>
        </w:rPr>
        <w:t>Current</w:t>
      </w:r>
      <w:r w:rsidRPr="00874DA8">
        <w:rPr>
          <w:rFonts w:ascii="Book Antiqua" w:hAnsi="Book Antiqua" w:cs="TimesLTStd-Roman"/>
          <w:sz w:val="24"/>
          <w:szCs w:val="24"/>
        </w:rPr>
        <w:t xml:space="preserve"> assets</w:t>
      </w:r>
      <w:r w:rsidR="006B5581" w:rsidRPr="00874DA8">
        <w:rPr>
          <w:rFonts w:ascii="Book Antiqua" w:hAnsi="Book Antiqua" w:cs="TimesLTStd-Roman"/>
          <w:sz w:val="24"/>
          <w:szCs w:val="24"/>
        </w:rPr>
        <w:t xml:space="preserve"> </w:t>
      </w:r>
      <w:r w:rsidRPr="00874DA8">
        <w:rPr>
          <w:rFonts w:ascii="Book Antiqua" w:hAnsi="Book Antiqua" w:cs="TimesLTStd-Roman"/>
          <w:sz w:val="24"/>
          <w:szCs w:val="24"/>
        </w:rPr>
        <w:t>include Cash, Accounts Receivable, Supplies, Prepaid Expenses, and Other Current Assets (a</w:t>
      </w:r>
      <w:r w:rsidR="006B5581" w:rsidRPr="00874DA8">
        <w:rPr>
          <w:rFonts w:ascii="Book Antiqua" w:hAnsi="Book Antiqua" w:cs="TimesLTStd-Roman"/>
          <w:sz w:val="24"/>
          <w:szCs w:val="24"/>
        </w:rPr>
        <w:t xml:space="preserve"> </w:t>
      </w:r>
      <w:r w:rsidRPr="00874DA8">
        <w:rPr>
          <w:rFonts w:ascii="Book Antiqua" w:hAnsi="Book Antiqua" w:cs="TimesLTStd-Roman"/>
          <w:sz w:val="24"/>
          <w:szCs w:val="24"/>
        </w:rPr>
        <w:t>summary of several current assets with individually smaller balances). These are typical titles</w:t>
      </w:r>
      <w:r w:rsidR="006B5581" w:rsidRPr="00874DA8">
        <w:rPr>
          <w:rFonts w:ascii="Book Antiqua" w:hAnsi="Book Antiqua" w:cs="TimesLTStd-Roman"/>
          <w:sz w:val="24"/>
          <w:szCs w:val="24"/>
        </w:rPr>
        <w:t xml:space="preserve"> </w:t>
      </w:r>
      <w:r w:rsidRPr="00874DA8">
        <w:rPr>
          <w:rFonts w:ascii="Book Antiqua" w:hAnsi="Book Antiqua" w:cs="TimesLTStd-Roman"/>
          <w:sz w:val="24"/>
          <w:szCs w:val="24"/>
        </w:rPr>
        <w:t>utilized by most entities.</w:t>
      </w:r>
      <w:r w:rsidR="006B5581" w:rsidRPr="00874DA8">
        <w:rPr>
          <w:rFonts w:ascii="Book Antiqua" w:hAnsi="Book Antiqua" w:cs="TimesLTStd-Roman"/>
          <w:sz w:val="24"/>
          <w:szCs w:val="24"/>
        </w:rPr>
        <w:t xml:space="preserve"> </w:t>
      </w:r>
    </w:p>
    <w:p w:rsidR="006B5581" w:rsidRPr="00874DA8" w:rsidRDefault="006B5581" w:rsidP="004C6091">
      <w:pPr>
        <w:autoSpaceDE w:val="0"/>
        <w:autoSpaceDN w:val="0"/>
        <w:adjustRightInd w:val="0"/>
        <w:spacing w:after="0" w:line="240" w:lineRule="auto"/>
        <w:jc w:val="both"/>
        <w:rPr>
          <w:rFonts w:ascii="Book Antiqua" w:hAnsi="Book Antiqua" w:cs="TimesLTStd-Roman"/>
          <w:sz w:val="24"/>
          <w:szCs w:val="24"/>
        </w:rPr>
      </w:pPr>
    </w:p>
    <w:p w:rsidR="005F5836" w:rsidRPr="00874DA8" w:rsidRDefault="005F5836" w:rsidP="004C6091">
      <w:pPr>
        <w:autoSpaceDE w:val="0"/>
        <w:autoSpaceDN w:val="0"/>
        <w:adjustRightInd w:val="0"/>
        <w:spacing w:after="0" w:line="240" w:lineRule="auto"/>
        <w:jc w:val="both"/>
        <w:rPr>
          <w:rFonts w:ascii="Book Antiqua" w:hAnsi="Book Antiqua" w:cs="TimesLTStd-Roman"/>
          <w:sz w:val="24"/>
          <w:szCs w:val="24"/>
        </w:rPr>
      </w:pPr>
      <w:r w:rsidRPr="00874DA8">
        <w:rPr>
          <w:rFonts w:ascii="Book Antiqua" w:hAnsi="Book Antiqua" w:cs="TimesLTStd-Roman"/>
          <w:sz w:val="24"/>
          <w:szCs w:val="24"/>
        </w:rPr>
        <w:t>All other assets are considered long term (or noncurrent). That is, they are to be used or</w:t>
      </w:r>
      <w:r w:rsidR="006B5581" w:rsidRPr="00874DA8">
        <w:rPr>
          <w:rFonts w:ascii="Book Antiqua" w:hAnsi="Book Antiqua" w:cs="TimesLTStd-Roman"/>
          <w:sz w:val="24"/>
          <w:szCs w:val="24"/>
        </w:rPr>
        <w:t xml:space="preserve"> </w:t>
      </w:r>
      <w:r w:rsidRPr="00874DA8">
        <w:rPr>
          <w:rFonts w:ascii="Book Antiqua" w:hAnsi="Book Antiqua" w:cs="TimesLTStd-Roman"/>
          <w:sz w:val="24"/>
          <w:szCs w:val="24"/>
        </w:rPr>
        <w:t xml:space="preserve">turned into cash beyond the coming year. </w:t>
      </w:r>
      <w:r w:rsidR="006B5581" w:rsidRPr="00874DA8">
        <w:rPr>
          <w:rFonts w:ascii="Book Antiqua" w:hAnsi="Book Antiqua" w:cs="TimesLTStd-Roman"/>
          <w:sz w:val="24"/>
          <w:szCs w:val="24"/>
        </w:rPr>
        <w:t xml:space="preserve">They include </w:t>
      </w:r>
      <w:r w:rsidRPr="00874DA8">
        <w:rPr>
          <w:rFonts w:ascii="Book Antiqua" w:hAnsi="Book Antiqua" w:cs="TimesLTStd-Roman"/>
          <w:sz w:val="24"/>
          <w:szCs w:val="24"/>
        </w:rPr>
        <w:t>Long-Term Investments,</w:t>
      </w:r>
      <w:r w:rsidR="006B5581" w:rsidRPr="00874DA8">
        <w:rPr>
          <w:rFonts w:ascii="Book Antiqua" w:hAnsi="Book Antiqua" w:cs="TimesLTStd-Roman"/>
          <w:sz w:val="24"/>
          <w:szCs w:val="24"/>
        </w:rPr>
        <w:t xml:space="preserve"> </w:t>
      </w:r>
      <w:r w:rsidRPr="00874DA8">
        <w:rPr>
          <w:rFonts w:ascii="Book Antiqua" w:hAnsi="Book Antiqua" w:cs="TimesLTStd-Roman"/>
          <w:sz w:val="24"/>
          <w:szCs w:val="24"/>
        </w:rPr>
        <w:t>Property and Equipment (net of amounts used in the past), Notes Receivable, Intangibles (such as trademarks and patents),</w:t>
      </w:r>
      <w:r w:rsidR="006B5581" w:rsidRPr="00874DA8">
        <w:rPr>
          <w:rFonts w:ascii="Book Antiqua" w:hAnsi="Book Antiqua" w:cs="TimesLTStd-Roman"/>
          <w:sz w:val="24"/>
          <w:szCs w:val="24"/>
        </w:rPr>
        <w:t xml:space="preserve"> </w:t>
      </w:r>
      <w:r w:rsidRPr="00874DA8">
        <w:rPr>
          <w:rFonts w:ascii="Book Antiqua" w:hAnsi="Book Antiqua" w:cs="TimesLTStd-Roman"/>
          <w:sz w:val="24"/>
          <w:szCs w:val="24"/>
        </w:rPr>
        <w:t xml:space="preserve">and Other Assets. </w:t>
      </w:r>
    </w:p>
    <w:p w:rsidR="006B5581" w:rsidRPr="00874DA8" w:rsidRDefault="006B5581" w:rsidP="004C6091">
      <w:pPr>
        <w:autoSpaceDE w:val="0"/>
        <w:autoSpaceDN w:val="0"/>
        <w:adjustRightInd w:val="0"/>
        <w:spacing w:after="0" w:line="240" w:lineRule="auto"/>
        <w:jc w:val="both"/>
        <w:rPr>
          <w:rFonts w:ascii="Book Antiqua" w:hAnsi="Book Antiqua" w:cs="TimesLTStd-Roman"/>
          <w:sz w:val="24"/>
          <w:szCs w:val="24"/>
        </w:rPr>
      </w:pPr>
    </w:p>
    <w:p w:rsidR="006B5581" w:rsidRPr="00874DA8" w:rsidRDefault="006B5581" w:rsidP="004C6091">
      <w:pPr>
        <w:autoSpaceDE w:val="0"/>
        <w:autoSpaceDN w:val="0"/>
        <w:adjustRightInd w:val="0"/>
        <w:spacing w:after="0" w:line="240" w:lineRule="auto"/>
        <w:jc w:val="both"/>
        <w:rPr>
          <w:rFonts w:ascii="Book Antiqua" w:hAnsi="Book Antiqua" w:cs="TimesLTStd-Roman"/>
          <w:sz w:val="24"/>
          <w:szCs w:val="24"/>
        </w:rPr>
      </w:pPr>
      <w:r w:rsidRPr="00874DA8">
        <w:rPr>
          <w:rFonts w:ascii="Book Antiqua" w:hAnsi="Book Antiqua" w:cs="TimesLTStd-Roman"/>
          <w:sz w:val="24"/>
          <w:szCs w:val="24"/>
        </w:rPr>
        <w:t xml:space="preserve">NOTE: </w:t>
      </w:r>
      <w:r w:rsidR="001B7324" w:rsidRPr="00874DA8">
        <w:rPr>
          <w:rFonts w:ascii="Book Antiqua" w:hAnsi="Book Antiqua" w:cs="TimesLTStd-Roman"/>
          <w:sz w:val="24"/>
          <w:szCs w:val="24"/>
        </w:rPr>
        <w:t xml:space="preserve">The normal account balance for </w:t>
      </w:r>
      <w:r w:rsidRPr="00874DA8">
        <w:rPr>
          <w:rFonts w:ascii="Book Antiqua" w:hAnsi="Book Antiqua" w:cs="TimesLTStd-Roman"/>
          <w:sz w:val="24"/>
          <w:szCs w:val="24"/>
        </w:rPr>
        <w:t>assets, both current and non-current</w:t>
      </w:r>
      <w:r w:rsidR="001B7324" w:rsidRPr="00874DA8">
        <w:rPr>
          <w:rFonts w:ascii="Book Antiqua" w:hAnsi="Book Antiqua" w:cs="TimesLTStd-Roman"/>
          <w:sz w:val="24"/>
          <w:szCs w:val="24"/>
        </w:rPr>
        <w:t xml:space="preserve"> is </w:t>
      </w:r>
      <w:r w:rsidR="001B7324" w:rsidRPr="00874DA8">
        <w:rPr>
          <w:rFonts w:ascii="Book Antiqua" w:hAnsi="Book Antiqua" w:cs="TimesLTStd-Roman"/>
          <w:b/>
          <w:sz w:val="24"/>
          <w:szCs w:val="24"/>
        </w:rPr>
        <w:t>debit</w:t>
      </w:r>
      <w:r w:rsidRPr="00874DA8">
        <w:rPr>
          <w:rFonts w:ascii="Book Antiqua" w:hAnsi="Book Antiqua" w:cs="TimesLTStd-Roman"/>
          <w:sz w:val="24"/>
          <w:szCs w:val="24"/>
        </w:rPr>
        <w:t xml:space="preserve"> i.e. the debit side is usually greater than the credit side.</w:t>
      </w:r>
    </w:p>
    <w:p w:rsidR="006B5581" w:rsidRPr="00874DA8" w:rsidRDefault="006B5581" w:rsidP="004C6091">
      <w:pPr>
        <w:autoSpaceDE w:val="0"/>
        <w:autoSpaceDN w:val="0"/>
        <w:adjustRightInd w:val="0"/>
        <w:spacing w:after="0" w:line="240" w:lineRule="auto"/>
        <w:jc w:val="both"/>
        <w:rPr>
          <w:rFonts w:ascii="Book Antiqua" w:hAnsi="Book Antiqua" w:cs="TimesLTStd-Roman"/>
          <w:sz w:val="24"/>
          <w:szCs w:val="24"/>
        </w:rPr>
      </w:pPr>
    </w:p>
    <w:p w:rsidR="006B5581" w:rsidRPr="00874DA8" w:rsidRDefault="006B5581" w:rsidP="004C6091">
      <w:pPr>
        <w:autoSpaceDE w:val="0"/>
        <w:autoSpaceDN w:val="0"/>
        <w:adjustRightInd w:val="0"/>
        <w:spacing w:after="0" w:line="240" w:lineRule="auto"/>
        <w:jc w:val="both"/>
        <w:rPr>
          <w:rFonts w:ascii="Book Antiqua" w:hAnsi="Book Antiqua" w:cs="TimesLTStd-Roman"/>
          <w:sz w:val="24"/>
          <w:szCs w:val="24"/>
        </w:rPr>
      </w:pPr>
      <w:r w:rsidRPr="00874DA8">
        <w:rPr>
          <w:rFonts w:ascii="Book Antiqua" w:hAnsi="Book Antiqua" w:cs="TimesLTStd-Roman"/>
          <w:b/>
          <w:sz w:val="24"/>
          <w:szCs w:val="24"/>
        </w:rPr>
        <w:t>Unrecorded but valuable assets</w:t>
      </w:r>
      <w:r w:rsidRPr="00874DA8">
        <w:rPr>
          <w:rFonts w:ascii="Book Antiqua" w:hAnsi="Book Antiqua" w:cs="TimesLTStd-Roman"/>
          <w:sz w:val="24"/>
          <w:szCs w:val="24"/>
        </w:rPr>
        <w:t xml:space="preserve">: Many very valuable intangible assets, such as trademarks, patents, and copyrights that are developed inside a company (not purchased) are not reported on the balance sheet. For example, General Electric’s </w:t>
      </w:r>
      <w:r w:rsidRPr="00874DA8">
        <w:rPr>
          <w:rFonts w:ascii="Book Antiqua" w:hAnsi="Book Antiqua" w:cs="TimesLTStd-Roman"/>
          <w:sz w:val="24"/>
          <w:szCs w:val="24"/>
        </w:rPr>
        <w:lastRenderedPageBreak/>
        <w:t>balance sheet reveals no listing for the GE trademark because it was developed internally over time through research, development, and advertising (it was not purchased). Likewise, the Coca-Cola Company does not report any asset for its patented Coke formulae, although it does report more than $2 billion in various trademarks that it has purchased.</w:t>
      </w:r>
    </w:p>
    <w:p w:rsidR="006B5581" w:rsidRPr="00874DA8" w:rsidRDefault="006B5581" w:rsidP="004C6091">
      <w:pPr>
        <w:autoSpaceDE w:val="0"/>
        <w:autoSpaceDN w:val="0"/>
        <w:adjustRightInd w:val="0"/>
        <w:spacing w:after="0" w:line="240" w:lineRule="auto"/>
        <w:jc w:val="both"/>
        <w:rPr>
          <w:rFonts w:ascii="Book Antiqua" w:hAnsi="Book Antiqua" w:cs="TimesLTStd-Roman"/>
          <w:sz w:val="24"/>
          <w:szCs w:val="24"/>
        </w:rPr>
      </w:pPr>
    </w:p>
    <w:p w:rsidR="006B5581" w:rsidRPr="00874DA8" w:rsidRDefault="006B5581" w:rsidP="004C6091">
      <w:pPr>
        <w:autoSpaceDE w:val="0"/>
        <w:autoSpaceDN w:val="0"/>
        <w:adjustRightInd w:val="0"/>
        <w:spacing w:after="0" w:line="240" w:lineRule="auto"/>
        <w:jc w:val="both"/>
        <w:rPr>
          <w:rFonts w:ascii="Book Antiqua" w:hAnsi="Book Antiqua" w:cs="TimesLTStd-Bold"/>
          <w:b/>
          <w:bCs/>
          <w:sz w:val="24"/>
          <w:szCs w:val="24"/>
        </w:rPr>
      </w:pPr>
      <w:r w:rsidRPr="00874DA8">
        <w:rPr>
          <w:rFonts w:ascii="Book Antiqua" w:hAnsi="Book Antiqua" w:cs="TimesLTStd-Bold"/>
          <w:b/>
          <w:bCs/>
          <w:sz w:val="24"/>
          <w:szCs w:val="24"/>
        </w:rPr>
        <w:t>LIABILITIES</w:t>
      </w:r>
    </w:p>
    <w:p w:rsidR="006B5581" w:rsidRPr="00874DA8" w:rsidRDefault="006B5581" w:rsidP="004C6091">
      <w:pPr>
        <w:autoSpaceDE w:val="0"/>
        <w:autoSpaceDN w:val="0"/>
        <w:adjustRightInd w:val="0"/>
        <w:spacing w:after="0" w:line="240" w:lineRule="auto"/>
        <w:jc w:val="both"/>
        <w:rPr>
          <w:rFonts w:ascii="Book Antiqua" w:hAnsi="Book Antiqua" w:cs="TimesLTStd-Roman"/>
          <w:sz w:val="24"/>
          <w:szCs w:val="24"/>
        </w:rPr>
      </w:pPr>
      <w:r w:rsidRPr="00874DA8">
        <w:rPr>
          <w:rFonts w:ascii="Book Antiqua" w:hAnsi="Book Antiqua" w:cs="TimesLTStd-Bold"/>
          <w:b/>
          <w:bCs/>
          <w:sz w:val="24"/>
          <w:szCs w:val="24"/>
        </w:rPr>
        <w:t xml:space="preserve">Liabilities </w:t>
      </w:r>
      <w:r w:rsidRPr="00874DA8">
        <w:rPr>
          <w:rFonts w:ascii="Book Antiqua" w:hAnsi="Book Antiqua" w:cs="TimesLTStd-Roman"/>
          <w:sz w:val="24"/>
          <w:szCs w:val="24"/>
        </w:rPr>
        <w:t xml:space="preserve">are probable debts or obligations (claims to a company’s resources) that result from a company’s past transactions and will be paid with assets or services. Entities that a company owes money to are called </w:t>
      </w:r>
      <w:r w:rsidRPr="00874DA8">
        <w:rPr>
          <w:rFonts w:ascii="Book Antiqua" w:hAnsi="Book Antiqua" w:cs="TimesLTStd-Bold"/>
          <w:b/>
          <w:bCs/>
          <w:sz w:val="24"/>
          <w:szCs w:val="24"/>
        </w:rPr>
        <w:t xml:space="preserve">creditors. </w:t>
      </w:r>
      <w:r w:rsidRPr="00874DA8">
        <w:rPr>
          <w:rFonts w:ascii="Book Antiqua" w:hAnsi="Book Antiqua" w:cs="TimesLTStd-Roman"/>
          <w:sz w:val="24"/>
          <w:szCs w:val="24"/>
        </w:rPr>
        <w:t>Liabilities include: Accounts Payable (creditors), Accrued Expenses Payable, Unearned Franchise Fees, Long-Term Notes Payable</w:t>
      </w:r>
      <w:r w:rsidR="00704507" w:rsidRPr="00874DA8">
        <w:rPr>
          <w:rFonts w:ascii="Book Antiqua" w:hAnsi="Book Antiqua" w:cs="TimesLTStd-Roman"/>
          <w:sz w:val="24"/>
          <w:szCs w:val="24"/>
        </w:rPr>
        <w:t>, bank overdrafts, loans</w:t>
      </w:r>
      <w:r w:rsidRPr="00874DA8">
        <w:rPr>
          <w:rFonts w:ascii="Book Antiqua" w:hAnsi="Book Antiqua" w:cs="TimesLTStd-Roman"/>
          <w:sz w:val="24"/>
          <w:szCs w:val="24"/>
        </w:rPr>
        <w:t xml:space="preserve">, and Other Long-Term Liabilities. </w:t>
      </w:r>
    </w:p>
    <w:p w:rsidR="00704507" w:rsidRPr="00874DA8" w:rsidRDefault="00704507" w:rsidP="004C6091">
      <w:pPr>
        <w:autoSpaceDE w:val="0"/>
        <w:autoSpaceDN w:val="0"/>
        <w:adjustRightInd w:val="0"/>
        <w:spacing w:after="0" w:line="240" w:lineRule="auto"/>
        <w:jc w:val="both"/>
        <w:rPr>
          <w:rFonts w:ascii="Book Antiqua" w:hAnsi="Book Antiqua" w:cs="TimesLTStd-Roman"/>
          <w:sz w:val="24"/>
          <w:szCs w:val="24"/>
        </w:rPr>
      </w:pPr>
    </w:p>
    <w:p w:rsidR="00704507" w:rsidRPr="00874DA8" w:rsidRDefault="00704507" w:rsidP="004C6091">
      <w:pPr>
        <w:autoSpaceDE w:val="0"/>
        <w:autoSpaceDN w:val="0"/>
        <w:adjustRightInd w:val="0"/>
        <w:spacing w:after="0" w:line="240" w:lineRule="auto"/>
        <w:jc w:val="both"/>
        <w:rPr>
          <w:rFonts w:ascii="Book Antiqua" w:hAnsi="Book Antiqua" w:cs="TimesLTStd-Roman"/>
          <w:sz w:val="24"/>
          <w:szCs w:val="24"/>
        </w:rPr>
      </w:pPr>
      <w:r w:rsidRPr="00874DA8">
        <w:rPr>
          <w:rFonts w:ascii="Book Antiqua" w:hAnsi="Book Antiqua" w:cs="TimesLTStd-Roman"/>
          <w:sz w:val="24"/>
          <w:szCs w:val="24"/>
        </w:rPr>
        <w:t xml:space="preserve">Just as assets are reported in order of liquidity, liabilities are usually listed on the balance sheet </w:t>
      </w:r>
      <w:r w:rsidRPr="00874DA8">
        <w:rPr>
          <w:rFonts w:ascii="Book Antiqua" w:hAnsi="Book Antiqua" w:cs="TimesLTStd-Bold"/>
          <w:b/>
          <w:bCs/>
          <w:sz w:val="24"/>
          <w:szCs w:val="24"/>
        </w:rPr>
        <w:t xml:space="preserve">in order of maturity </w:t>
      </w:r>
      <w:r w:rsidRPr="00874DA8">
        <w:rPr>
          <w:rFonts w:ascii="Book Antiqua" w:hAnsi="Book Antiqua" w:cs="TimesLTStd-Roman"/>
          <w:sz w:val="24"/>
          <w:szCs w:val="24"/>
        </w:rPr>
        <w:t xml:space="preserve">(how soon an obligation is to be paid). Liabilities that will need to be paid or settled within the coming year (with cash, services, or other current assets) are classified as </w:t>
      </w:r>
      <w:r w:rsidRPr="00874DA8">
        <w:rPr>
          <w:rFonts w:ascii="Book Antiqua" w:hAnsi="Book Antiqua" w:cs="TimesLTStd-Bold"/>
          <w:b/>
          <w:bCs/>
          <w:sz w:val="24"/>
          <w:szCs w:val="24"/>
        </w:rPr>
        <w:t xml:space="preserve">current liabilities. </w:t>
      </w:r>
      <w:r w:rsidRPr="00874DA8">
        <w:rPr>
          <w:rFonts w:ascii="Book Antiqua" w:hAnsi="Book Antiqua" w:cs="TimesLTStd-Roman"/>
          <w:sz w:val="24"/>
          <w:szCs w:val="24"/>
        </w:rPr>
        <w:t>Distinguishing current assets and current liabilities assists external users of the financial statements in assessing the amounts and timing of future cash flows.</w:t>
      </w:r>
    </w:p>
    <w:p w:rsidR="00704507" w:rsidRPr="00874DA8" w:rsidRDefault="00704507" w:rsidP="004C6091">
      <w:pPr>
        <w:autoSpaceDE w:val="0"/>
        <w:autoSpaceDN w:val="0"/>
        <w:adjustRightInd w:val="0"/>
        <w:spacing w:after="0" w:line="240" w:lineRule="auto"/>
        <w:jc w:val="both"/>
        <w:rPr>
          <w:rFonts w:ascii="Book Antiqua" w:hAnsi="Book Antiqua" w:cs="TimesLTStd-Roman"/>
          <w:sz w:val="24"/>
          <w:szCs w:val="24"/>
        </w:rPr>
      </w:pPr>
    </w:p>
    <w:p w:rsidR="00704507" w:rsidRPr="00874DA8" w:rsidRDefault="00704507" w:rsidP="004C6091">
      <w:pPr>
        <w:autoSpaceDE w:val="0"/>
        <w:autoSpaceDN w:val="0"/>
        <w:adjustRightInd w:val="0"/>
        <w:spacing w:after="0" w:line="240" w:lineRule="auto"/>
        <w:jc w:val="both"/>
        <w:rPr>
          <w:rFonts w:ascii="Book Antiqua" w:hAnsi="Book Antiqua" w:cs="TimesLTStd-Bold"/>
          <w:b/>
          <w:bCs/>
          <w:sz w:val="24"/>
          <w:szCs w:val="24"/>
        </w:rPr>
      </w:pPr>
      <w:r w:rsidRPr="00874DA8">
        <w:rPr>
          <w:rFonts w:ascii="Book Antiqua" w:hAnsi="Book Antiqua" w:cs="TimesLTStd-Bold"/>
          <w:b/>
          <w:bCs/>
          <w:sz w:val="24"/>
          <w:szCs w:val="24"/>
        </w:rPr>
        <w:t>Capital</w:t>
      </w:r>
    </w:p>
    <w:p w:rsidR="00704507" w:rsidRPr="00874DA8" w:rsidRDefault="00704507" w:rsidP="004C6091">
      <w:pPr>
        <w:autoSpaceDE w:val="0"/>
        <w:autoSpaceDN w:val="0"/>
        <w:adjustRightInd w:val="0"/>
        <w:spacing w:after="0" w:line="240" w:lineRule="auto"/>
        <w:jc w:val="both"/>
        <w:rPr>
          <w:rFonts w:ascii="Book Antiqua" w:hAnsi="Book Antiqua" w:cs="TimesLTStd-Bold"/>
          <w:bCs/>
          <w:sz w:val="24"/>
          <w:szCs w:val="24"/>
        </w:rPr>
      </w:pPr>
      <w:r w:rsidRPr="00874DA8">
        <w:rPr>
          <w:rFonts w:ascii="Book Antiqua" w:hAnsi="Book Antiqua" w:cs="TimesLTStd-Bold"/>
          <w:bCs/>
          <w:sz w:val="24"/>
          <w:szCs w:val="24"/>
        </w:rPr>
        <w:t>Capital is a special type of liability. It is the finance that is provided by the owners. In a sole proprietorship, we commonly use the term capital, but in companies the term stockholders’ equity is commonly used in place of capital. Note that the two terms are synonymous.</w:t>
      </w:r>
    </w:p>
    <w:p w:rsidR="00704507" w:rsidRPr="00874DA8" w:rsidRDefault="00704507" w:rsidP="004C6091">
      <w:pPr>
        <w:autoSpaceDE w:val="0"/>
        <w:autoSpaceDN w:val="0"/>
        <w:adjustRightInd w:val="0"/>
        <w:spacing w:after="0" w:line="240" w:lineRule="auto"/>
        <w:jc w:val="both"/>
        <w:rPr>
          <w:rFonts w:ascii="Book Antiqua" w:hAnsi="Book Antiqua" w:cs="TimesLTStd-Bold"/>
          <w:b/>
          <w:bCs/>
          <w:sz w:val="24"/>
          <w:szCs w:val="24"/>
        </w:rPr>
      </w:pPr>
      <w:r w:rsidRPr="00874DA8">
        <w:rPr>
          <w:rFonts w:ascii="Book Antiqua" w:hAnsi="Book Antiqua" w:cs="TimesLTStd-Bold"/>
          <w:b/>
          <w:bCs/>
          <w:sz w:val="24"/>
          <w:szCs w:val="24"/>
        </w:rPr>
        <w:t xml:space="preserve"> </w:t>
      </w:r>
    </w:p>
    <w:p w:rsidR="00704507" w:rsidRPr="00874DA8" w:rsidRDefault="00704507" w:rsidP="004C6091">
      <w:pPr>
        <w:autoSpaceDE w:val="0"/>
        <w:autoSpaceDN w:val="0"/>
        <w:adjustRightInd w:val="0"/>
        <w:spacing w:after="0" w:line="240" w:lineRule="auto"/>
        <w:jc w:val="both"/>
        <w:rPr>
          <w:rFonts w:ascii="Book Antiqua" w:hAnsi="Book Antiqua" w:cs="TimesLTStd-Roman"/>
          <w:sz w:val="24"/>
          <w:szCs w:val="24"/>
        </w:rPr>
      </w:pPr>
      <w:r w:rsidRPr="00874DA8">
        <w:rPr>
          <w:rFonts w:ascii="Book Antiqua" w:hAnsi="Book Antiqua" w:cs="TimesLTStd-Bold"/>
          <w:b/>
          <w:bCs/>
          <w:sz w:val="24"/>
          <w:szCs w:val="24"/>
        </w:rPr>
        <w:t xml:space="preserve">Stockholders’ equity </w:t>
      </w:r>
      <w:r w:rsidRPr="00874DA8">
        <w:rPr>
          <w:rFonts w:ascii="Book Antiqua" w:hAnsi="Book Antiqua" w:cs="TimesLTStd-Roman"/>
          <w:sz w:val="24"/>
          <w:szCs w:val="24"/>
        </w:rPr>
        <w:t xml:space="preserve">(also called </w:t>
      </w:r>
      <w:r w:rsidRPr="00874DA8">
        <w:rPr>
          <w:rFonts w:ascii="Book Antiqua" w:hAnsi="Book Antiqua" w:cs="TimesLTStd-Bold"/>
          <w:b/>
          <w:bCs/>
          <w:sz w:val="24"/>
          <w:szCs w:val="24"/>
        </w:rPr>
        <w:t xml:space="preserve">owners’ equity </w:t>
      </w:r>
      <w:r w:rsidRPr="00874DA8">
        <w:rPr>
          <w:rFonts w:ascii="Book Antiqua" w:hAnsi="Book Antiqua" w:cs="TimesLTStd-Roman"/>
          <w:sz w:val="24"/>
          <w:szCs w:val="24"/>
        </w:rPr>
        <w:t xml:space="preserve">or </w:t>
      </w:r>
      <w:r w:rsidRPr="00874DA8">
        <w:rPr>
          <w:rFonts w:ascii="Book Antiqua" w:hAnsi="Book Antiqua" w:cs="TimesLTStd-Bold"/>
          <w:b/>
          <w:bCs/>
          <w:sz w:val="24"/>
          <w:szCs w:val="24"/>
        </w:rPr>
        <w:t>shareholders’ equity)</w:t>
      </w:r>
      <w:r w:rsidRPr="00874DA8">
        <w:rPr>
          <w:rFonts w:ascii="Book Antiqua" w:hAnsi="Book Antiqua" w:cs="TimesLTStd-Roman"/>
          <w:sz w:val="24"/>
          <w:szCs w:val="24"/>
        </w:rPr>
        <w:t xml:space="preserve"> is the financing provided by the owners and by business operations. Owner-provided cash (and sometimes other assets) is referred to as </w:t>
      </w:r>
      <w:r w:rsidRPr="00874DA8">
        <w:rPr>
          <w:rFonts w:ascii="Book Antiqua" w:hAnsi="Book Antiqua" w:cs="TimesLTStd-Bold"/>
          <w:b/>
          <w:bCs/>
          <w:sz w:val="24"/>
          <w:szCs w:val="24"/>
        </w:rPr>
        <w:t xml:space="preserve">contributed capital. </w:t>
      </w:r>
      <w:r w:rsidRPr="00874DA8">
        <w:rPr>
          <w:rFonts w:ascii="Book Antiqua" w:hAnsi="Book Antiqua" w:cs="TimesLTStd-Roman"/>
          <w:sz w:val="24"/>
          <w:szCs w:val="24"/>
        </w:rPr>
        <w:t xml:space="preserve">Owners invest in the business and receive shares of stock as evidence of ownership. Mutual funds, pension funds, corporate employees, directors, and the general public may purchase and hold stock. Owners who invest (or buy stock) in a company hope to benefit from their investment in two ways: receipts of </w:t>
      </w:r>
      <w:r w:rsidRPr="00874DA8">
        <w:rPr>
          <w:rFonts w:ascii="Book Antiqua" w:hAnsi="Book Antiqua" w:cs="TimesLTStd-Bold"/>
          <w:b/>
          <w:bCs/>
          <w:sz w:val="24"/>
          <w:szCs w:val="24"/>
        </w:rPr>
        <w:t xml:space="preserve">dividends, </w:t>
      </w:r>
      <w:r w:rsidRPr="00874DA8">
        <w:rPr>
          <w:rFonts w:ascii="Book Antiqua" w:hAnsi="Book Antiqua" w:cs="TimesLTStd-Roman"/>
          <w:sz w:val="24"/>
          <w:szCs w:val="24"/>
        </w:rPr>
        <w:t xml:space="preserve">which are a distribution of a company’s earnings (a return on the shareholders’ investment), and gains from selling the stock for more than they paid (known as </w:t>
      </w:r>
      <w:r w:rsidRPr="00874DA8">
        <w:rPr>
          <w:rFonts w:ascii="Book Antiqua" w:hAnsi="Book Antiqua" w:cs="TimesLTStd-Bold"/>
          <w:b/>
          <w:bCs/>
          <w:sz w:val="24"/>
          <w:szCs w:val="24"/>
        </w:rPr>
        <w:t>capital</w:t>
      </w:r>
      <w:r w:rsidRPr="00874DA8">
        <w:rPr>
          <w:rFonts w:ascii="Book Antiqua" w:hAnsi="Book Antiqua" w:cs="TimesLTStd-Roman"/>
          <w:sz w:val="24"/>
          <w:szCs w:val="24"/>
        </w:rPr>
        <w:t xml:space="preserve"> </w:t>
      </w:r>
      <w:r w:rsidR="001B7324" w:rsidRPr="00874DA8">
        <w:rPr>
          <w:rFonts w:ascii="Book Antiqua" w:hAnsi="Book Antiqua" w:cs="TimesLTStd-Bold"/>
          <w:b/>
          <w:bCs/>
          <w:sz w:val="24"/>
          <w:szCs w:val="24"/>
        </w:rPr>
        <w:t>gains)</w:t>
      </w:r>
      <w:r w:rsidRPr="00874DA8">
        <w:rPr>
          <w:rFonts w:ascii="Book Antiqua" w:hAnsi="Book Antiqua" w:cs="TimesLTStd-Roman"/>
          <w:sz w:val="24"/>
          <w:szCs w:val="24"/>
        </w:rPr>
        <w:t xml:space="preserve">. Earnings that are not distributed to the owners but instead are reinvested in the business by management are called </w:t>
      </w:r>
      <w:r w:rsidRPr="00874DA8">
        <w:rPr>
          <w:rFonts w:ascii="Book Antiqua" w:hAnsi="Book Antiqua" w:cs="TimesLTStd-Bold"/>
          <w:b/>
          <w:bCs/>
          <w:sz w:val="24"/>
          <w:szCs w:val="24"/>
        </w:rPr>
        <w:t xml:space="preserve">retained earnings. </w:t>
      </w:r>
      <w:r w:rsidRPr="00874DA8">
        <w:rPr>
          <w:rFonts w:ascii="Book Antiqua" w:hAnsi="Book Antiqua" w:cs="TimesLTStd-Roman"/>
          <w:sz w:val="24"/>
          <w:szCs w:val="24"/>
        </w:rPr>
        <w:t xml:space="preserve">Companies with a growth strategy often pay little or no dividends to retain funds for expansion. </w:t>
      </w:r>
      <w:r w:rsidR="001B7324" w:rsidRPr="00874DA8">
        <w:rPr>
          <w:rFonts w:ascii="Book Antiqua" w:hAnsi="Book Antiqua" w:cs="TimesLTStd-Roman"/>
          <w:sz w:val="24"/>
          <w:szCs w:val="24"/>
        </w:rPr>
        <w:t xml:space="preserve"> Thus stockholders equity comprises of contributed capital and retained earnings.</w:t>
      </w:r>
    </w:p>
    <w:p w:rsidR="001B7324" w:rsidRPr="00874DA8" w:rsidRDefault="001B7324" w:rsidP="004C6091">
      <w:pPr>
        <w:autoSpaceDE w:val="0"/>
        <w:autoSpaceDN w:val="0"/>
        <w:adjustRightInd w:val="0"/>
        <w:spacing w:after="0" w:line="240" w:lineRule="auto"/>
        <w:jc w:val="both"/>
        <w:rPr>
          <w:rFonts w:ascii="Book Antiqua" w:hAnsi="Book Antiqua" w:cs="TimesLTStd-Roman"/>
          <w:sz w:val="24"/>
          <w:szCs w:val="24"/>
        </w:rPr>
      </w:pPr>
    </w:p>
    <w:p w:rsidR="001B7324" w:rsidRPr="00874DA8" w:rsidRDefault="001B7324" w:rsidP="004C6091">
      <w:pPr>
        <w:autoSpaceDE w:val="0"/>
        <w:autoSpaceDN w:val="0"/>
        <w:adjustRightInd w:val="0"/>
        <w:spacing w:after="0" w:line="240" w:lineRule="auto"/>
        <w:jc w:val="both"/>
        <w:rPr>
          <w:rFonts w:ascii="Book Antiqua" w:hAnsi="Book Antiqua" w:cs="TimesLTStd-Roman"/>
          <w:sz w:val="24"/>
          <w:szCs w:val="24"/>
        </w:rPr>
      </w:pPr>
      <w:r w:rsidRPr="00874DA8">
        <w:rPr>
          <w:rFonts w:ascii="Book Antiqua" w:hAnsi="Book Antiqua" w:cs="TimesLTStd-Roman"/>
          <w:sz w:val="24"/>
          <w:szCs w:val="24"/>
        </w:rPr>
        <w:t xml:space="preserve">NB: the normal account balance for liabilities (including capital) is credit. That is, the credit side is usually larger than the debit side. </w:t>
      </w:r>
    </w:p>
    <w:p w:rsidR="001B7324" w:rsidRPr="00874DA8" w:rsidRDefault="001B7324" w:rsidP="004C6091">
      <w:pPr>
        <w:autoSpaceDE w:val="0"/>
        <w:autoSpaceDN w:val="0"/>
        <w:adjustRightInd w:val="0"/>
        <w:spacing w:after="0" w:line="240" w:lineRule="auto"/>
        <w:jc w:val="both"/>
        <w:rPr>
          <w:rFonts w:ascii="Book Antiqua" w:hAnsi="Book Antiqua" w:cs="TimesLTStd-Roman"/>
          <w:sz w:val="24"/>
          <w:szCs w:val="24"/>
        </w:rPr>
      </w:pPr>
    </w:p>
    <w:p w:rsidR="00874DA8" w:rsidRDefault="00874DA8" w:rsidP="004C6091">
      <w:pPr>
        <w:autoSpaceDE w:val="0"/>
        <w:autoSpaceDN w:val="0"/>
        <w:adjustRightInd w:val="0"/>
        <w:spacing w:after="0" w:line="240" w:lineRule="auto"/>
        <w:jc w:val="both"/>
        <w:rPr>
          <w:rFonts w:ascii="Book Antiqua" w:hAnsi="Book Antiqua" w:cs="TimesLTStd-Bold"/>
          <w:b/>
          <w:bCs/>
          <w:sz w:val="24"/>
          <w:szCs w:val="24"/>
        </w:rPr>
      </w:pPr>
    </w:p>
    <w:p w:rsidR="00874DA8" w:rsidRDefault="00874DA8" w:rsidP="004C6091">
      <w:pPr>
        <w:autoSpaceDE w:val="0"/>
        <w:autoSpaceDN w:val="0"/>
        <w:adjustRightInd w:val="0"/>
        <w:spacing w:after="0" w:line="240" w:lineRule="auto"/>
        <w:jc w:val="both"/>
        <w:rPr>
          <w:rFonts w:ascii="Book Antiqua" w:hAnsi="Book Antiqua" w:cs="TimesLTStd-Bold"/>
          <w:b/>
          <w:bCs/>
          <w:sz w:val="24"/>
          <w:szCs w:val="24"/>
        </w:rPr>
      </w:pPr>
    </w:p>
    <w:p w:rsidR="00874DA8" w:rsidRDefault="00874DA8" w:rsidP="004C6091">
      <w:pPr>
        <w:autoSpaceDE w:val="0"/>
        <w:autoSpaceDN w:val="0"/>
        <w:adjustRightInd w:val="0"/>
        <w:spacing w:after="0" w:line="240" w:lineRule="auto"/>
        <w:jc w:val="both"/>
        <w:rPr>
          <w:rFonts w:ascii="Book Antiqua" w:hAnsi="Book Antiqua" w:cs="TimesLTStd-Bold"/>
          <w:b/>
          <w:bCs/>
          <w:sz w:val="24"/>
          <w:szCs w:val="24"/>
        </w:rPr>
      </w:pPr>
    </w:p>
    <w:p w:rsidR="00874DA8" w:rsidRDefault="00874DA8" w:rsidP="004C6091">
      <w:pPr>
        <w:autoSpaceDE w:val="0"/>
        <w:autoSpaceDN w:val="0"/>
        <w:adjustRightInd w:val="0"/>
        <w:spacing w:after="0" w:line="240" w:lineRule="auto"/>
        <w:jc w:val="both"/>
        <w:rPr>
          <w:rFonts w:ascii="Book Antiqua" w:hAnsi="Book Antiqua" w:cs="TimesLTStd-Bold"/>
          <w:b/>
          <w:bCs/>
          <w:sz w:val="24"/>
          <w:szCs w:val="24"/>
        </w:rPr>
      </w:pPr>
    </w:p>
    <w:p w:rsidR="001B7324" w:rsidRPr="00874DA8" w:rsidRDefault="001B7324" w:rsidP="004C6091">
      <w:pPr>
        <w:autoSpaceDE w:val="0"/>
        <w:autoSpaceDN w:val="0"/>
        <w:adjustRightInd w:val="0"/>
        <w:spacing w:after="0" w:line="240" w:lineRule="auto"/>
        <w:jc w:val="both"/>
        <w:rPr>
          <w:rFonts w:ascii="Book Antiqua" w:hAnsi="Book Antiqua" w:cs="TimesLTStd-Bold"/>
          <w:b/>
          <w:bCs/>
          <w:sz w:val="24"/>
          <w:szCs w:val="24"/>
        </w:rPr>
      </w:pPr>
      <w:r w:rsidRPr="00874DA8">
        <w:rPr>
          <w:rFonts w:ascii="Book Antiqua" w:hAnsi="Book Antiqua" w:cs="TimesLTStd-Bold"/>
          <w:b/>
          <w:bCs/>
          <w:sz w:val="24"/>
          <w:szCs w:val="24"/>
        </w:rPr>
        <w:lastRenderedPageBreak/>
        <w:t>REVENUE</w:t>
      </w:r>
      <w:r w:rsidR="00B57506" w:rsidRPr="00874DA8">
        <w:rPr>
          <w:rFonts w:ascii="Book Antiqua" w:hAnsi="Book Antiqua" w:cs="TimesLTStd-Bold"/>
          <w:b/>
          <w:bCs/>
          <w:sz w:val="24"/>
          <w:szCs w:val="24"/>
        </w:rPr>
        <w:t>/ INCOME</w:t>
      </w:r>
    </w:p>
    <w:p w:rsidR="001B7324" w:rsidRPr="00874DA8" w:rsidRDefault="001B7324" w:rsidP="004C6091">
      <w:pPr>
        <w:autoSpaceDE w:val="0"/>
        <w:autoSpaceDN w:val="0"/>
        <w:adjustRightInd w:val="0"/>
        <w:spacing w:after="0" w:line="240" w:lineRule="auto"/>
        <w:jc w:val="both"/>
        <w:rPr>
          <w:rFonts w:ascii="Book Antiqua" w:hAnsi="Book Antiqua" w:cs="TimesLTStd-Roman"/>
          <w:sz w:val="24"/>
          <w:szCs w:val="24"/>
        </w:rPr>
      </w:pPr>
      <w:r w:rsidRPr="00874DA8">
        <w:rPr>
          <w:rFonts w:ascii="Book Antiqua" w:hAnsi="Book Antiqua" w:cs="TimesLTStd-Bold"/>
          <w:b/>
          <w:bCs/>
          <w:sz w:val="24"/>
          <w:szCs w:val="24"/>
        </w:rPr>
        <w:t xml:space="preserve">Revenues </w:t>
      </w:r>
      <w:r w:rsidRPr="00874DA8">
        <w:rPr>
          <w:rFonts w:ascii="Book Antiqua" w:hAnsi="Book Antiqua" w:cs="TimesLTStd-Roman"/>
          <w:sz w:val="24"/>
          <w:szCs w:val="24"/>
        </w:rPr>
        <w:t xml:space="preserve">are defined as increases in assets or settlements of liabilities from </w:t>
      </w:r>
      <w:r w:rsidRPr="00874DA8">
        <w:rPr>
          <w:rFonts w:ascii="Book Antiqua" w:hAnsi="Book Antiqua" w:cs="TimesLTStd-Bold"/>
          <w:b/>
          <w:bCs/>
          <w:sz w:val="24"/>
          <w:szCs w:val="24"/>
        </w:rPr>
        <w:t xml:space="preserve">ongoing operations </w:t>
      </w:r>
      <w:r w:rsidRPr="00874DA8">
        <w:rPr>
          <w:rFonts w:ascii="Book Antiqua" w:hAnsi="Book Antiqua" w:cs="TimesLTStd-Roman"/>
          <w:sz w:val="24"/>
          <w:szCs w:val="24"/>
        </w:rPr>
        <w:t xml:space="preserve">of the business. Operating revenues result from the sale of goods or services. </w:t>
      </w:r>
    </w:p>
    <w:p w:rsidR="001B7324" w:rsidRPr="00874DA8" w:rsidRDefault="001B7324" w:rsidP="004C6091">
      <w:pPr>
        <w:autoSpaceDE w:val="0"/>
        <w:autoSpaceDN w:val="0"/>
        <w:adjustRightInd w:val="0"/>
        <w:spacing w:after="0" w:line="240" w:lineRule="auto"/>
        <w:jc w:val="both"/>
        <w:rPr>
          <w:rFonts w:ascii="Book Antiqua" w:hAnsi="Book Antiqua" w:cs="TimesLTStd-Roman"/>
          <w:sz w:val="24"/>
          <w:szCs w:val="24"/>
        </w:rPr>
      </w:pPr>
    </w:p>
    <w:p w:rsidR="005F5836" w:rsidRPr="00874DA8" w:rsidRDefault="001B7324" w:rsidP="004C6091">
      <w:pPr>
        <w:autoSpaceDE w:val="0"/>
        <w:autoSpaceDN w:val="0"/>
        <w:adjustRightInd w:val="0"/>
        <w:spacing w:after="0" w:line="240" w:lineRule="auto"/>
        <w:jc w:val="both"/>
        <w:rPr>
          <w:rFonts w:ascii="Book Antiqua" w:hAnsi="Book Antiqua" w:cs="TimesLTStd-Roman"/>
          <w:sz w:val="24"/>
          <w:szCs w:val="24"/>
        </w:rPr>
      </w:pPr>
      <w:r w:rsidRPr="00874DA8">
        <w:rPr>
          <w:rFonts w:ascii="Book Antiqua" w:hAnsi="Book Antiqua" w:cs="TimesLTStd-Roman"/>
          <w:sz w:val="24"/>
          <w:szCs w:val="24"/>
        </w:rPr>
        <w:t>When revenue is earned, assets, usually Cash or Accounts Receivable, often increase. Sometimes if a customer pays for goods or services in advance, a liability account, usually Unearned (or Deferred) Revenue, is created. At this point, no revenue has been earned. There is simply a receipt of cash in exchange for a promise to provide a good or service in the future. When the company provides the promised goods or services to the customer, the revenue is recognized and the liability settled.</w:t>
      </w:r>
    </w:p>
    <w:p w:rsidR="001B7324" w:rsidRPr="00874DA8" w:rsidRDefault="001B7324" w:rsidP="004C6091">
      <w:pPr>
        <w:autoSpaceDE w:val="0"/>
        <w:autoSpaceDN w:val="0"/>
        <w:adjustRightInd w:val="0"/>
        <w:spacing w:after="0" w:line="240" w:lineRule="auto"/>
        <w:jc w:val="both"/>
        <w:rPr>
          <w:rFonts w:ascii="Book Antiqua" w:hAnsi="Book Antiqua" w:cs="TimesLTStd-Roman"/>
          <w:sz w:val="24"/>
          <w:szCs w:val="24"/>
        </w:rPr>
      </w:pPr>
    </w:p>
    <w:p w:rsidR="001B7324" w:rsidRPr="00874DA8" w:rsidRDefault="001B7324" w:rsidP="004C6091">
      <w:pPr>
        <w:autoSpaceDE w:val="0"/>
        <w:autoSpaceDN w:val="0"/>
        <w:adjustRightInd w:val="0"/>
        <w:spacing w:after="0" w:line="240" w:lineRule="auto"/>
        <w:jc w:val="both"/>
        <w:rPr>
          <w:rFonts w:ascii="Book Antiqua" w:hAnsi="Book Antiqua" w:cs="TimesLTStd-Roman"/>
          <w:sz w:val="24"/>
          <w:szCs w:val="24"/>
        </w:rPr>
      </w:pPr>
      <w:r w:rsidRPr="00874DA8">
        <w:rPr>
          <w:rFonts w:ascii="Book Antiqua" w:hAnsi="Book Antiqua" w:cs="TimesLTStd-Roman"/>
          <w:sz w:val="24"/>
          <w:szCs w:val="24"/>
        </w:rPr>
        <w:t xml:space="preserve">Note that revenue can either be operating revenue or other revenue. When a company that deals in motor vehicles sells a car that is operating revenue. When the same company receives dividends from shares of stock in a company, then that is not operating revenue, but </w:t>
      </w:r>
      <w:r w:rsidR="00D731D6" w:rsidRPr="00874DA8">
        <w:rPr>
          <w:rFonts w:ascii="Book Antiqua" w:hAnsi="Book Antiqua" w:cs="TimesLTStd-Roman"/>
          <w:sz w:val="24"/>
          <w:szCs w:val="24"/>
        </w:rPr>
        <w:t xml:space="preserve">rather </w:t>
      </w:r>
      <w:r w:rsidRPr="00874DA8">
        <w:rPr>
          <w:rFonts w:ascii="Book Antiqua" w:hAnsi="Book Antiqua" w:cs="TimesLTStd-Roman"/>
          <w:sz w:val="24"/>
          <w:szCs w:val="24"/>
        </w:rPr>
        <w:t>other revenue.</w:t>
      </w:r>
    </w:p>
    <w:p w:rsidR="00B57506" w:rsidRPr="00874DA8" w:rsidRDefault="00B57506" w:rsidP="004C6091">
      <w:pPr>
        <w:autoSpaceDE w:val="0"/>
        <w:autoSpaceDN w:val="0"/>
        <w:adjustRightInd w:val="0"/>
        <w:spacing w:after="0" w:line="240" w:lineRule="auto"/>
        <w:jc w:val="both"/>
        <w:rPr>
          <w:rFonts w:ascii="Book Antiqua" w:hAnsi="Book Antiqua" w:cs="TimesLTStd-Roman"/>
          <w:sz w:val="24"/>
          <w:szCs w:val="24"/>
        </w:rPr>
      </w:pPr>
    </w:p>
    <w:p w:rsidR="00B57506" w:rsidRPr="00874DA8" w:rsidRDefault="00B57506" w:rsidP="004C6091">
      <w:pPr>
        <w:autoSpaceDE w:val="0"/>
        <w:autoSpaceDN w:val="0"/>
        <w:adjustRightInd w:val="0"/>
        <w:spacing w:after="0" w:line="240" w:lineRule="auto"/>
        <w:jc w:val="both"/>
        <w:rPr>
          <w:rFonts w:ascii="Book Antiqua" w:hAnsi="Book Antiqua" w:cs="UniversLTStd-Bold"/>
          <w:b/>
          <w:bCs/>
          <w:sz w:val="24"/>
          <w:szCs w:val="24"/>
        </w:rPr>
      </w:pPr>
      <w:r w:rsidRPr="00874DA8">
        <w:rPr>
          <w:rFonts w:ascii="Book Antiqua" w:hAnsi="Book Antiqua" w:cs="UniversLTStd-Bold"/>
          <w:b/>
          <w:bCs/>
          <w:sz w:val="24"/>
          <w:szCs w:val="24"/>
        </w:rPr>
        <w:t>Operating Expenses</w:t>
      </w:r>
    </w:p>
    <w:p w:rsidR="00B57506" w:rsidRPr="00874DA8" w:rsidRDefault="00B57506" w:rsidP="004C6091">
      <w:pPr>
        <w:autoSpaceDE w:val="0"/>
        <w:autoSpaceDN w:val="0"/>
        <w:adjustRightInd w:val="0"/>
        <w:spacing w:after="0" w:line="240" w:lineRule="auto"/>
        <w:jc w:val="both"/>
        <w:rPr>
          <w:rFonts w:ascii="Book Antiqua" w:hAnsi="Book Antiqua" w:cs="TimesLTStd-Bold"/>
          <w:b/>
          <w:bCs/>
          <w:sz w:val="24"/>
          <w:szCs w:val="24"/>
        </w:rPr>
      </w:pPr>
      <w:r w:rsidRPr="00874DA8">
        <w:rPr>
          <w:rFonts w:ascii="Book Antiqua" w:hAnsi="Book Antiqua" w:cs="TimesLTStd-Roman"/>
          <w:sz w:val="24"/>
          <w:szCs w:val="24"/>
        </w:rPr>
        <w:t xml:space="preserve">Some confuse the terms </w:t>
      </w:r>
      <w:r w:rsidRPr="00874DA8">
        <w:rPr>
          <w:rFonts w:ascii="Book Antiqua" w:hAnsi="Book Antiqua" w:cs="TimesLTStd-Bold"/>
          <w:b/>
          <w:bCs/>
          <w:sz w:val="24"/>
          <w:szCs w:val="24"/>
        </w:rPr>
        <w:t xml:space="preserve">expenditures </w:t>
      </w:r>
      <w:r w:rsidRPr="00874DA8">
        <w:rPr>
          <w:rFonts w:ascii="Book Antiqua" w:hAnsi="Book Antiqua" w:cs="TimesLTStd-Roman"/>
          <w:sz w:val="24"/>
          <w:szCs w:val="24"/>
        </w:rPr>
        <w:t xml:space="preserve">and </w:t>
      </w:r>
      <w:r w:rsidRPr="00874DA8">
        <w:rPr>
          <w:rFonts w:ascii="Book Antiqua" w:hAnsi="Book Antiqua" w:cs="TimesLTStd-Bold"/>
          <w:b/>
          <w:bCs/>
          <w:sz w:val="24"/>
          <w:szCs w:val="24"/>
        </w:rPr>
        <w:t xml:space="preserve">expenses. </w:t>
      </w:r>
      <w:r w:rsidRPr="00874DA8">
        <w:rPr>
          <w:rFonts w:ascii="Book Antiqua" w:hAnsi="Book Antiqua" w:cs="TimesLTStd-Roman"/>
          <w:sz w:val="24"/>
          <w:szCs w:val="24"/>
        </w:rPr>
        <w:t xml:space="preserve">Expenditure is any outflow of cash for any purpose, whether to buy equipment, pay off a bank loan, or pay employees their wages. </w:t>
      </w:r>
      <w:r w:rsidRPr="00874DA8">
        <w:rPr>
          <w:rFonts w:ascii="Book Antiqua" w:hAnsi="Book Antiqua" w:cs="TimesLTStd-Bold"/>
          <w:b/>
          <w:bCs/>
          <w:sz w:val="24"/>
          <w:szCs w:val="24"/>
        </w:rPr>
        <w:t xml:space="preserve">Expenses </w:t>
      </w:r>
      <w:r w:rsidRPr="00874DA8">
        <w:rPr>
          <w:rFonts w:ascii="Book Antiqua" w:hAnsi="Book Antiqua" w:cs="TimesLTStd-Roman"/>
          <w:sz w:val="24"/>
          <w:szCs w:val="24"/>
        </w:rPr>
        <w:t xml:space="preserve">are decreases in assets or increases in liabilities from </w:t>
      </w:r>
      <w:r w:rsidRPr="00874DA8">
        <w:rPr>
          <w:rFonts w:ascii="Book Antiqua" w:hAnsi="Book Antiqua" w:cs="TimesLTStd-Bold"/>
          <w:b/>
          <w:bCs/>
          <w:sz w:val="24"/>
          <w:szCs w:val="24"/>
        </w:rPr>
        <w:t>ongoing operations</w:t>
      </w:r>
      <w:r w:rsidRPr="00874DA8">
        <w:rPr>
          <w:rFonts w:ascii="Book Antiqua" w:hAnsi="Book Antiqua" w:cs="TimesLTStd-Roman"/>
          <w:sz w:val="24"/>
          <w:szCs w:val="24"/>
        </w:rPr>
        <w:t xml:space="preserve"> incurred to generate revenues during the period. Therefore, while </w:t>
      </w:r>
      <w:r w:rsidRPr="00874DA8">
        <w:rPr>
          <w:rFonts w:ascii="Book Antiqua" w:hAnsi="Book Antiqua" w:cs="TimesLTStd-Bold"/>
          <w:b/>
          <w:bCs/>
          <w:sz w:val="24"/>
          <w:szCs w:val="24"/>
        </w:rPr>
        <w:t>not all cash expenditures</w:t>
      </w:r>
      <w:r w:rsidRPr="00874DA8">
        <w:rPr>
          <w:rFonts w:ascii="Book Antiqua" w:hAnsi="Book Antiqua" w:cs="TimesLTStd-Roman"/>
          <w:sz w:val="24"/>
          <w:szCs w:val="24"/>
        </w:rPr>
        <w:t xml:space="preserve"> </w:t>
      </w:r>
      <w:r w:rsidRPr="00874DA8">
        <w:rPr>
          <w:rFonts w:ascii="Book Antiqua" w:hAnsi="Book Antiqua" w:cs="TimesLTStd-Bold"/>
          <w:b/>
          <w:bCs/>
          <w:sz w:val="24"/>
          <w:szCs w:val="24"/>
        </w:rPr>
        <w:t>are expenses, expenses are necessary to generate revenues.</w:t>
      </w:r>
    </w:p>
    <w:p w:rsidR="00B57506" w:rsidRPr="00874DA8" w:rsidRDefault="00B57506" w:rsidP="004C6091">
      <w:pPr>
        <w:autoSpaceDE w:val="0"/>
        <w:autoSpaceDN w:val="0"/>
        <w:adjustRightInd w:val="0"/>
        <w:spacing w:after="0" w:line="240" w:lineRule="auto"/>
        <w:jc w:val="both"/>
        <w:rPr>
          <w:rFonts w:ascii="Book Antiqua" w:hAnsi="Book Antiqua" w:cs="TimesLTStd-Roman"/>
          <w:sz w:val="24"/>
          <w:szCs w:val="24"/>
        </w:rPr>
      </w:pPr>
    </w:p>
    <w:p w:rsidR="00B57506" w:rsidRPr="00874DA8" w:rsidRDefault="00B57506" w:rsidP="004C6091">
      <w:pPr>
        <w:autoSpaceDE w:val="0"/>
        <w:autoSpaceDN w:val="0"/>
        <w:adjustRightInd w:val="0"/>
        <w:spacing w:after="0" w:line="240" w:lineRule="auto"/>
        <w:jc w:val="both"/>
        <w:rPr>
          <w:rFonts w:ascii="Book Antiqua" w:hAnsi="Book Antiqua" w:cs="TimesLTStd-Roman"/>
          <w:sz w:val="24"/>
          <w:szCs w:val="24"/>
        </w:rPr>
      </w:pPr>
      <w:r w:rsidRPr="00874DA8">
        <w:rPr>
          <w:rFonts w:ascii="Book Antiqua" w:hAnsi="Book Antiqua" w:cs="TimesLTStd-Roman"/>
          <w:sz w:val="24"/>
          <w:szCs w:val="24"/>
        </w:rPr>
        <w:t>The following are some primary operating expenses:</w:t>
      </w:r>
    </w:p>
    <w:p w:rsidR="00B57506" w:rsidRPr="00874DA8" w:rsidRDefault="00B57506" w:rsidP="004C6091">
      <w:pPr>
        <w:autoSpaceDE w:val="0"/>
        <w:autoSpaceDN w:val="0"/>
        <w:adjustRightInd w:val="0"/>
        <w:spacing w:after="0" w:line="240" w:lineRule="auto"/>
        <w:jc w:val="both"/>
        <w:rPr>
          <w:rFonts w:ascii="Book Antiqua" w:hAnsi="Book Antiqua" w:cs="TimesLTStd-Roman"/>
          <w:sz w:val="24"/>
          <w:szCs w:val="24"/>
        </w:rPr>
      </w:pPr>
      <w:r w:rsidRPr="00874DA8">
        <w:rPr>
          <w:rFonts w:ascii="Book Antiqua" w:hAnsi="Book Antiqua" w:cs="TimesLTStd-Bold"/>
          <w:b/>
          <w:bCs/>
          <w:sz w:val="24"/>
          <w:szCs w:val="24"/>
        </w:rPr>
        <w:t>Cost of Sales</w:t>
      </w:r>
    </w:p>
    <w:p w:rsidR="00B57506" w:rsidRPr="00874DA8" w:rsidRDefault="00B57506" w:rsidP="004C6091">
      <w:pPr>
        <w:autoSpaceDE w:val="0"/>
        <w:autoSpaceDN w:val="0"/>
        <w:adjustRightInd w:val="0"/>
        <w:spacing w:after="0" w:line="240" w:lineRule="auto"/>
        <w:jc w:val="both"/>
        <w:rPr>
          <w:rFonts w:ascii="Book Antiqua" w:hAnsi="Book Antiqua" w:cs="TimesLTStd-Roman"/>
          <w:sz w:val="24"/>
          <w:szCs w:val="24"/>
        </w:rPr>
      </w:pPr>
      <w:r w:rsidRPr="00874DA8">
        <w:rPr>
          <w:rFonts w:ascii="Book Antiqua" w:hAnsi="Book Antiqua" w:cs="TimesLTStd-Roman"/>
          <w:sz w:val="24"/>
          <w:szCs w:val="24"/>
        </w:rPr>
        <w:t>In companies with a manufacturing or merchandising focus, Cost of Goods Sold (or Cost of Sales) representing the cost of inventory used in generating sales is usually the most significant expense.</w:t>
      </w:r>
    </w:p>
    <w:p w:rsidR="0024255F" w:rsidRPr="00874DA8" w:rsidRDefault="00B57506" w:rsidP="004C6091">
      <w:pPr>
        <w:autoSpaceDE w:val="0"/>
        <w:autoSpaceDN w:val="0"/>
        <w:adjustRightInd w:val="0"/>
        <w:spacing w:after="0" w:line="240" w:lineRule="auto"/>
        <w:jc w:val="both"/>
        <w:rPr>
          <w:rFonts w:ascii="Book Antiqua" w:hAnsi="Book Antiqua" w:cs="TimesLTStd-Bold"/>
          <w:b/>
          <w:bCs/>
          <w:sz w:val="24"/>
          <w:szCs w:val="24"/>
        </w:rPr>
      </w:pPr>
      <w:r w:rsidRPr="00874DA8">
        <w:rPr>
          <w:rFonts w:ascii="Book Antiqua" w:hAnsi="Book Antiqua" w:cs="TimesLTStd-Bold"/>
          <w:b/>
          <w:bCs/>
          <w:sz w:val="24"/>
          <w:szCs w:val="24"/>
        </w:rPr>
        <w:t>Salaries Expense</w:t>
      </w:r>
    </w:p>
    <w:p w:rsidR="00B57506" w:rsidRPr="00874DA8" w:rsidRDefault="00B57506" w:rsidP="004C6091">
      <w:pPr>
        <w:autoSpaceDE w:val="0"/>
        <w:autoSpaceDN w:val="0"/>
        <w:adjustRightInd w:val="0"/>
        <w:spacing w:after="0" w:line="240" w:lineRule="auto"/>
        <w:jc w:val="both"/>
        <w:rPr>
          <w:rFonts w:ascii="Book Antiqua" w:hAnsi="Book Antiqua" w:cs="TimesLTStd-Roman"/>
          <w:sz w:val="24"/>
          <w:szCs w:val="24"/>
        </w:rPr>
      </w:pPr>
      <w:r w:rsidRPr="00874DA8">
        <w:rPr>
          <w:rFonts w:ascii="Book Antiqua" w:hAnsi="Book Antiqua" w:cs="TimesLTStd-Roman"/>
          <w:sz w:val="24"/>
          <w:szCs w:val="24"/>
        </w:rPr>
        <w:t>When employees work, the company incurs an expense, although salaries will be paid later. In purely service-oriented companies in which no products are produced or sold, the cost of using employees to generate revenues is usually the largest expense.</w:t>
      </w:r>
    </w:p>
    <w:p w:rsidR="0024255F" w:rsidRPr="00874DA8" w:rsidRDefault="00B57506" w:rsidP="004C6091">
      <w:pPr>
        <w:autoSpaceDE w:val="0"/>
        <w:autoSpaceDN w:val="0"/>
        <w:adjustRightInd w:val="0"/>
        <w:spacing w:after="0" w:line="240" w:lineRule="auto"/>
        <w:jc w:val="both"/>
        <w:rPr>
          <w:rFonts w:ascii="Book Antiqua" w:hAnsi="Book Antiqua" w:cs="TimesLTStd-Bold"/>
          <w:b/>
          <w:bCs/>
          <w:sz w:val="24"/>
          <w:szCs w:val="24"/>
        </w:rPr>
      </w:pPr>
      <w:r w:rsidRPr="00874DA8">
        <w:rPr>
          <w:rFonts w:ascii="Book Antiqua" w:hAnsi="Book Antiqua" w:cs="TimesLTStd-Bold"/>
          <w:b/>
          <w:bCs/>
          <w:sz w:val="24"/>
          <w:szCs w:val="24"/>
        </w:rPr>
        <w:t>All other operating expenses</w:t>
      </w:r>
    </w:p>
    <w:p w:rsidR="00B57506" w:rsidRPr="00874DA8" w:rsidRDefault="00B57506" w:rsidP="004C6091">
      <w:pPr>
        <w:autoSpaceDE w:val="0"/>
        <w:autoSpaceDN w:val="0"/>
        <w:adjustRightInd w:val="0"/>
        <w:spacing w:after="0" w:line="240" w:lineRule="auto"/>
        <w:jc w:val="both"/>
        <w:rPr>
          <w:rFonts w:ascii="Book Antiqua" w:hAnsi="Book Antiqua" w:cs="TimesLTStd-Roman"/>
          <w:sz w:val="24"/>
          <w:szCs w:val="24"/>
        </w:rPr>
      </w:pPr>
      <w:r w:rsidRPr="00874DA8">
        <w:rPr>
          <w:rFonts w:ascii="Book Antiqua" w:hAnsi="Book Antiqua" w:cs="TimesLTStd-Roman"/>
          <w:sz w:val="24"/>
          <w:szCs w:val="24"/>
        </w:rPr>
        <w:t xml:space="preserve">The remaining large expenses include Rent Expense, Advertising Expense, General and Administrative Expenses (for insurance, executive salaries, and rental of headquarters facilities), and Depreciation Expense, reflecting the use of a part of long-lived assets such as buildings and equipment. </w:t>
      </w:r>
    </w:p>
    <w:p w:rsidR="00B57506" w:rsidRPr="00874DA8" w:rsidRDefault="00B57506" w:rsidP="004C6091">
      <w:pPr>
        <w:autoSpaceDE w:val="0"/>
        <w:autoSpaceDN w:val="0"/>
        <w:adjustRightInd w:val="0"/>
        <w:spacing w:after="0" w:line="240" w:lineRule="auto"/>
        <w:jc w:val="both"/>
        <w:rPr>
          <w:rFonts w:ascii="Book Antiqua" w:hAnsi="Book Antiqua" w:cs="TimesLTStd-Roman"/>
          <w:sz w:val="24"/>
          <w:szCs w:val="24"/>
        </w:rPr>
      </w:pPr>
    </w:p>
    <w:p w:rsidR="00B57506" w:rsidRPr="00874DA8" w:rsidRDefault="00B57506" w:rsidP="004C6091">
      <w:pPr>
        <w:autoSpaceDE w:val="0"/>
        <w:autoSpaceDN w:val="0"/>
        <w:adjustRightInd w:val="0"/>
        <w:spacing w:after="0" w:line="240" w:lineRule="auto"/>
        <w:jc w:val="both"/>
        <w:rPr>
          <w:rFonts w:ascii="Book Antiqua" w:hAnsi="Book Antiqua" w:cs="TimesLTStd-Roman"/>
          <w:sz w:val="24"/>
          <w:szCs w:val="24"/>
        </w:rPr>
      </w:pPr>
      <w:r w:rsidRPr="00874DA8">
        <w:rPr>
          <w:rFonts w:ascii="Book Antiqua" w:hAnsi="Book Antiqua" w:cs="TimesLTStd-Roman"/>
          <w:sz w:val="24"/>
          <w:szCs w:val="24"/>
        </w:rPr>
        <w:t xml:space="preserve">Subtracting operating expenses from operating revenues gives </w:t>
      </w:r>
      <w:r w:rsidRPr="00874DA8">
        <w:rPr>
          <w:rFonts w:ascii="Book Antiqua" w:hAnsi="Book Antiqua" w:cs="TimesLTStd-Bold"/>
          <w:b/>
          <w:bCs/>
          <w:sz w:val="24"/>
          <w:szCs w:val="24"/>
        </w:rPr>
        <w:t xml:space="preserve">Operating Income </w:t>
      </w:r>
      <w:r w:rsidRPr="00874DA8">
        <w:rPr>
          <w:rFonts w:ascii="Book Antiqua" w:hAnsi="Book Antiqua" w:cs="TimesLTStd-Roman"/>
          <w:sz w:val="24"/>
          <w:szCs w:val="24"/>
        </w:rPr>
        <w:t>(also called Income from Operations)—a measure of the profit from central ongoing operations.</w:t>
      </w:r>
    </w:p>
    <w:p w:rsidR="0024255F" w:rsidRPr="00874DA8" w:rsidRDefault="0024255F" w:rsidP="004C6091">
      <w:pPr>
        <w:autoSpaceDE w:val="0"/>
        <w:autoSpaceDN w:val="0"/>
        <w:adjustRightInd w:val="0"/>
        <w:spacing w:after="0" w:line="240" w:lineRule="auto"/>
        <w:jc w:val="both"/>
        <w:rPr>
          <w:rFonts w:ascii="Book Antiqua" w:hAnsi="Book Antiqua" w:cs="TimesLTStd-Roman"/>
          <w:sz w:val="24"/>
          <w:szCs w:val="24"/>
        </w:rPr>
      </w:pPr>
    </w:p>
    <w:p w:rsidR="00874DA8" w:rsidRDefault="00874DA8" w:rsidP="004C6091">
      <w:pPr>
        <w:autoSpaceDE w:val="0"/>
        <w:autoSpaceDN w:val="0"/>
        <w:adjustRightInd w:val="0"/>
        <w:spacing w:after="0" w:line="240" w:lineRule="auto"/>
        <w:jc w:val="both"/>
        <w:rPr>
          <w:rFonts w:ascii="Book Antiqua" w:hAnsi="Book Antiqua" w:cs="UniversLTStd-Bold"/>
          <w:b/>
          <w:bCs/>
          <w:sz w:val="24"/>
          <w:szCs w:val="24"/>
          <w:u w:val="single"/>
        </w:rPr>
      </w:pPr>
    </w:p>
    <w:p w:rsidR="00874DA8" w:rsidRDefault="00874DA8" w:rsidP="004C6091">
      <w:pPr>
        <w:autoSpaceDE w:val="0"/>
        <w:autoSpaceDN w:val="0"/>
        <w:adjustRightInd w:val="0"/>
        <w:spacing w:after="0" w:line="240" w:lineRule="auto"/>
        <w:jc w:val="both"/>
        <w:rPr>
          <w:rFonts w:ascii="Book Antiqua" w:hAnsi="Book Antiqua" w:cs="UniversLTStd-Bold"/>
          <w:b/>
          <w:bCs/>
          <w:sz w:val="24"/>
          <w:szCs w:val="24"/>
          <w:u w:val="single"/>
        </w:rPr>
      </w:pPr>
    </w:p>
    <w:p w:rsidR="0024255F" w:rsidRPr="00874DA8" w:rsidRDefault="0024255F" w:rsidP="004C6091">
      <w:pPr>
        <w:autoSpaceDE w:val="0"/>
        <w:autoSpaceDN w:val="0"/>
        <w:adjustRightInd w:val="0"/>
        <w:spacing w:after="0" w:line="240" w:lineRule="auto"/>
        <w:jc w:val="both"/>
        <w:rPr>
          <w:rFonts w:ascii="Book Antiqua" w:hAnsi="Book Antiqua" w:cs="UniversLTStd-Bold"/>
          <w:b/>
          <w:bCs/>
          <w:sz w:val="24"/>
          <w:szCs w:val="24"/>
          <w:u w:val="single"/>
        </w:rPr>
      </w:pPr>
      <w:r w:rsidRPr="00874DA8">
        <w:rPr>
          <w:rFonts w:ascii="Book Antiqua" w:hAnsi="Book Antiqua" w:cs="UniversLTStd-Bold"/>
          <w:b/>
          <w:bCs/>
          <w:sz w:val="24"/>
          <w:szCs w:val="24"/>
          <w:u w:val="single"/>
        </w:rPr>
        <w:lastRenderedPageBreak/>
        <w:t>Other Items</w:t>
      </w:r>
    </w:p>
    <w:p w:rsidR="0024255F" w:rsidRPr="00874DA8" w:rsidRDefault="0024255F" w:rsidP="004C6091">
      <w:pPr>
        <w:autoSpaceDE w:val="0"/>
        <w:autoSpaceDN w:val="0"/>
        <w:adjustRightInd w:val="0"/>
        <w:spacing w:after="0" w:line="240" w:lineRule="auto"/>
        <w:jc w:val="both"/>
        <w:rPr>
          <w:rFonts w:ascii="Book Antiqua" w:hAnsi="Book Antiqua" w:cs="TimesLTStd-Roman"/>
          <w:sz w:val="24"/>
          <w:szCs w:val="24"/>
        </w:rPr>
      </w:pPr>
      <w:r w:rsidRPr="00874DA8">
        <w:rPr>
          <w:rFonts w:ascii="Book Antiqua" w:hAnsi="Book Antiqua" w:cs="TimesLTStd-Roman"/>
          <w:sz w:val="24"/>
          <w:szCs w:val="24"/>
        </w:rPr>
        <w:t>As mentioned earlier, not all activities affecting an income statement are, however, central to ongoing operations. Any revenues, expenses, gains, or losses that result from these other activities are not included as part of operating income, but are instead categorized as Other Items. Typically, these include:</w:t>
      </w:r>
    </w:p>
    <w:p w:rsidR="0024255F" w:rsidRPr="00874DA8" w:rsidRDefault="0024255F" w:rsidP="004C6091">
      <w:pPr>
        <w:autoSpaceDE w:val="0"/>
        <w:autoSpaceDN w:val="0"/>
        <w:adjustRightInd w:val="0"/>
        <w:spacing w:after="0" w:line="240" w:lineRule="auto"/>
        <w:jc w:val="both"/>
        <w:rPr>
          <w:rFonts w:ascii="Book Antiqua" w:hAnsi="Book Antiqua" w:cs="TimesLTStd-Roman"/>
          <w:sz w:val="24"/>
          <w:szCs w:val="24"/>
        </w:rPr>
      </w:pPr>
      <w:r w:rsidRPr="00874DA8">
        <w:rPr>
          <w:rFonts w:ascii="Book Antiqua" w:hAnsi="Book Antiqua" w:cs="TimesLTStd-Bold"/>
          <w:b/>
          <w:bCs/>
          <w:sz w:val="24"/>
          <w:szCs w:val="24"/>
        </w:rPr>
        <w:t xml:space="preserve">Investment Income </w:t>
      </w:r>
      <w:r w:rsidRPr="00874DA8">
        <w:rPr>
          <w:rFonts w:ascii="Book Antiqua" w:hAnsi="Book Antiqua" w:cs="TimesLTStd-Roman"/>
          <w:sz w:val="24"/>
          <w:szCs w:val="24"/>
        </w:rPr>
        <w:t xml:space="preserve">(or </w:t>
      </w:r>
      <w:r w:rsidRPr="00874DA8">
        <w:rPr>
          <w:rFonts w:ascii="Book Antiqua" w:hAnsi="Book Antiqua" w:cs="TimesLTStd-Bold"/>
          <w:b/>
          <w:bCs/>
          <w:sz w:val="24"/>
          <w:szCs w:val="24"/>
        </w:rPr>
        <w:t xml:space="preserve">Investment, Interest, </w:t>
      </w:r>
      <w:r w:rsidRPr="00874DA8">
        <w:rPr>
          <w:rFonts w:ascii="Book Antiqua" w:hAnsi="Book Antiqua" w:cs="TimesLTStd-Roman"/>
          <w:sz w:val="24"/>
          <w:szCs w:val="24"/>
        </w:rPr>
        <w:t xml:space="preserve">or </w:t>
      </w:r>
      <w:r w:rsidRPr="00874DA8">
        <w:rPr>
          <w:rFonts w:ascii="Book Antiqua" w:hAnsi="Book Antiqua" w:cs="TimesLTStd-Bold"/>
          <w:b/>
          <w:bCs/>
          <w:sz w:val="24"/>
          <w:szCs w:val="24"/>
        </w:rPr>
        <w:t>Dividend Revenue)</w:t>
      </w:r>
    </w:p>
    <w:p w:rsidR="005C0948" w:rsidRPr="00874DA8" w:rsidRDefault="0024255F" w:rsidP="004C6091">
      <w:pPr>
        <w:autoSpaceDE w:val="0"/>
        <w:autoSpaceDN w:val="0"/>
        <w:adjustRightInd w:val="0"/>
        <w:spacing w:after="0" w:line="240" w:lineRule="auto"/>
        <w:jc w:val="both"/>
        <w:rPr>
          <w:rFonts w:ascii="Book Antiqua" w:hAnsi="Book Antiqua" w:cs="TimesLTStd-Roman"/>
          <w:sz w:val="24"/>
          <w:szCs w:val="24"/>
        </w:rPr>
      </w:pPr>
      <w:r w:rsidRPr="00874DA8">
        <w:rPr>
          <w:rFonts w:ascii="Book Antiqua" w:hAnsi="Book Antiqua" w:cs="TimesLTStd-Roman"/>
          <w:sz w:val="24"/>
          <w:szCs w:val="24"/>
        </w:rPr>
        <w:t>Using excess cash to purchase stocks or bonds in other companies is an investing activity Therefore, any interest or dividends earned on the investment are not included as operating revenue.</w:t>
      </w:r>
    </w:p>
    <w:p w:rsidR="00874DA8" w:rsidRDefault="00874DA8" w:rsidP="004C6091">
      <w:pPr>
        <w:autoSpaceDE w:val="0"/>
        <w:autoSpaceDN w:val="0"/>
        <w:adjustRightInd w:val="0"/>
        <w:spacing w:after="0" w:line="240" w:lineRule="auto"/>
        <w:jc w:val="both"/>
        <w:rPr>
          <w:rFonts w:ascii="Book Antiqua" w:hAnsi="Book Antiqua" w:cs="TimesLTStd-Bold"/>
          <w:b/>
          <w:bCs/>
          <w:sz w:val="24"/>
          <w:szCs w:val="24"/>
        </w:rPr>
      </w:pPr>
    </w:p>
    <w:p w:rsidR="0024255F" w:rsidRPr="00874DA8" w:rsidRDefault="00874DA8" w:rsidP="004C6091">
      <w:pPr>
        <w:autoSpaceDE w:val="0"/>
        <w:autoSpaceDN w:val="0"/>
        <w:adjustRightInd w:val="0"/>
        <w:spacing w:after="0" w:line="240" w:lineRule="auto"/>
        <w:jc w:val="both"/>
        <w:rPr>
          <w:rFonts w:ascii="Book Antiqua" w:hAnsi="Book Antiqua" w:cs="TimesLTStd-Bold"/>
          <w:b/>
          <w:bCs/>
          <w:sz w:val="24"/>
          <w:szCs w:val="24"/>
        </w:rPr>
      </w:pPr>
      <w:r>
        <w:rPr>
          <w:rFonts w:ascii="Book Antiqua" w:hAnsi="Book Antiqua" w:cs="TimesLTStd-Bold"/>
          <w:b/>
          <w:bCs/>
          <w:sz w:val="24"/>
          <w:szCs w:val="24"/>
        </w:rPr>
        <w:t>Intere</w:t>
      </w:r>
      <w:r w:rsidR="0024255F" w:rsidRPr="00874DA8">
        <w:rPr>
          <w:rFonts w:ascii="Book Antiqua" w:hAnsi="Book Antiqua" w:cs="TimesLTStd-Bold"/>
          <w:b/>
          <w:bCs/>
          <w:sz w:val="24"/>
          <w:szCs w:val="24"/>
        </w:rPr>
        <w:t>st Expense</w:t>
      </w:r>
    </w:p>
    <w:p w:rsidR="0024255F" w:rsidRPr="00874DA8" w:rsidRDefault="0024255F" w:rsidP="004C6091">
      <w:pPr>
        <w:autoSpaceDE w:val="0"/>
        <w:autoSpaceDN w:val="0"/>
        <w:adjustRightInd w:val="0"/>
        <w:spacing w:after="0" w:line="240" w:lineRule="auto"/>
        <w:jc w:val="both"/>
        <w:rPr>
          <w:rFonts w:ascii="Book Antiqua" w:hAnsi="Book Antiqua" w:cs="TimesLTStd-Roman"/>
          <w:sz w:val="24"/>
          <w:szCs w:val="24"/>
        </w:rPr>
      </w:pPr>
      <w:r w:rsidRPr="00874DA8">
        <w:rPr>
          <w:rFonts w:ascii="Book Antiqua" w:hAnsi="Book Antiqua" w:cs="TimesLTStd-Roman"/>
          <w:sz w:val="24"/>
          <w:szCs w:val="24"/>
        </w:rPr>
        <w:t xml:space="preserve">Likewise, since borrowing money is a financing activity, any cost of using that money (called interest) is not an operating expense. Except for financial institutions, incurring interest expense or earning investment income are </w:t>
      </w:r>
      <w:r w:rsidRPr="00874DA8">
        <w:rPr>
          <w:rFonts w:ascii="Book Antiqua" w:hAnsi="Book Antiqua" w:cs="TimesLTStd-Bold"/>
          <w:b/>
          <w:bCs/>
          <w:sz w:val="24"/>
          <w:szCs w:val="24"/>
        </w:rPr>
        <w:t xml:space="preserve">not </w:t>
      </w:r>
      <w:r w:rsidRPr="00874DA8">
        <w:rPr>
          <w:rFonts w:ascii="Book Antiqua" w:hAnsi="Book Antiqua" w:cs="TimesLTStd-Roman"/>
          <w:sz w:val="24"/>
          <w:szCs w:val="24"/>
        </w:rPr>
        <w:t>the central operations of most businesses. We say these are peripheral (normal but not central) transactions.</w:t>
      </w:r>
    </w:p>
    <w:p w:rsidR="005C0948" w:rsidRPr="00874DA8" w:rsidRDefault="0024255F" w:rsidP="004C6091">
      <w:pPr>
        <w:autoSpaceDE w:val="0"/>
        <w:autoSpaceDN w:val="0"/>
        <w:adjustRightInd w:val="0"/>
        <w:spacing w:after="0" w:line="240" w:lineRule="auto"/>
        <w:jc w:val="both"/>
        <w:rPr>
          <w:rFonts w:ascii="Book Antiqua" w:hAnsi="Book Antiqua" w:cs="TimesLTStd-Bold"/>
          <w:b/>
          <w:bCs/>
          <w:sz w:val="24"/>
          <w:szCs w:val="24"/>
        </w:rPr>
      </w:pPr>
      <w:r w:rsidRPr="00874DA8">
        <w:rPr>
          <w:rFonts w:ascii="Book Antiqua" w:hAnsi="Book Antiqua" w:cs="TimesLTStd-Bold"/>
          <w:b/>
          <w:bCs/>
          <w:sz w:val="24"/>
          <w:szCs w:val="24"/>
        </w:rPr>
        <w:t>Gains (or Losses) on Sales of Assets</w:t>
      </w:r>
    </w:p>
    <w:p w:rsidR="0024255F" w:rsidRPr="00874DA8" w:rsidRDefault="0024255F" w:rsidP="004C6091">
      <w:pPr>
        <w:autoSpaceDE w:val="0"/>
        <w:autoSpaceDN w:val="0"/>
        <w:adjustRightInd w:val="0"/>
        <w:spacing w:after="0" w:line="240" w:lineRule="auto"/>
        <w:jc w:val="both"/>
        <w:rPr>
          <w:rFonts w:ascii="Book Antiqua" w:hAnsi="Book Antiqua" w:cs="TimesLTStd-Roman"/>
          <w:sz w:val="24"/>
          <w:szCs w:val="24"/>
        </w:rPr>
      </w:pPr>
      <w:r w:rsidRPr="00874DA8">
        <w:rPr>
          <w:rFonts w:ascii="Book Antiqua" w:hAnsi="Book Antiqua" w:cs="TimesLTStd-Roman"/>
          <w:sz w:val="24"/>
          <w:szCs w:val="24"/>
        </w:rPr>
        <w:t>Companies sell property, plant, and equipment from</w:t>
      </w:r>
      <w:r w:rsidR="005C0948" w:rsidRPr="00874DA8">
        <w:rPr>
          <w:rFonts w:ascii="Book Antiqua" w:hAnsi="Book Antiqua" w:cs="TimesLTStd-Roman"/>
          <w:sz w:val="24"/>
          <w:szCs w:val="24"/>
        </w:rPr>
        <w:t xml:space="preserve"> </w:t>
      </w:r>
      <w:r w:rsidRPr="00874DA8">
        <w:rPr>
          <w:rFonts w:ascii="Book Antiqua" w:hAnsi="Book Antiqua" w:cs="TimesLTStd-Roman"/>
          <w:sz w:val="24"/>
          <w:szCs w:val="24"/>
        </w:rPr>
        <w:t>time to time to maintain modern facilities. Selling land for more than the original purchase price</w:t>
      </w:r>
      <w:r w:rsidR="005C0948" w:rsidRPr="00874DA8">
        <w:rPr>
          <w:rFonts w:ascii="Book Antiqua" w:hAnsi="Book Antiqua" w:cs="TimesLTStd-Roman"/>
          <w:sz w:val="24"/>
          <w:szCs w:val="24"/>
        </w:rPr>
        <w:t xml:space="preserve"> </w:t>
      </w:r>
      <w:r w:rsidRPr="00874DA8">
        <w:rPr>
          <w:rFonts w:ascii="Book Antiqua" w:hAnsi="Book Antiqua" w:cs="TimesLTStd-Roman"/>
          <w:sz w:val="24"/>
          <w:szCs w:val="24"/>
        </w:rPr>
        <w:t>does not result in earning revenue because the transaction is not the central operating focus for</w:t>
      </w:r>
      <w:r w:rsidR="005C0948" w:rsidRPr="00874DA8">
        <w:rPr>
          <w:rFonts w:ascii="Book Antiqua" w:hAnsi="Book Antiqua" w:cs="TimesLTStd-Roman"/>
          <w:sz w:val="24"/>
          <w:szCs w:val="24"/>
        </w:rPr>
        <w:t xml:space="preserve"> </w:t>
      </w:r>
      <w:r w:rsidRPr="00874DA8">
        <w:rPr>
          <w:rFonts w:ascii="Book Antiqua" w:hAnsi="Book Antiqua" w:cs="TimesLTStd-Roman"/>
          <w:sz w:val="24"/>
          <w:szCs w:val="24"/>
        </w:rPr>
        <w:t xml:space="preserve">the business. </w:t>
      </w:r>
      <w:r w:rsidRPr="00874DA8">
        <w:rPr>
          <w:rFonts w:ascii="Book Antiqua" w:hAnsi="Book Antiqua" w:cs="TimesLTStd-Bold"/>
          <w:b/>
          <w:bCs/>
          <w:sz w:val="24"/>
          <w:szCs w:val="24"/>
        </w:rPr>
        <w:t xml:space="preserve">Gains </w:t>
      </w:r>
      <w:r w:rsidRPr="00874DA8">
        <w:rPr>
          <w:rFonts w:ascii="Book Antiqua" w:hAnsi="Book Antiqua" w:cs="TimesLTStd-Roman"/>
          <w:sz w:val="24"/>
          <w:szCs w:val="24"/>
        </w:rPr>
        <w:t>(with an account called Gain on Sale of Assets) result in an increase in</w:t>
      </w:r>
      <w:r w:rsidR="005C0948" w:rsidRPr="00874DA8">
        <w:rPr>
          <w:rFonts w:ascii="Book Antiqua" w:hAnsi="Book Antiqua" w:cs="TimesLTStd-Roman"/>
          <w:sz w:val="24"/>
          <w:szCs w:val="24"/>
        </w:rPr>
        <w:t xml:space="preserve"> </w:t>
      </w:r>
      <w:r w:rsidRPr="00874DA8">
        <w:rPr>
          <w:rFonts w:ascii="Book Antiqua" w:hAnsi="Book Antiqua" w:cs="TimesLTStd-Roman"/>
          <w:sz w:val="24"/>
          <w:szCs w:val="24"/>
        </w:rPr>
        <w:t xml:space="preserve">assets or decrease in liabilities from a </w:t>
      </w:r>
      <w:r w:rsidRPr="00874DA8">
        <w:rPr>
          <w:rFonts w:ascii="Book Antiqua" w:hAnsi="Book Antiqua" w:cs="TimesLTStd-Bold"/>
          <w:b/>
          <w:bCs/>
          <w:sz w:val="24"/>
          <w:szCs w:val="24"/>
        </w:rPr>
        <w:t xml:space="preserve">peripheral </w:t>
      </w:r>
      <w:r w:rsidRPr="00874DA8">
        <w:rPr>
          <w:rFonts w:ascii="Book Antiqua" w:hAnsi="Book Antiqua" w:cs="TimesLTStd-Roman"/>
          <w:sz w:val="24"/>
          <w:szCs w:val="24"/>
        </w:rPr>
        <w:t xml:space="preserve">transaction. </w:t>
      </w:r>
      <w:r w:rsidRPr="00874DA8">
        <w:rPr>
          <w:rFonts w:ascii="Book Antiqua" w:hAnsi="Book Antiqua" w:cs="TimesLTStd-Bold"/>
          <w:b/>
          <w:bCs/>
          <w:sz w:val="24"/>
          <w:szCs w:val="24"/>
        </w:rPr>
        <w:t xml:space="preserve">Losses </w:t>
      </w:r>
      <w:r w:rsidRPr="00874DA8">
        <w:rPr>
          <w:rFonts w:ascii="Book Antiqua" w:hAnsi="Book Antiqua" w:cs="TimesLTStd-Roman"/>
          <w:sz w:val="24"/>
          <w:szCs w:val="24"/>
        </w:rPr>
        <w:t>are decreases in assets or</w:t>
      </w:r>
      <w:r w:rsidR="005C0948" w:rsidRPr="00874DA8">
        <w:rPr>
          <w:rFonts w:ascii="Book Antiqua" w:hAnsi="Book Antiqua" w:cs="TimesLTStd-Roman"/>
          <w:sz w:val="24"/>
          <w:szCs w:val="24"/>
        </w:rPr>
        <w:t xml:space="preserve"> </w:t>
      </w:r>
      <w:r w:rsidRPr="00874DA8">
        <w:rPr>
          <w:rFonts w:ascii="Book Antiqua" w:hAnsi="Book Antiqua" w:cs="TimesLTStd-Roman"/>
          <w:sz w:val="24"/>
          <w:szCs w:val="24"/>
        </w:rPr>
        <w:t xml:space="preserve">increases in liabilities from </w:t>
      </w:r>
      <w:r w:rsidRPr="00874DA8">
        <w:rPr>
          <w:rFonts w:ascii="Book Antiqua" w:hAnsi="Book Antiqua" w:cs="TimesLTStd-Bold"/>
          <w:b/>
          <w:bCs/>
          <w:sz w:val="24"/>
          <w:szCs w:val="24"/>
        </w:rPr>
        <w:t>peripheral</w:t>
      </w:r>
      <w:r w:rsidR="005C0948" w:rsidRPr="00874DA8">
        <w:rPr>
          <w:rFonts w:ascii="Book Antiqua" w:hAnsi="Book Antiqua" w:cs="TimesLTStd-Bold"/>
          <w:b/>
          <w:bCs/>
          <w:sz w:val="24"/>
          <w:szCs w:val="24"/>
        </w:rPr>
        <w:t xml:space="preserve"> </w:t>
      </w:r>
      <w:r w:rsidRPr="00874DA8">
        <w:rPr>
          <w:rFonts w:ascii="Book Antiqua" w:hAnsi="Book Antiqua" w:cs="TimesLTStd-Roman"/>
          <w:sz w:val="24"/>
          <w:szCs w:val="24"/>
        </w:rPr>
        <w:t>transactions</w:t>
      </w:r>
    </w:p>
    <w:p w:rsidR="005C0948" w:rsidRPr="00874DA8" w:rsidRDefault="005C0948" w:rsidP="004C6091">
      <w:pPr>
        <w:autoSpaceDE w:val="0"/>
        <w:autoSpaceDN w:val="0"/>
        <w:adjustRightInd w:val="0"/>
        <w:spacing w:after="0" w:line="240" w:lineRule="auto"/>
        <w:jc w:val="both"/>
        <w:rPr>
          <w:rFonts w:ascii="Book Antiqua" w:hAnsi="Book Antiqua" w:cs="TimesLTStd-Roman"/>
          <w:sz w:val="24"/>
          <w:szCs w:val="24"/>
        </w:rPr>
      </w:pPr>
    </w:p>
    <w:sectPr w:rsidR="005C0948" w:rsidRPr="00874DA8" w:rsidSect="001C5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LTStd-Bold">
    <w:panose1 w:val="00000000000000000000"/>
    <w:charset w:val="00"/>
    <w:family w:val="auto"/>
    <w:notTrueType/>
    <w:pitch w:val="default"/>
    <w:sig w:usb0="00000003" w:usb1="00000000" w:usb2="00000000" w:usb3="00000000" w:csb0="00000001" w:csb1="00000000"/>
  </w:font>
  <w:font w:name="TimesLTStd-Roman">
    <w:panose1 w:val="00000000000000000000"/>
    <w:charset w:val="00"/>
    <w:family w:val="auto"/>
    <w:notTrueType/>
    <w:pitch w:val="default"/>
    <w:sig w:usb0="00000003" w:usb1="00000000" w:usb2="00000000" w:usb3="00000000" w:csb0="00000001" w:csb1="00000000"/>
  </w:font>
  <w:font w:name="UniversLTStd-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919FB"/>
    <w:multiLevelType w:val="hybridMultilevel"/>
    <w:tmpl w:val="EF10D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2"/>
  </w:compat>
  <w:rsids>
    <w:rsidRoot w:val="00FC499A"/>
    <w:rsid w:val="001B7324"/>
    <w:rsid w:val="001C5922"/>
    <w:rsid w:val="0024255F"/>
    <w:rsid w:val="004C6091"/>
    <w:rsid w:val="005C0948"/>
    <w:rsid w:val="005F5836"/>
    <w:rsid w:val="006B5581"/>
    <w:rsid w:val="00704507"/>
    <w:rsid w:val="00874DA8"/>
    <w:rsid w:val="00877642"/>
    <w:rsid w:val="00A23D37"/>
    <w:rsid w:val="00B57506"/>
    <w:rsid w:val="00C64D5C"/>
    <w:rsid w:val="00CB231A"/>
    <w:rsid w:val="00D731D6"/>
    <w:rsid w:val="00FC49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B5A66D-7491-478D-A8D6-3EBDD7695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9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49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99A"/>
    <w:rPr>
      <w:rFonts w:ascii="Tahoma" w:hAnsi="Tahoma" w:cs="Tahoma"/>
      <w:sz w:val="16"/>
      <w:szCs w:val="16"/>
    </w:rPr>
  </w:style>
  <w:style w:type="paragraph" w:styleId="ListParagraph">
    <w:name w:val="List Paragraph"/>
    <w:basedOn w:val="Normal"/>
    <w:uiPriority w:val="34"/>
    <w:qFormat/>
    <w:rsid w:val="00A23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11DD99-CC4B-4CA5-8613-B238B10FA6D0}" type="doc">
      <dgm:prSet loTypeId="urn:microsoft.com/office/officeart/2005/8/layout/hList7#1" loCatId="relationship" qsTypeId="urn:microsoft.com/office/officeart/2005/8/quickstyle/simple1" qsCatId="simple" csTypeId="urn:microsoft.com/office/officeart/2005/8/colors/accent1_2" csCatId="accent1" phldr="1"/>
      <dgm:spPr/>
    </dgm:pt>
    <dgm:pt modelId="{9681F84D-1CF2-4833-BEC8-4651CDCE4F43}">
      <dgm:prSet phldrT="[Text]"/>
      <dgm:spPr/>
      <dgm:t>
        <a:bodyPr/>
        <a:lstStyle/>
        <a:p>
          <a:r>
            <a:rPr lang="en-GB"/>
            <a:t>Accounting principles and assumptions</a:t>
          </a:r>
        </a:p>
      </dgm:t>
    </dgm:pt>
    <dgm:pt modelId="{078F55AC-B689-46D7-BBB7-969B77821BB9}" type="parTrans" cxnId="{20828461-DFF5-4C75-8A76-6305C72AF9AA}">
      <dgm:prSet/>
      <dgm:spPr/>
      <dgm:t>
        <a:bodyPr/>
        <a:lstStyle/>
        <a:p>
          <a:endParaRPr lang="en-GB"/>
        </a:p>
      </dgm:t>
    </dgm:pt>
    <dgm:pt modelId="{EB69ECF3-BF7F-4059-9C1B-281CB9EDD5C5}" type="sibTrans" cxnId="{20828461-DFF5-4C75-8A76-6305C72AF9AA}">
      <dgm:prSet/>
      <dgm:spPr/>
      <dgm:t>
        <a:bodyPr/>
        <a:lstStyle/>
        <a:p>
          <a:endParaRPr lang="en-GB"/>
        </a:p>
      </dgm:t>
    </dgm:pt>
    <dgm:pt modelId="{94F936A0-B235-4604-9666-F4CF3E20F8FB}">
      <dgm:prSet phldrT="[Text]"/>
      <dgm:spPr/>
      <dgm:t>
        <a:bodyPr/>
        <a:lstStyle/>
        <a:p>
          <a:r>
            <a:rPr lang="en-GB" b="1" u="sng"/>
            <a:t>Key terms</a:t>
          </a:r>
        </a:p>
        <a:p>
          <a:r>
            <a:rPr lang="en-GB"/>
            <a:t>Asset</a:t>
          </a:r>
        </a:p>
        <a:p>
          <a:r>
            <a:rPr lang="en-GB"/>
            <a:t>Liability</a:t>
          </a:r>
        </a:p>
        <a:p>
          <a:r>
            <a:rPr lang="en-GB"/>
            <a:t>Income</a:t>
          </a:r>
        </a:p>
        <a:p>
          <a:r>
            <a:rPr lang="en-GB"/>
            <a:t>Expense</a:t>
          </a:r>
        </a:p>
      </dgm:t>
    </dgm:pt>
    <dgm:pt modelId="{FB330E69-1E1B-40C6-9824-8FCA9AFF2BB6}" type="parTrans" cxnId="{6EDCA219-E0BC-45AB-92C1-9CE388D2FF56}">
      <dgm:prSet/>
      <dgm:spPr/>
      <dgm:t>
        <a:bodyPr/>
        <a:lstStyle/>
        <a:p>
          <a:endParaRPr lang="en-GB"/>
        </a:p>
      </dgm:t>
    </dgm:pt>
    <dgm:pt modelId="{A70FAADC-82AB-4075-8C31-57EA8085580B}" type="sibTrans" cxnId="{6EDCA219-E0BC-45AB-92C1-9CE388D2FF56}">
      <dgm:prSet/>
      <dgm:spPr/>
      <dgm:t>
        <a:bodyPr/>
        <a:lstStyle/>
        <a:p>
          <a:endParaRPr lang="en-GB"/>
        </a:p>
      </dgm:t>
    </dgm:pt>
    <dgm:pt modelId="{77CA27FC-0FC8-471C-9E7A-5A632DCC72DD}">
      <dgm:prSet phldrT="[Text]"/>
      <dgm:spPr/>
      <dgm:t>
        <a:bodyPr/>
        <a:lstStyle/>
        <a:p>
          <a:r>
            <a:rPr lang="en-GB"/>
            <a:t>Objective of financial accounting/ reporting</a:t>
          </a:r>
        </a:p>
      </dgm:t>
    </dgm:pt>
    <dgm:pt modelId="{C538F50D-D4E6-4FC8-94D7-E8A5CD1B4122}" type="parTrans" cxnId="{986F4514-6760-481D-ACB7-7A684396308F}">
      <dgm:prSet/>
      <dgm:spPr/>
      <dgm:t>
        <a:bodyPr/>
        <a:lstStyle/>
        <a:p>
          <a:endParaRPr lang="en-GB"/>
        </a:p>
      </dgm:t>
    </dgm:pt>
    <dgm:pt modelId="{607CF1F2-55AE-480A-83F5-9306F3CEFB3D}" type="sibTrans" cxnId="{986F4514-6760-481D-ACB7-7A684396308F}">
      <dgm:prSet/>
      <dgm:spPr/>
      <dgm:t>
        <a:bodyPr/>
        <a:lstStyle/>
        <a:p>
          <a:endParaRPr lang="en-GB"/>
        </a:p>
      </dgm:t>
    </dgm:pt>
    <dgm:pt modelId="{00804969-FCB2-43A6-9903-015E6B12D70C}">
      <dgm:prSet/>
      <dgm:spPr/>
      <dgm:t>
        <a:bodyPr/>
        <a:lstStyle/>
        <a:p>
          <a:r>
            <a:rPr lang="en-GB"/>
            <a:t>Qualitative characteristics of information</a:t>
          </a:r>
        </a:p>
      </dgm:t>
    </dgm:pt>
    <dgm:pt modelId="{9B88D01D-61F8-4E39-92AA-C85CEB26DC2E}" type="parTrans" cxnId="{DD6E2F9F-2CAF-4E4F-BEE9-59B7769E178E}">
      <dgm:prSet/>
      <dgm:spPr/>
      <dgm:t>
        <a:bodyPr/>
        <a:lstStyle/>
        <a:p>
          <a:endParaRPr lang="en-GB"/>
        </a:p>
      </dgm:t>
    </dgm:pt>
    <dgm:pt modelId="{A8EC8F6D-9209-4FAA-9426-6FB83B4F7584}" type="sibTrans" cxnId="{DD6E2F9F-2CAF-4E4F-BEE9-59B7769E178E}">
      <dgm:prSet/>
      <dgm:spPr/>
      <dgm:t>
        <a:bodyPr/>
        <a:lstStyle/>
        <a:p>
          <a:endParaRPr lang="en-GB"/>
        </a:p>
      </dgm:t>
    </dgm:pt>
    <dgm:pt modelId="{4566F501-6CFD-4632-B0AB-F8CBBE57BF44}" type="pres">
      <dgm:prSet presAssocID="{A111DD99-CC4B-4CA5-8613-B238B10FA6D0}" presName="Name0" presStyleCnt="0">
        <dgm:presLayoutVars>
          <dgm:dir/>
          <dgm:resizeHandles val="exact"/>
        </dgm:presLayoutVars>
      </dgm:prSet>
      <dgm:spPr/>
    </dgm:pt>
    <dgm:pt modelId="{144D8C51-C61D-457C-91BE-A5DBFC776DA2}" type="pres">
      <dgm:prSet presAssocID="{A111DD99-CC4B-4CA5-8613-B238B10FA6D0}" presName="fgShape" presStyleLbl="fgShp" presStyleIdx="0" presStyleCnt="1"/>
      <dgm:spPr/>
    </dgm:pt>
    <dgm:pt modelId="{1CBB598A-444D-4078-A605-A0AE38DB6FBC}" type="pres">
      <dgm:prSet presAssocID="{A111DD99-CC4B-4CA5-8613-B238B10FA6D0}" presName="linComp" presStyleCnt="0"/>
      <dgm:spPr/>
    </dgm:pt>
    <dgm:pt modelId="{4E0BB7E0-8A13-42A8-8870-D5860A7E6B7D}" type="pres">
      <dgm:prSet presAssocID="{9681F84D-1CF2-4833-BEC8-4651CDCE4F43}" presName="compNode" presStyleCnt="0"/>
      <dgm:spPr/>
    </dgm:pt>
    <dgm:pt modelId="{E3D725D2-8EEF-4EB7-8C1F-7585759E251C}" type="pres">
      <dgm:prSet presAssocID="{9681F84D-1CF2-4833-BEC8-4651CDCE4F43}" presName="bkgdShape" presStyleLbl="node1" presStyleIdx="0" presStyleCnt="4"/>
      <dgm:spPr/>
      <dgm:t>
        <a:bodyPr/>
        <a:lstStyle/>
        <a:p>
          <a:endParaRPr lang="en-GB"/>
        </a:p>
      </dgm:t>
    </dgm:pt>
    <dgm:pt modelId="{431D6EA5-691E-44CD-9E96-EB41CCAA98C2}" type="pres">
      <dgm:prSet presAssocID="{9681F84D-1CF2-4833-BEC8-4651CDCE4F43}" presName="nodeTx" presStyleLbl="node1" presStyleIdx="0" presStyleCnt="4">
        <dgm:presLayoutVars>
          <dgm:bulletEnabled val="1"/>
        </dgm:presLayoutVars>
      </dgm:prSet>
      <dgm:spPr/>
      <dgm:t>
        <a:bodyPr/>
        <a:lstStyle/>
        <a:p>
          <a:endParaRPr lang="en-GB"/>
        </a:p>
      </dgm:t>
    </dgm:pt>
    <dgm:pt modelId="{6E5F103E-228B-4246-B1D0-FCEC17F09F19}" type="pres">
      <dgm:prSet presAssocID="{9681F84D-1CF2-4833-BEC8-4651CDCE4F43}" presName="invisiNode" presStyleLbl="node1" presStyleIdx="0" presStyleCnt="4"/>
      <dgm:spPr/>
    </dgm:pt>
    <dgm:pt modelId="{EE938E59-5CDB-4E58-B334-DFB8D470B880}" type="pres">
      <dgm:prSet presAssocID="{9681F84D-1CF2-4833-BEC8-4651CDCE4F43}" presName="imagNode" presStyleLbl="fgImgPlace1" presStyleIdx="0" presStyleCnt="4"/>
      <dgm:spPr/>
    </dgm:pt>
    <dgm:pt modelId="{E097E215-74C2-4F75-8C1F-D0A39185E319}" type="pres">
      <dgm:prSet presAssocID="{EB69ECF3-BF7F-4059-9C1B-281CB9EDD5C5}" presName="sibTrans" presStyleLbl="sibTrans2D1" presStyleIdx="0" presStyleCnt="0"/>
      <dgm:spPr/>
      <dgm:t>
        <a:bodyPr/>
        <a:lstStyle/>
        <a:p>
          <a:endParaRPr lang="en-GB"/>
        </a:p>
      </dgm:t>
    </dgm:pt>
    <dgm:pt modelId="{54DAB0D5-2C57-4E06-9639-109CAC30240C}" type="pres">
      <dgm:prSet presAssocID="{94F936A0-B235-4604-9666-F4CF3E20F8FB}" presName="compNode" presStyleCnt="0"/>
      <dgm:spPr/>
    </dgm:pt>
    <dgm:pt modelId="{9FF05D06-91C3-4CA4-A0CE-0716C5B203FA}" type="pres">
      <dgm:prSet presAssocID="{94F936A0-B235-4604-9666-F4CF3E20F8FB}" presName="bkgdShape" presStyleLbl="node1" presStyleIdx="1" presStyleCnt="4"/>
      <dgm:spPr/>
      <dgm:t>
        <a:bodyPr/>
        <a:lstStyle/>
        <a:p>
          <a:endParaRPr lang="en-GB"/>
        </a:p>
      </dgm:t>
    </dgm:pt>
    <dgm:pt modelId="{82B4FC80-F13D-4299-82CD-19530E87B6EF}" type="pres">
      <dgm:prSet presAssocID="{94F936A0-B235-4604-9666-F4CF3E20F8FB}" presName="nodeTx" presStyleLbl="node1" presStyleIdx="1" presStyleCnt="4">
        <dgm:presLayoutVars>
          <dgm:bulletEnabled val="1"/>
        </dgm:presLayoutVars>
      </dgm:prSet>
      <dgm:spPr/>
      <dgm:t>
        <a:bodyPr/>
        <a:lstStyle/>
        <a:p>
          <a:endParaRPr lang="en-GB"/>
        </a:p>
      </dgm:t>
    </dgm:pt>
    <dgm:pt modelId="{681D584D-F6B0-4836-8B75-BFAAAB6EBC78}" type="pres">
      <dgm:prSet presAssocID="{94F936A0-B235-4604-9666-F4CF3E20F8FB}" presName="invisiNode" presStyleLbl="node1" presStyleIdx="1" presStyleCnt="4"/>
      <dgm:spPr/>
    </dgm:pt>
    <dgm:pt modelId="{D6BC483E-44D7-4093-87B5-C5A679B84D47}" type="pres">
      <dgm:prSet presAssocID="{94F936A0-B235-4604-9666-F4CF3E20F8FB}" presName="imagNode" presStyleLbl="fgImgPlace1" presStyleIdx="1" presStyleCnt="4"/>
      <dgm:spPr/>
    </dgm:pt>
    <dgm:pt modelId="{4CDC1145-A376-4F66-8DA8-460D6AB7A7C1}" type="pres">
      <dgm:prSet presAssocID="{A70FAADC-82AB-4075-8C31-57EA8085580B}" presName="sibTrans" presStyleLbl="sibTrans2D1" presStyleIdx="0" presStyleCnt="0"/>
      <dgm:spPr/>
      <dgm:t>
        <a:bodyPr/>
        <a:lstStyle/>
        <a:p>
          <a:endParaRPr lang="en-GB"/>
        </a:p>
      </dgm:t>
    </dgm:pt>
    <dgm:pt modelId="{14A29F7C-ABA1-4A4A-84F8-1BFCF76BC38D}" type="pres">
      <dgm:prSet presAssocID="{77CA27FC-0FC8-471C-9E7A-5A632DCC72DD}" presName="compNode" presStyleCnt="0"/>
      <dgm:spPr/>
    </dgm:pt>
    <dgm:pt modelId="{2EEE576A-D937-45E5-9B77-F037978A4A5A}" type="pres">
      <dgm:prSet presAssocID="{77CA27FC-0FC8-471C-9E7A-5A632DCC72DD}" presName="bkgdShape" presStyleLbl="node1" presStyleIdx="2" presStyleCnt="4"/>
      <dgm:spPr/>
      <dgm:t>
        <a:bodyPr/>
        <a:lstStyle/>
        <a:p>
          <a:endParaRPr lang="en-GB"/>
        </a:p>
      </dgm:t>
    </dgm:pt>
    <dgm:pt modelId="{2D7BE8B6-9747-4008-8E8B-BE5B019003AF}" type="pres">
      <dgm:prSet presAssocID="{77CA27FC-0FC8-471C-9E7A-5A632DCC72DD}" presName="nodeTx" presStyleLbl="node1" presStyleIdx="2" presStyleCnt="4">
        <dgm:presLayoutVars>
          <dgm:bulletEnabled val="1"/>
        </dgm:presLayoutVars>
      </dgm:prSet>
      <dgm:spPr/>
      <dgm:t>
        <a:bodyPr/>
        <a:lstStyle/>
        <a:p>
          <a:endParaRPr lang="en-GB"/>
        </a:p>
      </dgm:t>
    </dgm:pt>
    <dgm:pt modelId="{45BC397B-3646-4385-8B78-D97536CABF4A}" type="pres">
      <dgm:prSet presAssocID="{77CA27FC-0FC8-471C-9E7A-5A632DCC72DD}" presName="invisiNode" presStyleLbl="node1" presStyleIdx="2" presStyleCnt="4"/>
      <dgm:spPr/>
    </dgm:pt>
    <dgm:pt modelId="{2A61D51E-D268-4BD8-BBCE-A268B64E8FBD}" type="pres">
      <dgm:prSet presAssocID="{77CA27FC-0FC8-471C-9E7A-5A632DCC72DD}" presName="imagNode" presStyleLbl="fgImgPlace1" presStyleIdx="2" presStyleCnt="4"/>
      <dgm:spPr/>
    </dgm:pt>
    <dgm:pt modelId="{2C859A0D-77FD-4C8B-BCAE-19527E748B34}" type="pres">
      <dgm:prSet presAssocID="{607CF1F2-55AE-480A-83F5-9306F3CEFB3D}" presName="sibTrans" presStyleLbl="sibTrans2D1" presStyleIdx="0" presStyleCnt="0"/>
      <dgm:spPr/>
      <dgm:t>
        <a:bodyPr/>
        <a:lstStyle/>
        <a:p>
          <a:endParaRPr lang="en-GB"/>
        </a:p>
      </dgm:t>
    </dgm:pt>
    <dgm:pt modelId="{D077040C-7536-4684-AE8B-82DFFC06BCE5}" type="pres">
      <dgm:prSet presAssocID="{00804969-FCB2-43A6-9903-015E6B12D70C}" presName="compNode" presStyleCnt="0"/>
      <dgm:spPr/>
    </dgm:pt>
    <dgm:pt modelId="{1573C281-51CA-4C99-B418-9621833EB4F7}" type="pres">
      <dgm:prSet presAssocID="{00804969-FCB2-43A6-9903-015E6B12D70C}" presName="bkgdShape" presStyleLbl="node1" presStyleIdx="3" presStyleCnt="4"/>
      <dgm:spPr/>
      <dgm:t>
        <a:bodyPr/>
        <a:lstStyle/>
        <a:p>
          <a:endParaRPr lang="en-GB"/>
        </a:p>
      </dgm:t>
    </dgm:pt>
    <dgm:pt modelId="{D57A4F63-946F-4321-8FF1-7758ECF298C8}" type="pres">
      <dgm:prSet presAssocID="{00804969-FCB2-43A6-9903-015E6B12D70C}" presName="nodeTx" presStyleLbl="node1" presStyleIdx="3" presStyleCnt="4">
        <dgm:presLayoutVars>
          <dgm:bulletEnabled val="1"/>
        </dgm:presLayoutVars>
      </dgm:prSet>
      <dgm:spPr/>
      <dgm:t>
        <a:bodyPr/>
        <a:lstStyle/>
        <a:p>
          <a:endParaRPr lang="en-GB"/>
        </a:p>
      </dgm:t>
    </dgm:pt>
    <dgm:pt modelId="{08FCFD63-2051-4121-BE89-BF91BCD4D665}" type="pres">
      <dgm:prSet presAssocID="{00804969-FCB2-43A6-9903-015E6B12D70C}" presName="invisiNode" presStyleLbl="node1" presStyleIdx="3" presStyleCnt="4"/>
      <dgm:spPr/>
    </dgm:pt>
    <dgm:pt modelId="{8FB99B89-A9D5-441E-8CE4-01B35B4CB132}" type="pres">
      <dgm:prSet presAssocID="{00804969-FCB2-43A6-9903-015E6B12D70C}" presName="imagNode" presStyleLbl="fgImgPlace1" presStyleIdx="3" presStyleCnt="4"/>
      <dgm:spPr/>
    </dgm:pt>
  </dgm:ptLst>
  <dgm:cxnLst>
    <dgm:cxn modelId="{6EDCA219-E0BC-45AB-92C1-9CE388D2FF56}" srcId="{A111DD99-CC4B-4CA5-8613-B238B10FA6D0}" destId="{94F936A0-B235-4604-9666-F4CF3E20F8FB}" srcOrd="1" destOrd="0" parTransId="{FB330E69-1E1B-40C6-9824-8FCA9AFF2BB6}" sibTransId="{A70FAADC-82AB-4075-8C31-57EA8085580B}"/>
    <dgm:cxn modelId="{A5E59F26-8E38-4DAA-B005-67E5612CE7F5}" type="presOf" srcId="{A111DD99-CC4B-4CA5-8613-B238B10FA6D0}" destId="{4566F501-6CFD-4632-B0AB-F8CBBE57BF44}" srcOrd="0" destOrd="0" presId="urn:microsoft.com/office/officeart/2005/8/layout/hList7#1"/>
    <dgm:cxn modelId="{6CE9BBE5-8FFB-4723-8D90-9CF51998549D}" type="presOf" srcId="{9681F84D-1CF2-4833-BEC8-4651CDCE4F43}" destId="{431D6EA5-691E-44CD-9E96-EB41CCAA98C2}" srcOrd="1" destOrd="0" presId="urn:microsoft.com/office/officeart/2005/8/layout/hList7#1"/>
    <dgm:cxn modelId="{20828461-DFF5-4C75-8A76-6305C72AF9AA}" srcId="{A111DD99-CC4B-4CA5-8613-B238B10FA6D0}" destId="{9681F84D-1CF2-4833-BEC8-4651CDCE4F43}" srcOrd="0" destOrd="0" parTransId="{078F55AC-B689-46D7-BBB7-969B77821BB9}" sibTransId="{EB69ECF3-BF7F-4059-9C1B-281CB9EDD5C5}"/>
    <dgm:cxn modelId="{986F4514-6760-481D-ACB7-7A684396308F}" srcId="{A111DD99-CC4B-4CA5-8613-B238B10FA6D0}" destId="{77CA27FC-0FC8-471C-9E7A-5A632DCC72DD}" srcOrd="2" destOrd="0" parTransId="{C538F50D-D4E6-4FC8-94D7-E8A5CD1B4122}" sibTransId="{607CF1F2-55AE-480A-83F5-9306F3CEFB3D}"/>
    <dgm:cxn modelId="{E2F9FAFD-67AF-4929-A3B2-6BF81D844058}" type="presOf" srcId="{A70FAADC-82AB-4075-8C31-57EA8085580B}" destId="{4CDC1145-A376-4F66-8DA8-460D6AB7A7C1}" srcOrd="0" destOrd="0" presId="urn:microsoft.com/office/officeart/2005/8/layout/hList7#1"/>
    <dgm:cxn modelId="{E21BB794-C8F8-49B9-A6A4-340B08008B00}" type="presOf" srcId="{9681F84D-1CF2-4833-BEC8-4651CDCE4F43}" destId="{E3D725D2-8EEF-4EB7-8C1F-7585759E251C}" srcOrd="0" destOrd="0" presId="urn:microsoft.com/office/officeart/2005/8/layout/hList7#1"/>
    <dgm:cxn modelId="{1EDD0171-AC91-4798-94B1-DD2920E3CFA5}" type="presOf" srcId="{00804969-FCB2-43A6-9903-015E6B12D70C}" destId="{D57A4F63-946F-4321-8FF1-7758ECF298C8}" srcOrd="1" destOrd="0" presId="urn:microsoft.com/office/officeart/2005/8/layout/hList7#1"/>
    <dgm:cxn modelId="{CC5FD74A-70F2-44C1-B934-CC8B0D3D2669}" type="presOf" srcId="{77CA27FC-0FC8-471C-9E7A-5A632DCC72DD}" destId="{2EEE576A-D937-45E5-9B77-F037978A4A5A}" srcOrd="0" destOrd="0" presId="urn:microsoft.com/office/officeart/2005/8/layout/hList7#1"/>
    <dgm:cxn modelId="{DD6E2F9F-2CAF-4E4F-BEE9-59B7769E178E}" srcId="{A111DD99-CC4B-4CA5-8613-B238B10FA6D0}" destId="{00804969-FCB2-43A6-9903-015E6B12D70C}" srcOrd="3" destOrd="0" parTransId="{9B88D01D-61F8-4E39-92AA-C85CEB26DC2E}" sibTransId="{A8EC8F6D-9209-4FAA-9426-6FB83B4F7584}"/>
    <dgm:cxn modelId="{5044E67F-160B-43B9-B551-1076237EA70E}" type="presOf" srcId="{94F936A0-B235-4604-9666-F4CF3E20F8FB}" destId="{9FF05D06-91C3-4CA4-A0CE-0716C5B203FA}" srcOrd="0" destOrd="0" presId="urn:microsoft.com/office/officeart/2005/8/layout/hList7#1"/>
    <dgm:cxn modelId="{D0A562CA-8E72-4479-A149-34C817B5C291}" type="presOf" srcId="{607CF1F2-55AE-480A-83F5-9306F3CEFB3D}" destId="{2C859A0D-77FD-4C8B-BCAE-19527E748B34}" srcOrd="0" destOrd="0" presId="urn:microsoft.com/office/officeart/2005/8/layout/hList7#1"/>
    <dgm:cxn modelId="{8A4784D8-A105-4183-A036-AFF4FF353DB3}" type="presOf" srcId="{00804969-FCB2-43A6-9903-015E6B12D70C}" destId="{1573C281-51CA-4C99-B418-9621833EB4F7}" srcOrd="0" destOrd="0" presId="urn:microsoft.com/office/officeart/2005/8/layout/hList7#1"/>
    <dgm:cxn modelId="{EC01126B-B1BE-4172-843A-3F642C808246}" type="presOf" srcId="{77CA27FC-0FC8-471C-9E7A-5A632DCC72DD}" destId="{2D7BE8B6-9747-4008-8E8B-BE5B019003AF}" srcOrd="1" destOrd="0" presId="urn:microsoft.com/office/officeart/2005/8/layout/hList7#1"/>
    <dgm:cxn modelId="{D24FCD32-046C-475C-8A00-0DFF0DE0761B}" type="presOf" srcId="{EB69ECF3-BF7F-4059-9C1B-281CB9EDD5C5}" destId="{E097E215-74C2-4F75-8C1F-D0A39185E319}" srcOrd="0" destOrd="0" presId="urn:microsoft.com/office/officeart/2005/8/layout/hList7#1"/>
    <dgm:cxn modelId="{7B6A6218-6A0B-4390-89DE-BF7F93E77CF8}" type="presOf" srcId="{94F936A0-B235-4604-9666-F4CF3E20F8FB}" destId="{82B4FC80-F13D-4299-82CD-19530E87B6EF}" srcOrd="1" destOrd="0" presId="urn:microsoft.com/office/officeart/2005/8/layout/hList7#1"/>
    <dgm:cxn modelId="{1FC40534-4BD6-40A4-BF14-4621435D5753}" type="presParOf" srcId="{4566F501-6CFD-4632-B0AB-F8CBBE57BF44}" destId="{144D8C51-C61D-457C-91BE-A5DBFC776DA2}" srcOrd="0" destOrd="0" presId="urn:microsoft.com/office/officeart/2005/8/layout/hList7#1"/>
    <dgm:cxn modelId="{4C324BF0-3ECD-49FA-8F0A-8CAE6DFC1320}" type="presParOf" srcId="{4566F501-6CFD-4632-B0AB-F8CBBE57BF44}" destId="{1CBB598A-444D-4078-A605-A0AE38DB6FBC}" srcOrd="1" destOrd="0" presId="urn:microsoft.com/office/officeart/2005/8/layout/hList7#1"/>
    <dgm:cxn modelId="{43BFA970-A11A-49DB-8C75-D7842A251D88}" type="presParOf" srcId="{1CBB598A-444D-4078-A605-A0AE38DB6FBC}" destId="{4E0BB7E0-8A13-42A8-8870-D5860A7E6B7D}" srcOrd="0" destOrd="0" presId="urn:microsoft.com/office/officeart/2005/8/layout/hList7#1"/>
    <dgm:cxn modelId="{6649798A-3C01-4308-A27C-D79848980A64}" type="presParOf" srcId="{4E0BB7E0-8A13-42A8-8870-D5860A7E6B7D}" destId="{E3D725D2-8EEF-4EB7-8C1F-7585759E251C}" srcOrd="0" destOrd="0" presId="urn:microsoft.com/office/officeart/2005/8/layout/hList7#1"/>
    <dgm:cxn modelId="{DB926C6E-B110-43B7-81F3-5323B6602A7B}" type="presParOf" srcId="{4E0BB7E0-8A13-42A8-8870-D5860A7E6B7D}" destId="{431D6EA5-691E-44CD-9E96-EB41CCAA98C2}" srcOrd="1" destOrd="0" presId="urn:microsoft.com/office/officeart/2005/8/layout/hList7#1"/>
    <dgm:cxn modelId="{AA5C2E8F-AB21-4F6D-AF41-146C06306225}" type="presParOf" srcId="{4E0BB7E0-8A13-42A8-8870-D5860A7E6B7D}" destId="{6E5F103E-228B-4246-B1D0-FCEC17F09F19}" srcOrd="2" destOrd="0" presId="urn:microsoft.com/office/officeart/2005/8/layout/hList7#1"/>
    <dgm:cxn modelId="{CE0BD4DB-6358-4DA3-AEFD-42E55DE3869C}" type="presParOf" srcId="{4E0BB7E0-8A13-42A8-8870-D5860A7E6B7D}" destId="{EE938E59-5CDB-4E58-B334-DFB8D470B880}" srcOrd="3" destOrd="0" presId="urn:microsoft.com/office/officeart/2005/8/layout/hList7#1"/>
    <dgm:cxn modelId="{C7D51D5E-4BDE-4379-94CD-2164DACE0E44}" type="presParOf" srcId="{1CBB598A-444D-4078-A605-A0AE38DB6FBC}" destId="{E097E215-74C2-4F75-8C1F-D0A39185E319}" srcOrd="1" destOrd="0" presId="urn:microsoft.com/office/officeart/2005/8/layout/hList7#1"/>
    <dgm:cxn modelId="{F632CB02-B5E5-4B4D-BCA8-646214293EBC}" type="presParOf" srcId="{1CBB598A-444D-4078-A605-A0AE38DB6FBC}" destId="{54DAB0D5-2C57-4E06-9639-109CAC30240C}" srcOrd="2" destOrd="0" presId="urn:microsoft.com/office/officeart/2005/8/layout/hList7#1"/>
    <dgm:cxn modelId="{DC72E551-AA00-40FC-8B5B-96EFC0F954ED}" type="presParOf" srcId="{54DAB0D5-2C57-4E06-9639-109CAC30240C}" destId="{9FF05D06-91C3-4CA4-A0CE-0716C5B203FA}" srcOrd="0" destOrd="0" presId="urn:microsoft.com/office/officeart/2005/8/layout/hList7#1"/>
    <dgm:cxn modelId="{1FC289A7-DB0D-4004-81A1-B3CD196E45C9}" type="presParOf" srcId="{54DAB0D5-2C57-4E06-9639-109CAC30240C}" destId="{82B4FC80-F13D-4299-82CD-19530E87B6EF}" srcOrd="1" destOrd="0" presId="urn:microsoft.com/office/officeart/2005/8/layout/hList7#1"/>
    <dgm:cxn modelId="{882D8165-A62B-4EB7-9C8B-121A4A2DAC86}" type="presParOf" srcId="{54DAB0D5-2C57-4E06-9639-109CAC30240C}" destId="{681D584D-F6B0-4836-8B75-BFAAAB6EBC78}" srcOrd="2" destOrd="0" presId="urn:microsoft.com/office/officeart/2005/8/layout/hList7#1"/>
    <dgm:cxn modelId="{F4505808-D1C4-4980-B2A0-4EEA60018860}" type="presParOf" srcId="{54DAB0D5-2C57-4E06-9639-109CAC30240C}" destId="{D6BC483E-44D7-4093-87B5-C5A679B84D47}" srcOrd="3" destOrd="0" presId="urn:microsoft.com/office/officeart/2005/8/layout/hList7#1"/>
    <dgm:cxn modelId="{15D5EFF7-657B-4770-B069-64BA9AF3F2B3}" type="presParOf" srcId="{1CBB598A-444D-4078-A605-A0AE38DB6FBC}" destId="{4CDC1145-A376-4F66-8DA8-460D6AB7A7C1}" srcOrd="3" destOrd="0" presId="urn:microsoft.com/office/officeart/2005/8/layout/hList7#1"/>
    <dgm:cxn modelId="{399DC92E-8ED5-4FBD-9C73-97ABA3271E94}" type="presParOf" srcId="{1CBB598A-444D-4078-A605-A0AE38DB6FBC}" destId="{14A29F7C-ABA1-4A4A-84F8-1BFCF76BC38D}" srcOrd="4" destOrd="0" presId="urn:microsoft.com/office/officeart/2005/8/layout/hList7#1"/>
    <dgm:cxn modelId="{2BC462A5-5832-44FC-B082-49B9CD3FAE20}" type="presParOf" srcId="{14A29F7C-ABA1-4A4A-84F8-1BFCF76BC38D}" destId="{2EEE576A-D937-45E5-9B77-F037978A4A5A}" srcOrd="0" destOrd="0" presId="urn:microsoft.com/office/officeart/2005/8/layout/hList7#1"/>
    <dgm:cxn modelId="{6A000CFD-6204-43EC-81CC-816D43F454D1}" type="presParOf" srcId="{14A29F7C-ABA1-4A4A-84F8-1BFCF76BC38D}" destId="{2D7BE8B6-9747-4008-8E8B-BE5B019003AF}" srcOrd="1" destOrd="0" presId="urn:microsoft.com/office/officeart/2005/8/layout/hList7#1"/>
    <dgm:cxn modelId="{10591749-C798-447A-98D1-4E659B8B4E84}" type="presParOf" srcId="{14A29F7C-ABA1-4A4A-84F8-1BFCF76BC38D}" destId="{45BC397B-3646-4385-8B78-D97536CABF4A}" srcOrd="2" destOrd="0" presId="urn:microsoft.com/office/officeart/2005/8/layout/hList7#1"/>
    <dgm:cxn modelId="{28888EB9-A968-4C74-AF0F-41013A941660}" type="presParOf" srcId="{14A29F7C-ABA1-4A4A-84F8-1BFCF76BC38D}" destId="{2A61D51E-D268-4BD8-BBCE-A268B64E8FBD}" srcOrd="3" destOrd="0" presId="urn:microsoft.com/office/officeart/2005/8/layout/hList7#1"/>
    <dgm:cxn modelId="{B196A5CE-3F11-412E-8524-7A22439A864C}" type="presParOf" srcId="{1CBB598A-444D-4078-A605-A0AE38DB6FBC}" destId="{2C859A0D-77FD-4C8B-BCAE-19527E748B34}" srcOrd="5" destOrd="0" presId="urn:microsoft.com/office/officeart/2005/8/layout/hList7#1"/>
    <dgm:cxn modelId="{75D85CF5-D495-479E-8811-E49757E9946F}" type="presParOf" srcId="{1CBB598A-444D-4078-A605-A0AE38DB6FBC}" destId="{D077040C-7536-4684-AE8B-82DFFC06BCE5}" srcOrd="6" destOrd="0" presId="urn:microsoft.com/office/officeart/2005/8/layout/hList7#1"/>
    <dgm:cxn modelId="{943477D1-299E-4158-AFFF-E79263E8C54E}" type="presParOf" srcId="{D077040C-7536-4684-AE8B-82DFFC06BCE5}" destId="{1573C281-51CA-4C99-B418-9621833EB4F7}" srcOrd="0" destOrd="0" presId="urn:microsoft.com/office/officeart/2005/8/layout/hList7#1"/>
    <dgm:cxn modelId="{C71E7C07-AF75-4705-A758-5E608DF447A8}" type="presParOf" srcId="{D077040C-7536-4684-AE8B-82DFFC06BCE5}" destId="{D57A4F63-946F-4321-8FF1-7758ECF298C8}" srcOrd="1" destOrd="0" presId="urn:microsoft.com/office/officeart/2005/8/layout/hList7#1"/>
    <dgm:cxn modelId="{9501748D-90FE-4CC3-905C-9E703270F29A}" type="presParOf" srcId="{D077040C-7536-4684-AE8B-82DFFC06BCE5}" destId="{08FCFD63-2051-4121-BE89-BF91BCD4D665}" srcOrd="2" destOrd="0" presId="urn:microsoft.com/office/officeart/2005/8/layout/hList7#1"/>
    <dgm:cxn modelId="{0CCF2BB2-DFC7-4436-83F7-5D69D6B49691}" type="presParOf" srcId="{D077040C-7536-4684-AE8B-82DFFC06BCE5}" destId="{8FB99B89-A9D5-441E-8CE4-01B35B4CB132}" srcOrd="3" destOrd="0" presId="urn:microsoft.com/office/officeart/2005/8/layout/hList7#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D725D2-8EEF-4EB7-8C1F-7585759E251C}">
      <dsp:nvSpPr>
        <dsp:cNvPr id="0" name=""/>
        <dsp:cNvSpPr/>
      </dsp:nvSpPr>
      <dsp:spPr>
        <a:xfrm>
          <a:off x="1157" y="0"/>
          <a:ext cx="1212765" cy="32004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kern="1200"/>
            <a:t>Accounting principles and assumptions</a:t>
          </a:r>
        </a:p>
      </dsp:txBody>
      <dsp:txXfrm>
        <a:off x="1157" y="1280160"/>
        <a:ext cx="1212765" cy="1280160"/>
      </dsp:txXfrm>
    </dsp:sp>
    <dsp:sp modelId="{EE938E59-5CDB-4E58-B334-DFB8D470B880}">
      <dsp:nvSpPr>
        <dsp:cNvPr id="0" name=""/>
        <dsp:cNvSpPr/>
      </dsp:nvSpPr>
      <dsp:spPr>
        <a:xfrm>
          <a:off x="74673" y="192024"/>
          <a:ext cx="1065733" cy="1065733"/>
        </a:xfrm>
        <a:prstGeom prst="ellipse">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FF05D06-91C3-4CA4-A0CE-0716C5B203FA}">
      <dsp:nvSpPr>
        <dsp:cNvPr id="0" name=""/>
        <dsp:cNvSpPr/>
      </dsp:nvSpPr>
      <dsp:spPr>
        <a:xfrm>
          <a:off x="1250305" y="0"/>
          <a:ext cx="1212765" cy="32004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b="1" u="sng" kern="1200"/>
            <a:t>Key terms</a:t>
          </a:r>
        </a:p>
        <a:p>
          <a:pPr lvl="0" algn="ctr" defTabSz="533400">
            <a:lnSpc>
              <a:spcPct val="90000"/>
            </a:lnSpc>
            <a:spcBef>
              <a:spcPct val="0"/>
            </a:spcBef>
            <a:spcAft>
              <a:spcPct val="35000"/>
            </a:spcAft>
          </a:pPr>
          <a:r>
            <a:rPr lang="en-GB" sz="1200" kern="1200"/>
            <a:t>Asset</a:t>
          </a:r>
        </a:p>
        <a:p>
          <a:pPr lvl="0" algn="ctr" defTabSz="533400">
            <a:lnSpc>
              <a:spcPct val="90000"/>
            </a:lnSpc>
            <a:spcBef>
              <a:spcPct val="0"/>
            </a:spcBef>
            <a:spcAft>
              <a:spcPct val="35000"/>
            </a:spcAft>
          </a:pPr>
          <a:r>
            <a:rPr lang="en-GB" sz="1200" kern="1200"/>
            <a:t>Liability</a:t>
          </a:r>
        </a:p>
        <a:p>
          <a:pPr lvl="0" algn="ctr" defTabSz="533400">
            <a:lnSpc>
              <a:spcPct val="90000"/>
            </a:lnSpc>
            <a:spcBef>
              <a:spcPct val="0"/>
            </a:spcBef>
            <a:spcAft>
              <a:spcPct val="35000"/>
            </a:spcAft>
          </a:pPr>
          <a:r>
            <a:rPr lang="en-GB" sz="1200" kern="1200"/>
            <a:t>Income</a:t>
          </a:r>
        </a:p>
        <a:p>
          <a:pPr lvl="0" algn="ctr" defTabSz="533400">
            <a:lnSpc>
              <a:spcPct val="90000"/>
            </a:lnSpc>
            <a:spcBef>
              <a:spcPct val="0"/>
            </a:spcBef>
            <a:spcAft>
              <a:spcPct val="35000"/>
            </a:spcAft>
          </a:pPr>
          <a:r>
            <a:rPr lang="en-GB" sz="1200" kern="1200"/>
            <a:t>Expense</a:t>
          </a:r>
        </a:p>
      </dsp:txBody>
      <dsp:txXfrm>
        <a:off x="1250305" y="1280160"/>
        <a:ext cx="1212765" cy="1280160"/>
      </dsp:txXfrm>
    </dsp:sp>
    <dsp:sp modelId="{D6BC483E-44D7-4093-87B5-C5A679B84D47}">
      <dsp:nvSpPr>
        <dsp:cNvPr id="0" name=""/>
        <dsp:cNvSpPr/>
      </dsp:nvSpPr>
      <dsp:spPr>
        <a:xfrm>
          <a:off x="1323821" y="192024"/>
          <a:ext cx="1065733" cy="1065733"/>
        </a:xfrm>
        <a:prstGeom prst="ellipse">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EEE576A-D937-45E5-9B77-F037978A4A5A}">
      <dsp:nvSpPr>
        <dsp:cNvPr id="0" name=""/>
        <dsp:cNvSpPr/>
      </dsp:nvSpPr>
      <dsp:spPr>
        <a:xfrm>
          <a:off x="2499453" y="0"/>
          <a:ext cx="1212765" cy="32004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kern="1200"/>
            <a:t>Objective of financial accounting/ reporting</a:t>
          </a:r>
        </a:p>
      </dsp:txBody>
      <dsp:txXfrm>
        <a:off x="2499453" y="1280160"/>
        <a:ext cx="1212765" cy="1280160"/>
      </dsp:txXfrm>
    </dsp:sp>
    <dsp:sp modelId="{2A61D51E-D268-4BD8-BBCE-A268B64E8FBD}">
      <dsp:nvSpPr>
        <dsp:cNvPr id="0" name=""/>
        <dsp:cNvSpPr/>
      </dsp:nvSpPr>
      <dsp:spPr>
        <a:xfrm>
          <a:off x="2572970" y="192024"/>
          <a:ext cx="1065733" cy="1065733"/>
        </a:xfrm>
        <a:prstGeom prst="ellipse">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573C281-51CA-4C99-B418-9621833EB4F7}">
      <dsp:nvSpPr>
        <dsp:cNvPr id="0" name=""/>
        <dsp:cNvSpPr/>
      </dsp:nvSpPr>
      <dsp:spPr>
        <a:xfrm>
          <a:off x="3748602" y="0"/>
          <a:ext cx="1212765" cy="32004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kern="1200"/>
            <a:t>Qualitative characteristics of information</a:t>
          </a:r>
        </a:p>
      </dsp:txBody>
      <dsp:txXfrm>
        <a:off x="3748602" y="1280160"/>
        <a:ext cx="1212765" cy="1280160"/>
      </dsp:txXfrm>
    </dsp:sp>
    <dsp:sp modelId="{8FB99B89-A9D5-441E-8CE4-01B35B4CB132}">
      <dsp:nvSpPr>
        <dsp:cNvPr id="0" name=""/>
        <dsp:cNvSpPr/>
      </dsp:nvSpPr>
      <dsp:spPr>
        <a:xfrm>
          <a:off x="3822118" y="192024"/>
          <a:ext cx="1065733" cy="1065733"/>
        </a:xfrm>
        <a:prstGeom prst="ellipse">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4D8C51-C61D-457C-91BE-A5DBFC776DA2}">
      <dsp:nvSpPr>
        <dsp:cNvPr id="0" name=""/>
        <dsp:cNvSpPr/>
      </dsp:nvSpPr>
      <dsp:spPr>
        <a:xfrm>
          <a:off x="198501" y="2560320"/>
          <a:ext cx="4565523" cy="480060"/>
        </a:xfrm>
        <a:prstGeom prst="leftRight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7#1">
  <dgm:title val=""/>
  <dgm:desc val=""/>
  <dgm:catLst>
    <dgm:cat type="list" pri="12000"/>
    <dgm:cat type="process" pri="20000"/>
    <dgm:cat type="relationship" pri="14000"/>
    <dgm:cat type="convert" pri="8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1702</Words>
  <Characters>9363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john</cp:lastModifiedBy>
  <cp:revision>10</cp:revision>
  <dcterms:created xsi:type="dcterms:W3CDTF">2012-02-01T09:02:00Z</dcterms:created>
  <dcterms:modified xsi:type="dcterms:W3CDTF">2014-06-30T07:28:00Z</dcterms:modified>
</cp:coreProperties>
</file>