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B29" w:rsidRPr="00FA6022" w:rsidRDefault="007B2B29" w:rsidP="007B2B29">
      <w:pPr>
        <w:pStyle w:val="NormalWeb"/>
        <w:spacing w:before="100" w:beforeAutospacing="1" w:after="100" w:afterAutospacing="1"/>
        <w:rPr>
          <w:rFonts w:ascii="Arial Narrow" w:hAnsi="Arial Narrow" w:cs="Times New Roman"/>
          <w:b/>
          <w:bCs/>
          <w:color w:val="auto"/>
          <w:sz w:val="22"/>
          <w:szCs w:val="22"/>
          <w:u w:val="single"/>
        </w:rPr>
      </w:pPr>
      <w:r w:rsidRPr="00FA6022">
        <w:rPr>
          <w:rFonts w:ascii="Arial Narrow" w:hAnsi="Arial Narrow" w:cs="Times New Roman"/>
          <w:b/>
          <w:bCs/>
          <w:color w:val="auto"/>
          <w:sz w:val="22"/>
          <w:szCs w:val="22"/>
          <w:u w:val="single"/>
        </w:rPr>
        <w:t xml:space="preserve">TOPIC 1 </w:t>
      </w:r>
      <w:r w:rsidRPr="00FA6022">
        <w:rPr>
          <w:rFonts w:ascii="Arial Narrow" w:hAnsi="Arial Narrow" w:cs="Times New Roman"/>
          <w:b/>
          <w:bCs/>
          <w:color w:val="auto"/>
          <w:sz w:val="22"/>
          <w:szCs w:val="22"/>
          <w:u w:val="single"/>
        </w:rPr>
        <w:tab/>
        <w:t>FINANCIAL INSTITUTIONS IN KENYA</w:t>
      </w:r>
    </w:p>
    <w:p w:rsidR="007B2B29" w:rsidRPr="00FA6022" w:rsidRDefault="007B2B29" w:rsidP="007B2B29">
      <w:pPr>
        <w:pStyle w:val="NormalWeb"/>
        <w:spacing w:before="100" w:beforeAutospacing="1" w:after="100" w:afterAutospacing="1"/>
        <w:rPr>
          <w:rFonts w:ascii="Arial Narrow" w:hAnsi="Arial Narrow" w:cs="Times New Roman"/>
          <w:b/>
          <w:bCs/>
          <w:color w:val="auto"/>
          <w:sz w:val="22"/>
          <w:szCs w:val="22"/>
          <w:u w:val="single"/>
        </w:rPr>
      </w:pPr>
      <w:r w:rsidRPr="00FA6022">
        <w:rPr>
          <w:rFonts w:ascii="Arial Narrow" w:hAnsi="Arial Narrow" w:cs="Times New Roman"/>
          <w:b/>
          <w:bCs/>
          <w:color w:val="auto"/>
          <w:sz w:val="22"/>
          <w:szCs w:val="22"/>
          <w:u w:val="single"/>
        </w:rPr>
        <w:t>Introduction</w:t>
      </w:r>
    </w:p>
    <w:p w:rsidR="007B2B29" w:rsidRPr="00FA6022" w:rsidRDefault="007B2B29" w:rsidP="007B2B29">
      <w:pPr>
        <w:pStyle w:val="NormalWeb"/>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Financial institutions are those organizations that are involved in providing various types of financial services to their customers. A financial institution can also be defined as that type of an institution, which performs the collection of funds from private investors and public investors and utilizes those funds in financial assets.</w:t>
      </w:r>
    </w:p>
    <w:p w:rsidR="007B2B29" w:rsidRPr="00FA6022" w:rsidRDefault="007B2B29" w:rsidP="007B2B29">
      <w:pPr>
        <w:spacing w:before="100" w:beforeAutospacing="1" w:after="100" w:afterAutospacing="1" w:line="240" w:lineRule="auto"/>
        <w:jc w:val="both"/>
        <w:textAlignment w:val="top"/>
        <w:rPr>
          <w:rFonts w:ascii="Arial Narrow" w:eastAsia="Arial Unicode MS" w:hAnsi="Arial Narrow"/>
          <w:bCs/>
        </w:rPr>
      </w:pPr>
      <w:r w:rsidRPr="00FA6022">
        <w:rPr>
          <w:rFonts w:ascii="Arial Narrow" w:eastAsia="Arial Unicode MS" w:hAnsi="Arial Narrow"/>
          <w:bCs/>
        </w:rPr>
        <w:t>The financial institutions are controlled and supervised by the rules and regulations delineated by government authorities.  Examples of financial institutions are the following:</w:t>
      </w:r>
    </w:p>
    <w:p w:rsidR="007B2B29" w:rsidRPr="00FA6022" w:rsidRDefault="007B2B29" w:rsidP="007B2B29">
      <w:pPr>
        <w:numPr>
          <w:ilvl w:val="0"/>
          <w:numId w:val="5"/>
        </w:numPr>
        <w:spacing w:before="100" w:beforeAutospacing="1" w:after="100" w:afterAutospacing="1" w:line="240" w:lineRule="auto"/>
        <w:ind w:left="0" w:firstLine="0"/>
        <w:jc w:val="both"/>
        <w:textAlignment w:val="top"/>
        <w:rPr>
          <w:rFonts w:ascii="Arial Narrow" w:eastAsia="Arial Unicode MS" w:hAnsi="Arial Narrow"/>
          <w:bCs/>
        </w:rPr>
      </w:pPr>
      <w:r w:rsidRPr="00FA6022">
        <w:rPr>
          <w:rFonts w:ascii="Arial Narrow" w:eastAsia="Arial Unicode MS" w:hAnsi="Arial Narrow"/>
          <w:bCs/>
        </w:rPr>
        <w:t>Commercial Banks and Mortgage finance Institutions.</w:t>
      </w:r>
    </w:p>
    <w:p w:rsidR="007B2B29" w:rsidRPr="00FA6022" w:rsidRDefault="007B2B29" w:rsidP="007B2B29">
      <w:pPr>
        <w:numPr>
          <w:ilvl w:val="0"/>
          <w:numId w:val="5"/>
        </w:numPr>
        <w:spacing w:before="100" w:beforeAutospacing="1" w:after="100" w:afterAutospacing="1" w:line="240" w:lineRule="auto"/>
        <w:ind w:left="0" w:firstLine="0"/>
        <w:jc w:val="both"/>
        <w:textAlignment w:val="top"/>
        <w:rPr>
          <w:rFonts w:ascii="Arial Narrow" w:eastAsia="Arial Unicode MS" w:hAnsi="Arial Narrow"/>
          <w:bCs/>
        </w:rPr>
      </w:pPr>
      <w:r w:rsidRPr="00FA6022">
        <w:rPr>
          <w:rFonts w:ascii="Arial Narrow" w:eastAsia="Arial Unicode MS" w:hAnsi="Arial Narrow"/>
          <w:bCs/>
        </w:rPr>
        <w:t>Stock Brokerage Firms and Investment Banks.</w:t>
      </w:r>
    </w:p>
    <w:p w:rsidR="007B2B29" w:rsidRPr="00FA6022" w:rsidRDefault="007B2B29" w:rsidP="007B2B29">
      <w:pPr>
        <w:numPr>
          <w:ilvl w:val="0"/>
          <w:numId w:val="5"/>
        </w:numPr>
        <w:spacing w:before="100" w:beforeAutospacing="1" w:after="100" w:afterAutospacing="1" w:line="240" w:lineRule="auto"/>
        <w:ind w:left="0" w:firstLine="0"/>
        <w:jc w:val="both"/>
        <w:textAlignment w:val="top"/>
        <w:rPr>
          <w:rFonts w:ascii="Arial Narrow" w:eastAsia="Arial Unicode MS" w:hAnsi="Arial Narrow"/>
          <w:bCs/>
        </w:rPr>
      </w:pPr>
      <w:r w:rsidRPr="00FA6022">
        <w:rPr>
          <w:rFonts w:ascii="Arial Narrow" w:eastAsia="Arial Unicode MS" w:hAnsi="Arial Narrow"/>
          <w:bCs/>
        </w:rPr>
        <w:t xml:space="preserve">Non Banking Financial Institutions </w:t>
      </w:r>
    </w:p>
    <w:p w:rsidR="007B2B29" w:rsidRPr="00FA6022" w:rsidRDefault="007B2B29" w:rsidP="007B2B29">
      <w:pPr>
        <w:numPr>
          <w:ilvl w:val="0"/>
          <w:numId w:val="5"/>
        </w:numPr>
        <w:spacing w:before="100" w:beforeAutospacing="1" w:after="100" w:afterAutospacing="1" w:line="240" w:lineRule="auto"/>
        <w:ind w:left="0" w:firstLine="0"/>
        <w:jc w:val="both"/>
        <w:textAlignment w:val="top"/>
        <w:rPr>
          <w:rFonts w:ascii="Arial Narrow" w:eastAsia="Arial Unicode MS" w:hAnsi="Arial Narrow"/>
          <w:bCs/>
        </w:rPr>
      </w:pPr>
      <w:r w:rsidRPr="00FA6022">
        <w:rPr>
          <w:rFonts w:ascii="Arial Narrow" w:eastAsia="Arial Unicode MS" w:hAnsi="Arial Narrow"/>
          <w:bCs/>
        </w:rPr>
        <w:t xml:space="preserve">Building Societies </w:t>
      </w:r>
    </w:p>
    <w:p w:rsidR="007B2B29" w:rsidRPr="00FA6022" w:rsidRDefault="007B2B29" w:rsidP="007B2B29">
      <w:pPr>
        <w:numPr>
          <w:ilvl w:val="0"/>
          <w:numId w:val="5"/>
        </w:numPr>
        <w:spacing w:before="100" w:beforeAutospacing="1" w:after="100" w:afterAutospacing="1" w:line="240" w:lineRule="auto"/>
        <w:ind w:left="0" w:firstLine="0"/>
        <w:jc w:val="both"/>
        <w:textAlignment w:val="top"/>
        <w:rPr>
          <w:rFonts w:ascii="Arial Narrow" w:eastAsia="Arial Unicode MS" w:hAnsi="Arial Narrow"/>
          <w:bCs/>
        </w:rPr>
      </w:pPr>
      <w:r w:rsidRPr="00FA6022">
        <w:rPr>
          <w:rFonts w:ascii="Arial Narrow" w:eastAsia="Arial Unicode MS" w:hAnsi="Arial Narrow"/>
          <w:bCs/>
        </w:rPr>
        <w:t xml:space="preserve">Asset Management Firms </w:t>
      </w:r>
    </w:p>
    <w:p w:rsidR="007B2B29" w:rsidRPr="00FA6022" w:rsidRDefault="007B2B29" w:rsidP="007B2B29">
      <w:pPr>
        <w:numPr>
          <w:ilvl w:val="0"/>
          <w:numId w:val="5"/>
        </w:numPr>
        <w:spacing w:before="100" w:beforeAutospacing="1" w:after="100" w:afterAutospacing="1" w:line="240" w:lineRule="auto"/>
        <w:ind w:left="0" w:firstLine="0"/>
        <w:jc w:val="both"/>
        <w:textAlignment w:val="top"/>
        <w:rPr>
          <w:rFonts w:ascii="Arial Narrow" w:eastAsia="Arial Unicode MS" w:hAnsi="Arial Narrow"/>
          <w:bCs/>
        </w:rPr>
      </w:pPr>
      <w:r w:rsidRPr="00FA6022">
        <w:rPr>
          <w:rFonts w:ascii="Arial Narrow" w:eastAsia="Arial Unicode MS" w:hAnsi="Arial Narrow"/>
          <w:bCs/>
        </w:rPr>
        <w:t xml:space="preserve">Credit Unions </w:t>
      </w:r>
    </w:p>
    <w:p w:rsidR="007B2B29" w:rsidRPr="00FA6022" w:rsidRDefault="007B2B29" w:rsidP="007B2B29">
      <w:pPr>
        <w:numPr>
          <w:ilvl w:val="0"/>
          <w:numId w:val="5"/>
        </w:numPr>
        <w:spacing w:before="100" w:beforeAutospacing="1" w:after="100" w:afterAutospacing="1" w:line="240" w:lineRule="auto"/>
        <w:ind w:left="0" w:firstLine="0"/>
        <w:jc w:val="both"/>
        <w:textAlignment w:val="top"/>
        <w:rPr>
          <w:rFonts w:ascii="Arial Narrow" w:eastAsia="Arial Unicode MS" w:hAnsi="Arial Narrow"/>
          <w:bCs/>
        </w:rPr>
      </w:pPr>
      <w:r w:rsidRPr="00FA6022">
        <w:rPr>
          <w:rFonts w:ascii="Arial Narrow" w:eastAsia="Arial Unicode MS" w:hAnsi="Arial Narrow"/>
          <w:bCs/>
        </w:rPr>
        <w:t>Insurance Companies</w:t>
      </w:r>
    </w:p>
    <w:p w:rsidR="007B2B29" w:rsidRPr="00FA6022" w:rsidRDefault="007B2B29" w:rsidP="007B2B29">
      <w:pPr>
        <w:numPr>
          <w:ilvl w:val="0"/>
          <w:numId w:val="5"/>
        </w:numPr>
        <w:spacing w:before="100" w:beforeAutospacing="1" w:after="100" w:afterAutospacing="1" w:line="240" w:lineRule="auto"/>
        <w:ind w:left="0" w:firstLine="0"/>
        <w:jc w:val="both"/>
        <w:textAlignment w:val="top"/>
        <w:rPr>
          <w:rFonts w:ascii="Arial Narrow" w:eastAsia="Arial Unicode MS" w:hAnsi="Arial Narrow"/>
          <w:bCs/>
        </w:rPr>
      </w:pPr>
      <w:r w:rsidRPr="00FA6022">
        <w:rPr>
          <w:rFonts w:ascii="Arial Narrow" w:eastAsia="Arial Unicode MS" w:hAnsi="Arial Narrow"/>
          <w:bCs/>
        </w:rPr>
        <w:t>Stock exchanges</w:t>
      </w:r>
    </w:p>
    <w:p w:rsidR="007B2B29" w:rsidRPr="00FA6022" w:rsidRDefault="007B2B29" w:rsidP="007B2B29">
      <w:pPr>
        <w:numPr>
          <w:ilvl w:val="0"/>
          <w:numId w:val="5"/>
        </w:numPr>
        <w:spacing w:before="100" w:beforeAutospacing="1" w:after="100" w:afterAutospacing="1" w:line="240" w:lineRule="auto"/>
        <w:ind w:left="0" w:firstLine="0"/>
        <w:jc w:val="both"/>
        <w:textAlignment w:val="top"/>
        <w:rPr>
          <w:rFonts w:ascii="Arial Narrow" w:eastAsia="Arial Unicode MS" w:hAnsi="Arial Narrow"/>
          <w:bCs/>
        </w:rPr>
      </w:pPr>
      <w:r w:rsidRPr="00FA6022">
        <w:rPr>
          <w:rFonts w:ascii="Arial Narrow" w:eastAsia="Arial Unicode MS" w:hAnsi="Arial Narrow"/>
          <w:bCs/>
        </w:rPr>
        <w:t>Mutual Funds.</w:t>
      </w:r>
    </w:p>
    <w:p w:rsidR="007B2B29" w:rsidRPr="00FA6022" w:rsidRDefault="007B2B29" w:rsidP="007B2B29">
      <w:pPr>
        <w:numPr>
          <w:ilvl w:val="0"/>
          <w:numId w:val="5"/>
        </w:numPr>
        <w:spacing w:before="100" w:beforeAutospacing="1" w:after="100" w:afterAutospacing="1" w:line="240" w:lineRule="auto"/>
        <w:ind w:left="0" w:firstLine="0"/>
        <w:jc w:val="both"/>
        <w:textAlignment w:val="top"/>
        <w:rPr>
          <w:rFonts w:ascii="Arial Narrow" w:eastAsia="Arial Unicode MS" w:hAnsi="Arial Narrow"/>
          <w:bCs/>
        </w:rPr>
      </w:pPr>
      <w:r w:rsidRPr="00FA6022">
        <w:rPr>
          <w:rFonts w:ascii="Arial Narrow" w:eastAsia="Arial Unicode MS" w:hAnsi="Arial Narrow"/>
          <w:bCs/>
        </w:rPr>
        <w:t>Hedge Funds</w:t>
      </w:r>
    </w:p>
    <w:p w:rsidR="007B2B29" w:rsidRPr="00FA6022" w:rsidRDefault="007B2B29" w:rsidP="007B2B29">
      <w:pPr>
        <w:spacing w:before="100" w:beforeAutospacing="1" w:after="100" w:afterAutospacing="1" w:line="240" w:lineRule="auto"/>
        <w:jc w:val="both"/>
        <w:textAlignment w:val="top"/>
        <w:rPr>
          <w:rFonts w:ascii="Arial Narrow" w:eastAsia="Arial Unicode MS" w:hAnsi="Arial Narrow"/>
          <w:bCs/>
        </w:rPr>
      </w:pPr>
      <w:r w:rsidRPr="00FA6022">
        <w:rPr>
          <w:rFonts w:ascii="Arial Narrow" w:eastAsia="Arial Unicode MS" w:hAnsi="Arial Narrow"/>
          <w:bCs/>
        </w:rPr>
        <w:t xml:space="preserve">Some of the financial institutions also function as mediators in share markets and debt security markets. There the principal function of financial institutions is to collect funds from the investors and direct the funds to various financial services providers in search for those funds. </w:t>
      </w:r>
    </w:p>
    <w:p w:rsidR="007B2B29" w:rsidRPr="00FA6022" w:rsidRDefault="007B2B29" w:rsidP="00FA6022">
      <w:pPr>
        <w:spacing w:before="100" w:beforeAutospacing="1" w:after="100" w:afterAutospacing="1" w:line="240" w:lineRule="auto"/>
        <w:jc w:val="both"/>
        <w:textAlignment w:val="top"/>
        <w:rPr>
          <w:rFonts w:ascii="Arial Narrow" w:eastAsia="Arial Unicode MS" w:hAnsi="Arial Narrow"/>
          <w:bCs/>
        </w:rPr>
      </w:pPr>
      <w:r w:rsidRPr="00FA6022">
        <w:rPr>
          <w:rFonts w:ascii="Arial Narrow" w:eastAsia="Arial Unicode MS" w:hAnsi="Arial Narrow"/>
          <w:bCs/>
        </w:rPr>
        <w:t>Financial institutions deal with various financial activities associated with bonds, debentures, stocks, loans, risk diversification, insurance, hedging, retirement planning, investment, portfolio management, and many other types of related functions. With the help of their functions, the financial institutions transfer money or funds to various tiers of economy and thus play a significant role in acting upon the domestic and the international economic scenario.</w:t>
      </w:r>
      <w:r w:rsidRPr="00FA6022">
        <w:rPr>
          <w:rFonts w:ascii="Arial Narrow" w:eastAsia="Arial Unicode MS" w:hAnsi="Arial Narrow"/>
          <w:bCs/>
        </w:rPr>
        <w:br/>
      </w:r>
      <w:r w:rsidRPr="00FA6022">
        <w:rPr>
          <w:rFonts w:ascii="Arial Narrow" w:eastAsia="Arial Unicode MS" w:hAnsi="Arial Narrow"/>
          <w:bCs/>
        </w:rPr>
        <w:br/>
        <w:t xml:space="preserve">For carrying out their business operations, financial institutions implement different types of economic models. They assist their clients and investors to maximize their profits by rendering appropriate guidance. Financial institutions also impart a wide range of educational programs to educate the investors on the fundamentals of investment and also regarding the valuation of stock, bonds, assets, foreign exchanges, and commodities. </w:t>
      </w:r>
      <w:r w:rsidRPr="00FA6022">
        <w:rPr>
          <w:rFonts w:ascii="Arial Narrow" w:eastAsia="Arial Unicode MS" w:hAnsi="Arial Narrow"/>
          <w:bCs/>
        </w:rPr>
        <w:br/>
      </w:r>
      <w:r w:rsidRPr="00FA6022">
        <w:rPr>
          <w:rFonts w:ascii="Arial Narrow" w:eastAsia="Arial Unicode MS" w:hAnsi="Arial Narrow"/>
          <w:bCs/>
        </w:rPr>
        <w:br/>
        <w:t xml:space="preserve">Financial institutions can be either private or public in nature. </w:t>
      </w:r>
    </w:p>
    <w:p w:rsidR="007B2B29" w:rsidRPr="00FA6022" w:rsidRDefault="007B2B29" w:rsidP="007B2B29">
      <w:pPr>
        <w:pStyle w:val="NormalWeb"/>
        <w:spacing w:before="100" w:beforeAutospacing="1" w:after="100" w:afterAutospacing="1"/>
        <w:rPr>
          <w:rFonts w:ascii="Arial Narrow" w:hAnsi="Arial Narrow" w:cs="Times New Roman"/>
          <w:b/>
          <w:bCs/>
          <w:color w:val="auto"/>
          <w:sz w:val="22"/>
          <w:szCs w:val="22"/>
        </w:rPr>
      </w:pPr>
      <w:r w:rsidRPr="00FA6022">
        <w:rPr>
          <w:rFonts w:ascii="Arial Narrow" w:hAnsi="Arial Narrow" w:cs="Times New Roman"/>
          <w:b/>
          <w:bCs/>
          <w:color w:val="auto"/>
          <w:sz w:val="22"/>
          <w:szCs w:val="22"/>
        </w:rPr>
        <w:t xml:space="preserve">A. </w:t>
      </w:r>
      <w:r w:rsidRPr="00FA6022">
        <w:rPr>
          <w:rFonts w:ascii="Arial Narrow" w:hAnsi="Arial Narrow" w:cs="Times New Roman"/>
          <w:b/>
          <w:bCs/>
          <w:color w:val="auto"/>
          <w:sz w:val="22"/>
          <w:szCs w:val="22"/>
          <w:u w:val="single"/>
        </w:rPr>
        <w:t>MONEY MARKET INSTITUTIONS</w:t>
      </w:r>
    </w:p>
    <w:p w:rsidR="007B2B29" w:rsidRPr="00FA6022" w:rsidRDefault="007B2B29" w:rsidP="007B2B29">
      <w:pPr>
        <w:pStyle w:val="NormalWeb"/>
        <w:numPr>
          <w:ilvl w:val="0"/>
          <w:numId w:val="1"/>
        </w:numPr>
        <w:spacing w:before="100" w:beforeAutospacing="1" w:after="100" w:afterAutospacing="1"/>
        <w:rPr>
          <w:rFonts w:ascii="Arial Narrow" w:hAnsi="Arial Narrow" w:cs="Times New Roman"/>
          <w:b/>
          <w:bCs/>
          <w:color w:val="auto"/>
          <w:sz w:val="22"/>
          <w:szCs w:val="22"/>
          <w:u w:val="single"/>
        </w:rPr>
      </w:pPr>
      <w:r w:rsidRPr="00FA6022">
        <w:rPr>
          <w:rFonts w:ascii="Arial Narrow" w:hAnsi="Arial Narrow" w:cs="Times New Roman"/>
          <w:b/>
          <w:bCs/>
          <w:color w:val="auto"/>
          <w:sz w:val="22"/>
          <w:szCs w:val="22"/>
          <w:u w:val="single"/>
        </w:rPr>
        <w:t>Central Bank of Kenya</w:t>
      </w:r>
    </w:p>
    <w:p w:rsidR="007B2B29" w:rsidRPr="00FA6022" w:rsidRDefault="007B2B29" w:rsidP="007B2B29">
      <w:pPr>
        <w:pStyle w:val="NormalWeb"/>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The Central Bank of Kenya was established in 1966 through an Act of Parliament - the Central Bank of Kenya Act of 1966. The establishment of the Bank was a direct result of the desire among the three East African states to have independent monetary and financial policies. This led to the collapse of the East Africa Currency Board (EACB) in mid 1960s.</w:t>
      </w:r>
    </w:p>
    <w:p w:rsidR="007B2B29" w:rsidRPr="00FA6022" w:rsidRDefault="007B2B29" w:rsidP="007B2B29">
      <w:pPr>
        <w:pStyle w:val="NormalWeb"/>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Section 4 of the Central Bank of Kenya Act states the core mandate of the Bank as follows: (1) the principal object of the Bank shall be to formulate and implement monetary policy directed to achieving and maintaining stability in the general level of prices; (2) the Bank shall foster the liquidity, solvency and proper functioning of a stable market- based financial system; and (3) subject to (1) and (2), the Bank shall support the economic policy of the Government, including its objectives for growth and employment.</w:t>
      </w:r>
    </w:p>
    <w:p w:rsidR="007B2B29" w:rsidRPr="00FA6022" w:rsidRDefault="007B2B29" w:rsidP="007B2B29">
      <w:pPr>
        <w:spacing w:before="100" w:beforeAutospacing="1" w:after="100" w:afterAutospacing="1" w:line="240" w:lineRule="auto"/>
        <w:rPr>
          <w:rFonts w:ascii="Arial Narrow" w:eastAsia="Arial Unicode MS" w:hAnsi="Arial Narrow"/>
          <w:b/>
          <w:bCs/>
          <w:u w:val="single"/>
        </w:rPr>
      </w:pPr>
      <w:r w:rsidRPr="00FA6022">
        <w:rPr>
          <w:rFonts w:ascii="Arial Narrow" w:eastAsia="Arial Unicode MS" w:hAnsi="Arial Narrow"/>
          <w:b/>
          <w:bCs/>
          <w:noProof/>
          <w:u w:val="single"/>
        </w:rPr>
        <w:lastRenderedPageBreak/>
        <w:t>Subsidiary mandate of the CBK</w:t>
      </w:r>
    </w:p>
    <w:p w:rsidR="007B2B29" w:rsidRPr="00FA6022" w:rsidRDefault="007B2B29" w:rsidP="007B2B29">
      <w:pPr>
        <w:spacing w:before="100" w:beforeAutospacing="1" w:after="100" w:afterAutospacing="1" w:line="240" w:lineRule="auto"/>
        <w:textAlignment w:val="top"/>
        <w:rPr>
          <w:rFonts w:ascii="Arial Narrow" w:eastAsia="Arial Unicode MS" w:hAnsi="Arial Narrow"/>
          <w:bCs/>
        </w:rPr>
      </w:pPr>
      <w:r w:rsidRPr="00FA6022">
        <w:rPr>
          <w:rFonts w:ascii="Arial Narrow" w:eastAsia="Arial Unicode MS" w:hAnsi="Arial Narrow"/>
          <w:bCs/>
        </w:rPr>
        <w:t xml:space="preserve">The other objectives of the Bank are enumerated under Section 4A of the Act, and empower the Bank to:- </w:t>
      </w:r>
    </w:p>
    <w:p w:rsidR="007B2B29" w:rsidRPr="00FA6022" w:rsidRDefault="007B2B29" w:rsidP="007B2B29">
      <w:pPr>
        <w:pStyle w:val="ListParagraph"/>
        <w:numPr>
          <w:ilvl w:val="0"/>
          <w:numId w:val="4"/>
        </w:numPr>
        <w:spacing w:before="100" w:beforeAutospacing="1" w:after="100" w:afterAutospacing="1" w:line="240" w:lineRule="auto"/>
        <w:rPr>
          <w:rFonts w:ascii="Arial Narrow" w:eastAsia="Arial Unicode MS" w:hAnsi="Arial Narrow"/>
          <w:bCs/>
        </w:rPr>
      </w:pPr>
      <w:r w:rsidRPr="00FA6022">
        <w:rPr>
          <w:rFonts w:ascii="Arial Narrow" w:eastAsia="Arial Unicode MS" w:hAnsi="Arial Narrow"/>
          <w:bCs/>
        </w:rPr>
        <w:t xml:space="preserve">Formulate and implement foreign exchange policy </w:t>
      </w:r>
    </w:p>
    <w:p w:rsidR="007B2B29" w:rsidRPr="00FA6022" w:rsidRDefault="007B2B29" w:rsidP="007B2B29">
      <w:pPr>
        <w:pStyle w:val="ListParagraph"/>
        <w:numPr>
          <w:ilvl w:val="0"/>
          <w:numId w:val="4"/>
        </w:numPr>
        <w:spacing w:before="100" w:beforeAutospacing="1" w:after="100" w:afterAutospacing="1" w:line="240" w:lineRule="auto"/>
        <w:rPr>
          <w:rFonts w:ascii="Arial Narrow" w:eastAsia="Arial Unicode MS" w:hAnsi="Arial Narrow"/>
          <w:bCs/>
        </w:rPr>
      </w:pPr>
      <w:r w:rsidRPr="00FA6022">
        <w:rPr>
          <w:rFonts w:ascii="Arial Narrow" w:eastAsia="Arial Unicode MS" w:hAnsi="Arial Narrow"/>
          <w:bCs/>
        </w:rPr>
        <w:t xml:space="preserve">Hold and manage its foreign exchange reserves; </w:t>
      </w:r>
    </w:p>
    <w:p w:rsidR="007B2B29" w:rsidRPr="00FA6022" w:rsidRDefault="007B2B29" w:rsidP="007B2B29">
      <w:pPr>
        <w:pStyle w:val="ListParagraph"/>
        <w:numPr>
          <w:ilvl w:val="0"/>
          <w:numId w:val="4"/>
        </w:numPr>
        <w:spacing w:before="100" w:beforeAutospacing="1" w:after="100" w:afterAutospacing="1" w:line="240" w:lineRule="auto"/>
        <w:rPr>
          <w:rFonts w:ascii="Arial Narrow" w:eastAsia="Arial Unicode MS" w:hAnsi="Arial Narrow"/>
          <w:bCs/>
        </w:rPr>
      </w:pPr>
      <w:r w:rsidRPr="00FA6022">
        <w:rPr>
          <w:rFonts w:ascii="Arial Narrow" w:eastAsia="Arial Unicode MS" w:hAnsi="Arial Narrow"/>
          <w:bCs/>
        </w:rPr>
        <w:t xml:space="preserve">License and supervise authorized dealers; </w:t>
      </w:r>
    </w:p>
    <w:p w:rsidR="007B2B29" w:rsidRPr="00FA6022" w:rsidRDefault="007B2B29" w:rsidP="007B2B29">
      <w:pPr>
        <w:pStyle w:val="ListParagraph"/>
        <w:numPr>
          <w:ilvl w:val="0"/>
          <w:numId w:val="4"/>
        </w:numPr>
        <w:spacing w:before="100" w:beforeAutospacing="1" w:after="100" w:afterAutospacing="1" w:line="240" w:lineRule="auto"/>
        <w:rPr>
          <w:rFonts w:ascii="Arial Narrow" w:eastAsia="Arial Unicode MS" w:hAnsi="Arial Narrow"/>
          <w:bCs/>
        </w:rPr>
      </w:pPr>
      <w:r w:rsidRPr="00FA6022">
        <w:rPr>
          <w:rFonts w:ascii="Arial Narrow" w:eastAsia="Arial Unicode MS" w:hAnsi="Arial Narrow"/>
          <w:bCs/>
        </w:rPr>
        <w:t>Formulate and implement such policies as best promote the establishment regulation and supervision of efficient and effective payment, clearing and settlement systems;</w:t>
      </w:r>
    </w:p>
    <w:p w:rsidR="007B2B29" w:rsidRPr="00FA6022" w:rsidRDefault="007B2B29" w:rsidP="007B2B29">
      <w:pPr>
        <w:pStyle w:val="ListParagraph"/>
        <w:numPr>
          <w:ilvl w:val="0"/>
          <w:numId w:val="4"/>
        </w:numPr>
        <w:spacing w:before="100" w:beforeAutospacing="1" w:after="100" w:afterAutospacing="1" w:line="240" w:lineRule="auto"/>
        <w:rPr>
          <w:rFonts w:ascii="Arial Narrow" w:eastAsia="Arial Unicode MS" w:hAnsi="Arial Narrow"/>
          <w:bCs/>
        </w:rPr>
      </w:pPr>
      <w:r w:rsidRPr="00FA6022">
        <w:rPr>
          <w:rFonts w:ascii="Arial Narrow" w:eastAsia="Arial Unicode MS" w:hAnsi="Arial Narrow"/>
          <w:bCs/>
        </w:rPr>
        <w:t>Act as banker and adviser to, and as fiscal agent of the Government; and</w:t>
      </w:r>
    </w:p>
    <w:p w:rsidR="007B2B29" w:rsidRPr="00FA6022" w:rsidRDefault="007B2B29" w:rsidP="007B2B29">
      <w:pPr>
        <w:pStyle w:val="ListParagraph"/>
        <w:numPr>
          <w:ilvl w:val="0"/>
          <w:numId w:val="4"/>
        </w:numPr>
        <w:spacing w:before="100" w:beforeAutospacing="1" w:after="100" w:afterAutospacing="1" w:line="240" w:lineRule="auto"/>
        <w:rPr>
          <w:rFonts w:ascii="Arial Narrow" w:eastAsia="Arial Unicode MS" w:hAnsi="Arial Narrow"/>
          <w:bCs/>
        </w:rPr>
      </w:pPr>
      <w:r w:rsidRPr="00FA6022">
        <w:rPr>
          <w:rFonts w:ascii="Arial Narrow" w:eastAsia="Arial Unicode MS" w:hAnsi="Arial Narrow"/>
          <w:bCs/>
        </w:rPr>
        <w:t>Issue currency notes and coins.</w:t>
      </w:r>
    </w:p>
    <w:p w:rsidR="007B2B29" w:rsidRPr="00FA6022" w:rsidRDefault="007B2B29" w:rsidP="007B2B29">
      <w:pPr>
        <w:pStyle w:val="NormalWeb"/>
        <w:numPr>
          <w:ilvl w:val="0"/>
          <w:numId w:val="1"/>
        </w:numPr>
        <w:spacing w:before="100" w:beforeAutospacing="1" w:after="100" w:afterAutospacing="1"/>
        <w:rPr>
          <w:rFonts w:ascii="Arial Narrow" w:hAnsi="Arial Narrow" w:cs="Times New Roman"/>
          <w:b/>
          <w:bCs/>
          <w:color w:val="auto"/>
          <w:sz w:val="22"/>
          <w:szCs w:val="22"/>
          <w:u w:val="single"/>
        </w:rPr>
      </w:pPr>
      <w:r w:rsidRPr="00FA6022">
        <w:rPr>
          <w:rFonts w:ascii="Arial Narrow" w:hAnsi="Arial Narrow" w:cs="Times New Roman"/>
          <w:b/>
          <w:bCs/>
          <w:color w:val="auto"/>
          <w:sz w:val="22"/>
          <w:szCs w:val="22"/>
          <w:u w:val="single"/>
        </w:rPr>
        <w:t>Commercial Banks and Mortgage (S &amp; L) Financial Institutions</w:t>
      </w:r>
      <w:r w:rsidRPr="00FA6022">
        <w:rPr>
          <w:rFonts w:ascii="Arial Narrow" w:hAnsi="Arial Narrow" w:cs="Times New Roman"/>
          <w:b/>
          <w:bCs/>
          <w:color w:val="auto"/>
          <w:sz w:val="22"/>
          <w:szCs w:val="22"/>
        </w:rPr>
        <w:br/>
      </w:r>
      <w:r w:rsidRPr="00FA6022">
        <w:rPr>
          <w:rStyle w:val="Strong"/>
          <w:rFonts w:ascii="Arial Narrow" w:hAnsi="Arial Narrow" w:cs="Times New Roman"/>
          <w:color w:val="auto"/>
          <w:sz w:val="22"/>
          <w:szCs w:val="22"/>
        </w:rPr>
        <w:t>Commercial Banks and Mortgage Finance Institutions</w:t>
      </w:r>
      <w:r w:rsidRPr="00FA6022">
        <w:rPr>
          <w:rFonts w:ascii="Arial Narrow" w:hAnsi="Arial Narrow" w:cs="Times New Roman"/>
          <w:bCs/>
          <w:color w:val="auto"/>
          <w:sz w:val="22"/>
          <w:szCs w:val="22"/>
        </w:rPr>
        <w:t xml:space="preserve"> are licensed and regulated pursuant to the provisions of the Banking Act and the Regulations and Prudential Guidelines issued thereunder. They are the dominant players in the Kenyan Banking system and closer attention is paid to them while conducting off-site and on-site surveillance to ensure that they are in compliance with the laws and regulations. Currently there are there are </w:t>
      </w:r>
      <w:r w:rsidRPr="00FA6022">
        <w:rPr>
          <w:rStyle w:val="spanheaderstitleblue1"/>
          <w:rFonts w:ascii="Arial Narrow" w:hAnsi="Arial Narrow" w:cs="Times New Roman"/>
          <w:color w:val="auto"/>
          <w:spacing w:val="0"/>
          <w:sz w:val="22"/>
          <w:szCs w:val="22"/>
        </w:rPr>
        <w:t>44</w:t>
      </w:r>
      <w:r w:rsidRPr="00FA6022">
        <w:rPr>
          <w:rFonts w:ascii="Arial Narrow" w:hAnsi="Arial Narrow" w:cs="Times New Roman"/>
          <w:bCs/>
          <w:color w:val="auto"/>
          <w:sz w:val="22"/>
          <w:szCs w:val="22"/>
        </w:rPr>
        <w:t xml:space="preserve"> licensed commercial banks and </w:t>
      </w:r>
      <w:r w:rsidRPr="00FA6022">
        <w:rPr>
          <w:rStyle w:val="spanheaderstitleblue1"/>
          <w:rFonts w:ascii="Arial Narrow" w:hAnsi="Arial Narrow" w:cs="Times New Roman"/>
          <w:color w:val="auto"/>
          <w:spacing w:val="0"/>
          <w:sz w:val="22"/>
          <w:szCs w:val="22"/>
        </w:rPr>
        <w:t>1</w:t>
      </w:r>
      <w:r w:rsidRPr="00FA6022">
        <w:rPr>
          <w:rFonts w:ascii="Arial Narrow" w:hAnsi="Arial Narrow" w:cs="Times New Roman"/>
          <w:bCs/>
          <w:color w:val="auto"/>
          <w:sz w:val="22"/>
          <w:szCs w:val="22"/>
        </w:rPr>
        <w:t xml:space="preserve"> mortgage finance company. </w:t>
      </w:r>
      <w:r w:rsidRPr="00FA6022">
        <w:rPr>
          <w:rFonts w:ascii="Arial Narrow" w:hAnsi="Arial Narrow" w:cs="Times New Roman"/>
          <w:bCs/>
          <w:color w:val="auto"/>
          <w:sz w:val="22"/>
          <w:szCs w:val="22"/>
        </w:rPr>
        <w:br/>
      </w:r>
      <w:r w:rsidRPr="00FA6022">
        <w:rPr>
          <w:rFonts w:ascii="Arial Narrow" w:hAnsi="Arial Narrow" w:cs="Times New Roman"/>
          <w:bCs/>
          <w:color w:val="auto"/>
          <w:sz w:val="22"/>
          <w:szCs w:val="22"/>
        </w:rPr>
        <w:br/>
        <w:t xml:space="preserve">Out of the </w:t>
      </w:r>
      <w:r w:rsidRPr="00FA6022">
        <w:rPr>
          <w:rStyle w:val="spanheaderstitleblue1"/>
          <w:rFonts w:ascii="Arial Narrow" w:hAnsi="Arial Narrow" w:cs="Times New Roman"/>
          <w:color w:val="auto"/>
          <w:spacing w:val="0"/>
          <w:sz w:val="22"/>
          <w:szCs w:val="22"/>
        </w:rPr>
        <w:t>46</w:t>
      </w:r>
      <w:r w:rsidRPr="00FA6022">
        <w:rPr>
          <w:rFonts w:ascii="Arial Narrow" w:hAnsi="Arial Narrow" w:cs="Times New Roman"/>
          <w:bCs/>
          <w:color w:val="auto"/>
          <w:sz w:val="22"/>
          <w:szCs w:val="22"/>
        </w:rPr>
        <w:t xml:space="preserve"> institutions, </w:t>
      </w:r>
      <w:r w:rsidRPr="00FA6022">
        <w:rPr>
          <w:rStyle w:val="spanheaderstitleblue1"/>
          <w:rFonts w:ascii="Arial Narrow" w:hAnsi="Arial Narrow" w:cs="Times New Roman"/>
          <w:color w:val="auto"/>
          <w:spacing w:val="0"/>
          <w:sz w:val="22"/>
          <w:szCs w:val="22"/>
        </w:rPr>
        <w:t>33</w:t>
      </w:r>
      <w:r w:rsidRPr="00FA6022">
        <w:rPr>
          <w:rFonts w:ascii="Arial Narrow" w:hAnsi="Arial Narrow" w:cs="Times New Roman"/>
          <w:bCs/>
          <w:color w:val="auto"/>
          <w:sz w:val="22"/>
          <w:szCs w:val="22"/>
        </w:rPr>
        <w:t xml:space="preserve"> are locally owned and </w:t>
      </w:r>
      <w:r w:rsidRPr="00FA6022">
        <w:rPr>
          <w:rStyle w:val="spanheaderstitleblue1"/>
          <w:rFonts w:ascii="Arial Narrow" w:hAnsi="Arial Narrow" w:cs="Times New Roman"/>
          <w:color w:val="auto"/>
          <w:spacing w:val="0"/>
          <w:sz w:val="22"/>
          <w:szCs w:val="22"/>
        </w:rPr>
        <w:t>13</w:t>
      </w:r>
      <w:r w:rsidRPr="00FA6022">
        <w:rPr>
          <w:rFonts w:ascii="Arial Narrow" w:hAnsi="Arial Narrow" w:cs="Times New Roman"/>
          <w:bCs/>
          <w:color w:val="auto"/>
          <w:sz w:val="22"/>
          <w:szCs w:val="22"/>
        </w:rPr>
        <w:t xml:space="preserve"> are foreign owned. The locally owned financial institutions comprise 3 banks with significant shareholding by the Government and State Corporations,</w:t>
      </w:r>
      <w:r w:rsidRPr="00FA6022">
        <w:rPr>
          <w:rStyle w:val="spanheaderstitleblue1"/>
          <w:rFonts w:ascii="Arial Narrow" w:hAnsi="Arial Narrow" w:cs="Times New Roman"/>
          <w:color w:val="auto"/>
          <w:spacing w:val="0"/>
          <w:sz w:val="22"/>
          <w:szCs w:val="22"/>
        </w:rPr>
        <w:t xml:space="preserve"> 29</w:t>
      </w:r>
      <w:r w:rsidRPr="00FA6022">
        <w:rPr>
          <w:rFonts w:ascii="Arial Narrow" w:hAnsi="Arial Narrow" w:cs="Times New Roman"/>
          <w:bCs/>
          <w:color w:val="auto"/>
          <w:sz w:val="22"/>
          <w:szCs w:val="22"/>
        </w:rPr>
        <w:t xml:space="preserve"> commercial banks and </w:t>
      </w:r>
      <w:r w:rsidRPr="00FA6022">
        <w:rPr>
          <w:rStyle w:val="spanheaderstitleblue1"/>
          <w:rFonts w:ascii="Arial Narrow" w:hAnsi="Arial Narrow" w:cs="Times New Roman"/>
          <w:color w:val="auto"/>
          <w:spacing w:val="0"/>
          <w:sz w:val="22"/>
          <w:szCs w:val="22"/>
        </w:rPr>
        <w:t>1</w:t>
      </w:r>
      <w:r w:rsidRPr="00FA6022">
        <w:rPr>
          <w:rFonts w:ascii="Arial Narrow" w:hAnsi="Arial Narrow" w:cs="Times New Roman"/>
          <w:bCs/>
          <w:color w:val="auto"/>
          <w:sz w:val="22"/>
          <w:szCs w:val="22"/>
        </w:rPr>
        <w:t xml:space="preserve"> mortgage finance institution. The ownership structure of the commercial banks and mortgage finance company is as depicted in the chart below: </w:t>
      </w:r>
      <w:r w:rsidRPr="00FA6022">
        <w:rPr>
          <w:rFonts w:ascii="Arial Narrow" w:hAnsi="Arial Narrow" w:cs="Times New Roman"/>
          <w:bCs/>
          <w:color w:val="auto"/>
          <w:sz w:val="22"/>
          <w:szCs w:val="22"/>
        </w:rPr>
        <w:br/>
      </w:r>
      <w:r w:rsidRPr="00FA6022">
        <w:rPr>
          <w:rFonts w:ascii="Arial Narrow" w:hAnsi="Arial Narrow" w:cs="Times New Roman"/>
          <w:b/>
          <w:bCs/>
          <w:color w:val="auto"/>
          <w:sz w:val="22"/>
          <w:szCs w:val="22"/>
        </w:rPr>
        <w:br/>
      </w:r>
      <w:r w:rsidR="008D1B5D" w:rsidRPr="00AD6E8F">
        <w:rPr>
          <w:rFonts w:ascii="Arial Narrow" w:hAnsi="Arial Narrow" w:cs="Times New Roman"/>
          <w:b/>
          <w:noProof/>
          <w:color w:val="auto"/>
          <w:sz w:val="22"/>
          <w:szCs w:val="22"/>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http://www.centralbank.go.ke/images/bsd/ownershipstructurechart.png" style="width:435pt;height:355.5pt;visibility:visible;mso-wrap-style:square">
            <v:imagedata r:id="rId8" o:title="ownershipstructurechart"/>
          </v:shape>
        </w:pict>
      </w:r>
      <w:r w:rsidRPr="00FA6022">
        <w:rPr>
          <w:rFonts w:ascii="Arial Narrow" w:hAnsi="Arial Narrow" w:cs="Times New Roman"/>
          <w:b/>
          <w:bCs/>
          <w:color w:val="auto"/>
          <w:sz w:val="22"/>
          <w:szCs w:val="22"/>
        </w:rPr>
        <w:lastRenderedPageBreak/>
        <w:br/>
        <w:t>*Shareholding by the Government and state corporations</w:t>
      </w:r>
    </w:p>
    <w:p w:rsidR="007B2B29" w:rsidRPr="00FA6022" w:rsidRDefault="007B2B29" w:rsidP="007B2B29">
      <w:pPr>
        <w:pStyle w:val="NormalWeb"/>
        <w:spacing w:before="100" w:beforeAutospacing="1" w:after="100" w:afterAutospacing="1"/>
        <w:rPr>
          <w:rFonts w:ascii="Arial Narrow" w:hAnsi="Arial Narrow" w:cs="Times New Roman"/>
          <w:b/>
          <w:bCs/>
          <w:color w:val="auto"/>
          <w:sz w:val="22"/>
          <w:szCs w:val="22"/>
          <w:u w:val="single"/>
        </w:rPr>
      </w:pPr>
      <w:r w:rsidRPr="00FA6022">
        <w:rPr>
          <w:rFonts w:ascii="Arial Narrow" w:hAnsi="Arial Narrow" w:cs="Times New Roman"/>
          <w:b/>
          <w:bCs/>
          <w:color w:val="auto"/>
          <w:sz w:val="22"/>
          <w:szCs w:val="22"/>
          <w:u w:val="single"/>
        </w:rPr>
        <w:t>Agent banking</w:t>
      </w:r>
    </w:p>
    <w:p w:rsidR="007B2B29" w:rsidRPr="00FA6022" w:rsidRDefault="007B2B29" w:rsidP="007B2B29">
      <w:pPr>
        <w:pStyle w:val="NormalWeb"/>
        <w:spacing w:before="100" w:beforeAutospacing="1" w:after="100" w:afterAutospacing="1"/>
        <w:rPr>
          <w:rFonts w:ascii="Arial Narrow" w:eastAsiaTheme="minorEastAsia" w:hAnsi="Arial Narrow" w:cs="Times New Roman"/>
          <w:bCs/>
          <w:color w:val="000000" w:themeColor="text1"/>
          <w:sz w:val="22"/>
          <w:szCs w:val="22"/>
          <w:lang w:val="en-US" w:eastAsia="en-US"/>
        </w:rPr>
      </w:pPr>
      <w:r w:rsidRPr="00FA6022">
        <w:rPr>
          <w:rFonts w:ascii="Arial Narrow" w:hAnsi="Arial Narrow" w:cs="Times New Roman"/>
          <w:bCs/>
          <w:color w:val="000000" w:themeColor="text1"/>
          <w:sz w:val="22"/>
          <w:szCs w:val="22"/>
        </w:rPr>
        <w:t>In the past year (2010), the central bank has allowed for agent banking after drafting regulations for the agency banking. Agent means an entity that has been contracted by an institution and approved by the Central Bank to provide the services of the institution on behalf of the institution in the manner specified in the</w:t>
      </w:r>
      <w:r w:rsidRPr="00FA6022">
        <w:rPr>
          <w:rFonts w:ascii="Arial Narrow" w:eastAsiaTheme="minorEastAsia" w:hAnsi="Arial Narrow" w:cs="Times New Roman"/>
          <w:bCs/>
          <w:color w:val="000000" w:themeColor="text1"/>
          <w:sz w:val="22"/>
          <w:szCs w:val="22"/>
          <w:lang w:val="en-US" w:eastAsia="en-US"/>
        </w:rPr>
        <w:t xml:space="preserve"> Guideline. Agent banking is aimed at:</w:t>
      </w:r>
    </w:p>
    <w:p w:rsidR="007B2B29" w:rsidRPr="00FA6022" w:rsidRDefault="007B2B29" w:rsidP="007B2B29">
      <w:pPr>
        <w:pStyle w:val="NormalWeb"/>
        <w:spacing w:before="100" w:beforeAutospacing="1" w:after="100" w:afterAutospacing="1"/>
        <w:rPr>
          <w:rFonts w:ascii="Arial Narrow" w:eastAsiaTheme="minorEastAsia" w:hAnsi="Arial Narrow" w:cs="Times New Roman"/>
          <w:bCs/>
          <w:color w:val="000000" w:themeColor="text1"/>
          <w:sz w:val="22"/>
          <w:szCs w:val="22"/>
          <w:lang w:val="en-US" w:eastAsia="en-US"/>
        </w:rPr>
      </w:pPr>
      <w:r w:rsidRPr="00FA6022">
        <w:rPr>
          <w:rFonts w:ascii="Arial Narrow" w:hAnsi="Arial Narrow" w:cs="Times New Roman"/>
          <w:bCs/>
          <w:color w:val="000000" w:themeColor="text1"/>
          <w:sz w:val="22"/>
          <w:szCs w:val="22"/>
        </w:rPr>
        <w:t>i) Increasing financial services outreach and to promote financial inclusion to the un-banked and under-banked population without risking the safety and soundness of the banking system; and,</w:t>
      </w:r>
    </w:p>
    <w:p w:rsidR="007B2B29" w:rsidRPr="00FA6022" w:rsidRDefault="007B2B29" w:rsidP="007B2B29">
      <w:pPr>
        <w:autoSpaceDE w:val="0"/>
        <w:autoSpaceDN w:val="0"/>
        <w:adjustRightInd w:val="0"/>
        <w:spacing w:after="0" w:line="240" w:lineRule="auto"/>
        <w:rPr>
          <w:rFonts w:ascii="Arial Narrow" w:hAnsi="Arial Narrow"/>
          <w:bCs/>
          <w:color w:val="000000" w:themeColor="text1"/>
        </w:rPr>
      </w:pPr>
      <w:r w:rsidRPr="00FA6022">
        <w:rPr>
          <w:rFonts w:ascii="Arial Narrow" w:eastAsia="Arial Unicode MS" w:hAnsi="Arial Narrow"/>
          <w:bCs/>
          <w:color w:val="000000" w:themeColor="text1"/>
          <w:lang w:val="sw-KE" w:eastAsia="sw-KE"/>
        </w:rPr>
        <w:t xml:space="preserve">ii) Encouraging institutions to use agents in the provision of banking services so as to reduce the </w:t>
      </w:r>
      <w:r w:rsidRPr="00FA6022">
        <w:rPr>
          <w:rFonts w:ascii="Arial Narrow" w:hAnsi="Arial Narrow"/>
          <w:bCs/>
          <w:color w:val="000000" w:themeColor="text1"/>
        </w:rPr>
        <w:t>cost of financial services and to foster financial inclusion, reach and depth.</w:t>
      </w:r>
    </w:p>
    <w:p w:rsidR="007B2B29" w:rsidRPr="00FA6022" w:rsidRDefault="007B2B29" w:rsidP="007B2B29">
      <w:pPr>
        <w:autoSpaceDE w:val="0"/>
        <w:autoSpaceDN w:val="0"/>
        <w:adjustRightInd w:val="0"/>
        <w:spacing w:after="0" w:line="240" w:lineRule="auto"/>
        <w:rPr>
          <w:rFonts w:ascii="Arial Narrow" w:hAnsi="Arial Narrow"/>
          <w:bCs/>
          <w:color w:val="000000" w:themeColor="text1"/>
        </w:rPr>
      </w:pPr>
    </w:p>
    <w:p w:rsidR="007B2B29" w:rsidRPr="00FA6022" w:rsidRDefault="007B2B29" w:rsidP="007B2B29">
      <w:pPr>
        <w:autoSpaceDE w:val="0"/>
        <w:autoSpaceDN w:val="0"/>
        <w:adjustRightInd w:val="0"/>
        <w:spacing w:after="0" w:line="240" w:lineRule="auto"/>
        <w:rPr>
          <w:rFonts w:ascii="Arial Narrow" w:eastAsia="Arial Unicode MS" w:hAnsi="Arial Narrow"/>
          <w:bCs/>
          <w:color w:val="000000" w:themeColor="text1"/>
          <w:lang w:val="sw-KE" w:eastAsia="sw-KE"/>
        </w:rPr>
      </w:pPr>
      <w:r w:rsidRPr="00FA6022">
        <w:rPr>
          <w:rFonts w:ascii="Arial Narrow" w:hAnsi="Arial Narrow"/>
          <w:bCs/>
          <w:color w:val="000000" w:themeColor="text1"/>
        </w:rPr>
        <w:t xml:space="preserve">(Refer to the Central Bank of Kenya website at </w:t>
      </w:r>
      <w:hyperlink r:id="rId9" w:history="1">
        <w:r w:rsidRPr="00FA6022">
          <w:rPr>
            <w:rStyle w:val="Hyperlink"/>
            <w:rFonts w:ascii="Arial Narrow" w:hAnsi="Arial Narrow"/>
            <w:bCs/>
          </w:rPr>
          <w:t>www.centralbank.go.ke</w:t>
        </w:r>
      </w:hyperlink>
      <w:r w:rsidRPr="00FA6022">
        <w:rPr>
          <w:rFonts w:ascii="Arial Narrow" w:hAnsi="Arial Narrow"/>
          <w:bCs/>
          <w:color w:val="000000" w:themeColor="text1"/>
        </w:rPr>
        <w:t xml:space="preserve"> for more details)</w:t>
      </w:r>
    </w:p>
    <w:p w:rsidR="007B2B29" w:rsidRPr="00FA6022" w:rsidRDefault="007B2B29" w:rsidP="007B2B29">
      <w:pPr>
        <w:pStyle w:val="ListParagraph"/>
        <w:numPr>
          <w:ilvl w:val="0"/>
          <w:numId w:val="1"/>
        </w:numPr>
        <w:spacing w:before="100" w:beforeAutospacing="1" w:after="100" w:afterAutospacing="1" w:line="240" w:lineRule="auto"/>
        <w:rPr>
          <w:rFonts w:ascii="Arial Narrow" w:eastAsia="Arial Unicode MS" w:hAnsi="Arial Narrow"/>
          <w:b/>
          <w:bCs/>
          <w:u w:val="single"/>
        </w:rPr>
      </w:pPr>
      <w:r w:rsidRPr="00FA6022">
        <w:rPr>
          <w:rFonts w:ascii="Arial Narrow" w:eastAsia="Arial Unicode MS" w:hAnsi="Arial Narrow"/>
          <w:b/>
          <w:bCs/>
          <w:u w:val="single"/>
        </w:rPr>
        <w:t>MICROFINANCE INSTITUTIONS</w:t>
      </w:r>
    </w:p>
    <w:p w:rsidR="007B2B29" w:rsidRPr="00FA6022" w:rsidRDefault="007B2B29" w:rsidP="007B2B29">
      <w:pPr>
        <w:spacing w:before="100" w:beforeAutospacing="1" w:after="100" w:afterAutospacing="1" w:line="240" w:lineRule="auto"/>
        <w:rPr>
          <w:rFonts w:ascii="Arial Narrow" w:eastAsia="Arial Unicode MS" w:hAnsi="Arial Narrow"/>
          <w:bCs/>
        </w:rPr>
      </w:pPr>
      <w:r w:rsidRPr="00FA6022">
        <w:rPr>
          <w:rFonts w:ascii="Arial Narrow" w:eastAsia="Arial Unicode MS" w:hAnsi="Arial Narrow"/>
          <w:bCs/>
        </w:rPr>
        <w:t xml:space="preserve">The Microfinance Act, 2006 and the Microfinance Regulations issued there under sets out the legal, regulatory and supervisory framework for the microfinance industry in Kenya. The Microfinance Act became operational with effect from 2nd May 2008. </w:t>
      </w:r>
      <w:r w:rsidRPr="00FA6022">
        <w:rPr>
          <w:rFonts w:ascii="Arial Narrow" w:eastAsia="Arial Unicode MS" w:hAnsi="Arial Narrow"/>
          <w:bCs/>
        </w:rPr>
        <w:br/>
      </w:r>
      <w:r w:rsidRPr="00FA6022">
        <w:rPr>
          <w:rFonts w:ascii="Arial Narrow" w:eastAsia="Arial Unicode MS" w:hAnsi="Arial Narrow"/>
          <w:bCs/>
        </w:rPr>
        <w:br/>
        <w:t>The principal object of the Microfinance Act is to regulate the establishment, business and operations of microfinance institutions in Kenya through licensing and supervision. The Act enables Deposit Taking Microfinance Institutions licensed by the Central Bank of Kenya to mobilize savings from the general public, thus promoting competition, efficiency and access.</w:t>
      </w:r>
      <w:r w:rsidRPr="00FA6022">
        <w:rPr>
          <w:rFonts w:ascii="Arial Narrow" w:eastAsia="Arial Unicode MS" w:hAnsi="Arial Narrow"/>
          <w:bCs/>
        </w:rPr>
        <w:br/>
      </w:r>
      <w:r w:rsidRPr="00FA6022">
        <w:rPr>
          <w:rFonts w:ascii="Arial Narrow" w:eastAsia="Arial Unicode MS" w:hAnsi="Arial Narrow"/>
          <w:bCs/>
        </w:rPr>
        <w:br/>
        <w:t xml:space="preserve">It is, therefore, expected that the microfinance industry will play a pivotal role in deepening financial markets and enhancing access to financial services and products by majority of the Kenyans.  There are 4 licensed deposit taking MFIs - </w:t>
      </w:r>
      <w:proofErr w:type="spellStart"/>
      <w:r w:rsidRPr="00FA6022">
        <w:rPr>
          <w:rFonts w:ascii="Arial Narrow" w:eastAsia="Arial Unicode MS" w:hAnsi="Arial Narrow"/>
          <w:bCs/>
        </w:rPr>
        <w:t>Faulu</w:t>
      </w:r>
      <w:proofErr w:type="spellEnd"/>
      <w:r w:rsidRPr="00FA6022">
        <w:rPr>
          <w:rFonts w:ascii="Arial Narrow" w:eastAsia="Arial Unicode MS" w:hAnsi="Arial Narrow"/>
          <w:bCs/>
        </w:rPr>
        <w:t xml:space="preserve"> Kenya Deposit Taking Microfinance Limited, and Kenya Women Finance Trust Deposit Taking Microfinance Limited, </w:t>
      </w:r>
      <w:r w:rsidRPr="00FA6022">
        <w:rPr>
          <w:rFonts w:ascii="Arial Narrow" w:hAnsi="Arial Narrow"/>
        </w:rPr>
        <w:t xml:space="preserve">SMEP </w:t>
      </w:r>
      <w:r w:rsidRPr="00FA6022">
        <w:rPr>
          <w:rFonts w:ascii="Arial Narrow" w:eastAsia="Arial Unicode MS" w:hAnsi="Arial Narrow"/>
          <w:bCs/>
        </w:rPr>
        <w:t>Deposit Taking Microfinance Limited</w:t>
      </w:r>
      <w:r w:rsidRPr="00FA6022">
        <w:rPr>
          <w:rFonts w:ascii="Arial Narrow" w:hAnsi="Arial Narrow"/>
        </w:rPr>
        <w:t xml:space="preserve">, and </w:t>
      </w:r>
      <w:proofErr w:type="spellStart"/>
      <w:r w:rsidRPr="00FA6022">
        <w:rPr>
          <w:rFonts w:ascii="Arial Narrow" w:eastAsia="Arial Unicode MS" w:hAnsi="Arial Narrow"/>
          <w:bCs/>
        </w:rPr>
        <w:t>Uwezo</w:t>
      </w:r>
      <w:proofErr w:type="spellEnd"/>
      <w:r w:rsidRPr="00FA6022">
        <w:rPr>
          <w:rFonts w:ascii="Arial Narrow" w:eastAsia="Arial Unicode MS" w:hAnsi="Arial Narrow"/>
          <w:bCs/>
        </w:rPr>
        <w:t xml:space="preserve"> DTM Limited</w:t>
      </w:r>
      <w:r w:rsidRPr="00FA6022">
        <w:rPr>
          <w:rFonts w:ascii="Arial Narrow" w:hAnsi="Arial Narrow"/>
        </w:rPr>
        <w:t xml:space="preserve"> </w:t>
      </w:r>
      <w:r w:rsidRPr="00FA6022">
        <w:rPr>
          <w:rFonts w:ascii="Arial Narrow" w:eastAsia="Arial Unicode MS" w:hAnsi="Arial Narrow"/>
          <w:bCs/>
        </w:rPr>
        <w:t>. Regulations for Non Deposit Taking Microfinance Institutions are yet to be put in place</w:t>
      </w:r>
    </w:p>
    <w:p w:rsidR="007B2B29" w:rsidRPr="00FA6022" w:rsidRDefault="007B2B29" w:rsidP="007B2B29">
      <w:pPr>
        <w:pStyle w:val="ListParagraph"/>
        <w:numPr>
          <w:ilvl w:val="0"/>
          <w:numId w:val="1"/>
        </w:numPr>
        <w:spacing w:before="100" w:beforeAutospacing="1" w:after="100" w:afterAutospacing="1" w:line="240" w:lineRule="auto"/>
        <w:rPr>
          <w:rFonts w:ascii="Arial Narrow" w:eastAsia="Arial Unicode MS" w:hAnsi="Arial Narrow"/>
          <w:b/>
          <w:bCs/>
          <w:u w:val="single"/>
        </w:rPr>
      </w:pPr>
      <w:r w:rsidRPr="00FA6022">
        <w:rPr>
          <w:rFonts w:ascii="Arial Narrow" w:eastAsia="Arial Unicode MS" w:hAnsi="Arial Narrow"/>
          <w:b/>
          <w:bCs/>
          <w:u w:val="single"/>
        </w:rPr>
        <w:t>FOREX BUREAUS</w:t>
      </w:r>
    </w:p>
    <w:p w:rsidR="007B2B29" w:rsidRPr="00FA6022" w:rsidRDefault="007B2B29" w:rsidP="007B2B29">
      <w:pPr>
        <w:spacing w:before="100" w:beforeAutospacing="1" w:after="100" w:afterAutospacing="1" w:line="240" w:lineRule="auto"/>
        <w:rPr>
          <w:rFonts w:ascii="Arial Narrow" w:eastAsia="Arial Unicode MS" w:hAnsi="Arial Narrow"/>
          <w:bCs/>
        </w:rPr>
      </w:pPr>
      <w:r w:rsidRPr="00FA6022">
        <w:rPr>
          <w:rFonts w:ascii="Arial Narrow" w:eastAsia="Arial Unicode MS" w:hAnsi="Arial Narrow"/>
          <w:bCs/>
        </w:rPr>
        <w:t xml:space="preserve">Forex Bureaus were established and first licensed in January 1995 to foster competition in the foreign exchange market and to narrow the exchange rate spread in the market. As authorized dealers, </w:t>
      </w:r>
      <w:proofErr w:type="spellStart"/>
      <w:r w:rsidRPr="00FA6022">
        <w:rPr>
          <w:rFonts w:ascii="Arial Narrow" w:eastAsia="Arial Unicode MS" w:hAnsi="Arial Narrow"/>
          <w:bCs/>
        </w:rPr>
        <w:t>forex</w:t>
      </w:r>
      <w:proofErr w:type="spellEnd"/>
      <w:r w:rsidRPr="00FA6022">
        <w:rPr>
          <w:rFonts w:ascii="Arial Narrow" w:eastAsia="Arial Unicode MS" w:hAnsi="Arial Narrow"/>
          <w:bCs/>
        </w:rPr>
        <w:t xml:space="preserve"> bureaus conduct business and are regulated under the provisions of the Central Bank of Kenya Act (Cap 491). Currently there are one hundred and thirty (130) licensed Forex Bureaus.</w:t>
      </w:r>
    </w:p>
    <w:p w:rsidR="007B2B29" w:rsidRPr="00FA6022" w:rsidRDefault="007B2B29" w:rsidP="007B2B29">
      <w:pPr>
        <w:pStyle w:val="ListParagraph"/>
        <w:numPr>
          <w:ilvl w:val="0"/>
          <w:numId w:val="1"/>
        </w:numPr>
        <w:spacing w:before="100" w:beforeAutospacing="1" w:after="100" w:afterAutospacing="1" w:line="240" w:lineRule="auto"/>
        <w:rPr>
          <w:rFonts w:ascii="Arial Narrow" w:eastAsia="Arial Unicode MS" w:hAnsi="Arial Narrow"/>
          <w:b/>
          <w:bCs/>
          <w:u w:val="single"/>
        </w:rPr>
      </w:pPr>
      <w:r w:rsidRPr="00FA6022">
        <w:rPr>
          <w:rFonts w:ascii="Arial Narrow" w:eastAsia="Arial Unicode MS" w:hAnsi="Arial Narrow"/>
          <w:b/>
          <w:bCs/>
          <w:u w:val="single"/>
        </w:rPr>
        <w:t>CREDIT REFERENCE BUREAUS (Contemporary issue in Banking)</w:t>
      </w:r>
    </w:p>
    <w:p w:rsidR="007B2B29" w:rsidRPr="00FA6022" w:rsidRDefault="007B2B29" w:rsidP="007B2B29">
      <w:pPr>
        <w:spacing w:before="100" w:beforeAutospacing="1" w:after="100" w:afterAutospacing="1" w:line="240" w:lineRule="auto"/>
        <w:rPr>
          <w:rFonts w:ascii="Arial Narrow" w:eastAsia="Arial Unicode MS" w:hAnsi="Arial Narrow"/>
          <w:bCs/>
        </w:rPr>
      </w:pPr>
      <w:r w:rsidRPr="00FA6022">
        <w:rPr>
          <w:rFonts w:ascii="Arial Narrow" w:eastAsia="Arial Unicode MS" w:hAnsi="Arial Narrow"/>
          <w:bCs/>
        </w:rPr>
        <w:t xml:space="preserve">Credit Reference bureaus complement the central role played by banks and other financial institutions in extending financial services within an economy. CRBs help lenders make faster and more accurate credit decisions. They collect, manage and disseminate customer information to lenders with in a provided regulatory framework – in Kenya, the Banking (Credit Reference Bureau) Regulations, 2008 which was </w:t>
      </w:r>
      <w:proofErr w:type="spellStart"/>
      <w:r w:rsidRPr="00FA6022">
        <w:rPr>
          <w:rFonts w:ascii="Arial Narrow" w:eastAsia="Arial Unicode MS" w:hAnsi="Arial Narrow"/>
          <w:bCs/>
        </w:rPr>
        <w:t>operationalised</w:t>
      </w:r>
      <w:proofErr w:type="spellEnd"/>
      <w:r w:rsidRPr="00FA6022">
        <w:rPr>
          <w:rFonts w:ascii="Arial Narrow" w:eastAsia="Arial Unicode MS" w:hAnsi="Arial Narrow"/>
          <w:bCs/>
        </w:rPr>
        <w:t xml:space="preserve"> effective 2nd February 2009. Credit histories not only provide necessary input for credit underwriting, but also allow borrowers to take their credit history from one financial institution to another, thereby making lending markets more competitive and, in the end, more affordable. Credit bureaus assist in making credit accessible to more people, and enabling lenders and businesses reduce risk and fraud. Sharing of information between financial institutions in respect of customer credit </w:t>
      </w:r>
      <w:proofErr w:type="spellStart"/>
      <w:r w:rsidRPr="00FA6022">
        <w:rPr>
          <w:rFonts w:ascii="Arial Narrow" w:eastAsia="Arial Unicode MS" w:hAnsi="Arial Narrow"/>
          <w:bCs/>
        </w:rPr>
        <w:t>behavior</w:t>
      </w:r>
      <w:proofErr w:type="spellEnd"/>
      <w:r w:rsidRPr="00FA6022">
        <w:rPr>
          <w:rFonts w:ascii="Arial Narrow" w:eastAsia="Arial Unicode MS" w:hAnsi="Arial Narrow"/>
          <w:bCs/>
        </w:rPr>
        <w:t xml:space="preserve">, therefore, has a positive economic impact. </w:t>
      </w:r>
      <w:r w:rsidRPr="00FA6022">
        <w:rPr>
          <w:rFonts w:ascii="Arial Narrow" w:eastAsia="Arial Unicode MS" w:hAnsi="Arial Narrow"/>
          <w:bCs/>
        </w:rPr>
        <w:br/>
      </w:r>
      <w:r w:rsidRPr="00FA6022">
        <w:rPr>
          <w:rFonts w:ascii="Arial Narrow" w:eastAsia="Arial Unicode MS" w:hAnsi="Arial Narrow"/>
          <w:bCs/>
        </w:rPr>
        <w:lastRenderedPageBreak/>
        <w:br/>
        <w:t xml:space="preserve">The Kenyan banking sector was in the 80’s and 90’s saddled with a momentous Non-Performing Loans (NPLs) portfolio. This invariably led to the collapse of some banks. One of the catalysts in this scenario </w:t>
      </w:r>
      <w:proofErr w:type="gramStart"/>
      <w:r w:rsidRPr="00FA6022">
        <w:rPr>
          <w:rFonts w:ascii="Arial Narrow" w:eastAsia="Arial Unicode MS" w:hAnsi="Arial Narrow"/>
          <w:bCs/>
        </w:rPr>
        <w:t>were</w:t>
      </w:r>
      <w:proofErr w:type="gramEnd"/>
      <w:r w:rsidRPr="00FA6022">
        <w:rPr>
          <w:rFonts w:ascii="Arial Narrow" w:eastAsia="Arial Unicode MS" w:hAnsi="Arial Narrow"/>
          <w:bCs/>
        </w:rPr>
        <w:t xml:space="preserve"> “Serial defaulters”, who borrowed from various banks with no intention of repaying the loans. Undoubtedly these defaulters thrived in the “information asymmetry” environment that prevailed due to lack of a credit information sharing mechanism. </w:t>
      </w:r>
    </w:p>
    <w:p w:rsidR="007B2B29" w:rsidRPr="00FA6022" w:rsidRDefault="007B2B29" w:rsidP="007B2B29">
      <w:pPr>
        <w:spacing w:before="100" w:beforeAutospacing="1" w:after="100" w:afterAutospacing="1" w:line="240" w:lineRule="auto"/>
        <w:rPr>
          <w:rFonts w:ascii="Arial Narrow" w:eastAsia="Arial Unicode MS" w:hAnsi="Arial Narrow"/>
          <w:bCs/>
        </w:rPr>
      </w:pPr>
      <w:r w:rsidRPr="00FA6022">
        <w:rPr>
          <w:rFonts w:ascii="Arial Narrow" w:eastAsia="Arial Unicode MS" w:hAnsi="Arial Narrow"/>
          <w:bCs/>
        </w:rPr>
        <w:t>The Banking (Credit Reference Bureau) Regulations 2008 will govern licensing, operation and supervision of CRBs by the Central Bank of Kenya. The development of a sustainable information sharing industry is therefore recognized as a key component of financial sector reforms in Kenya and almost all developing and emerging economies. There is currently only one licensed credit reference bureau in Kenya- Credit Reference Bureau Africa Ltd.</w:t>
      </w:r>
    </w:p>
    <w:p w:rsidR="007B2B29" w:rsidRPr="00FA6022" w:rsidRDefault="007B2B29" w:rsidP="007B2B29">
      <w:pPr>
        <w:pStyle w:val="NormalWeb"/>
        <w:spacing w:before="100" w:beforeAutospacing="1" w:after="100" w:afterAutospacing="1"/>
        <w:rPr>
          <w:rFonts w:ascii="Arial Narrow" w:hAnsi="Arial Narrow" w:cs="Times New Roman"/>
          <w:b/>
          <w:bCs/>
          <w:color w:val="auto"/>
          <w:sz w:val="22"/>
          <w:szCs w:val="22"/>
          <w:u w:val="single"/>
        </w:rPr>
      </w:pPr>
      <w:r w:rsidRPr="00FA6022">
        <w:rPr>
          <w:rFonts w:ascii="Arial Narrow" w:hAnsi="Arial Narrow" w:cs="Times New Roman"/>
          <w:b/>
          <w:bCs/>
          <w:color w:val="auto"/>
          <w:sz w:val="22"/>
          <w:szCs w:val="22"/>
          <w:u w:val="single"/>
        </w:rPr>
        <w:t>B. CAPITAL MARKET INSTITUTIONS</w:t>
      </w:r>
    </w:p>
    <w:p w:rsidR="007B2B29" w:rsidRPr="00FA6022" w:rsidRDefault="007B2B29" w:rsidP="007B2B29">
      <w:pPr>
        <w:pStyle w:val="NormalWeb"/>
        <w:spacing w:before="100" w:beforeAutospacing="1" w:after="100" w:afterAutospacing="1"/>
        <w:rPr>
          <w:rFonts w:ascii="Arial Narrow" w:hAnsi="Arial Narrow" w:cs="Times New Roman"/>
          <w:b/>
          <w:bCs/>
          <w:color w:val="auto"/>
          <w:sz w:val="22"/>
          <w:szCs w:val="22"/>
          <w:u w:val="single"/>
        </w:rPr>
      </w:pPr>
      <w:r w:rsidRPr="00FA6022">
        <w:rPr>
          <w:rFonts w:ascii="Arial Narrow" w:hAnsi="Arial Narrow" w:cs="Times New Roman"/>
          <w:b/>
          <w:bCs/>
          <w:color w:val="auto"/>
          <w:sz w:val="22"/>
          <w:szCs w:val="22"/>
        </w:rPr>
        <w:t>1.</w:t>
      </w:r>
      <w:r w:rsidRPr="00FA6022">
        <w:rPr>
          <w:rFonts w:ascii="Arial Narrow" w:hAnsi="Arial Narrow" w:cs="Times New Roman"/>
          <w:b/>
          <w:bCs/>
          <w:color w:val="auto"/>
          <w:sz w:val="22"/>
          <w:szCs w:val="22"/>
        </w:rPr>
        <w:tab/>
      </w:r>
      <w:r w:rsidRPr="00FA6022">
        <w:rPr>
          <w:rFonts w:ascii="Arial Narrow" w:hAnsi="Arial Narrow" w:cs="Times New Roman"/>
          <w:b/>
          <w:bCs/>
          <w:color w:val="auto"/>
          <w:sz w:val="22"/>
          <w:szCs w:val="22"/>
          <w:u w:val="single"/>
        </w:rPr>
        <w:t>Investment Banks</w:t>
      </w:r>
    </w:p>
    <w:p w:rsidR="00E62A20" w:rsidRPr="00FA6022" w:rsidRDefault="007B2B29" w:rsidP="007B2B29">
      <w:pPr>
        <w:pStyle w:val="NormalWeb"/>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Are financial intermidiaries charged with the responsibility of garnering the savings of thrifty people and directing these funds into the business enterprises seeking capital for acquisition of plant and equipment, and for holding inventories.</w:t>
      </w:r>
    </w:p>
    <w:p w:rsidR="007B2B29" w:rsidRPr="00FA6022" w:rsidRDefault="007B2B29" w:rsidP="007B2B29">
      <w:pPr>
        <w:pStyle w:val="NormalWeb"/>
        <w:spacing w:before="100" w:beforeAutospacing="1" w:after="100" w:afterAutospacing="1"/>
        <w:rPr>
          <w:rFonts w:ascii="Arial Narrow" w:hAnsi="Arial Narrow" w:cs="Times New Roman"/>
          <w:b/>
          <w:bCs/>
          <w:color w:val="auto"/>
          <w:sz w:val="22"/>
          <w:szCs w:val="22"/>
          <w:u w:val="single"/>
        </w:rPr>
      </w:pPr>
      <w:r w:rsidRPr="00FA6022">
        <w:rPr>
          <w:rFonts w:ascii="Arial Narrow" w:hAnsi="Arial Narrow" w:cs="Times New Roman"/>
          <w:b/>
          <w:bCs/>
          <w:color w:val="auto"/>
          <w:sz w:val="22"/>
          <w:szCs w:val="22"/>
          <w:u w:val="single"/>
        </w:rPr>
        <w:t>Functions of investment banks.</w:t>
      </w:r>
    </w:p>
    <w:p w:rsidR="007B2B29" w:rsidRPr="00FA6022" w:rsidRDefault="007B2B29" w:rsidP="007B2B29">
      <w:pPr>
        <w:pStyle w:val="NormalWeb"/>
        <w:numPr>
          <w:ilvl w:val="0"/>
          <w:numId w:val="3"/>
        </w:numPr>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Function concerning the formation of new capital.</w:t>
      </w:r>
    </w:p>
    <w:p w:rsidR="007B2B29" w:rsidRPr="00FA6022" w:rsidRDefault="007B2B29" w:rsidP="007B2B29">
      <w:pPr>
        <w:pStyle w:val="NormalWeb"/>
        <w:numPr>
          <w:ilvl w:val="1"/>
          <w:numId w:val="3"/>
        </w:numPr>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u w:val="single"/>
        </w:rPr>
        <w:t>Origination</w:t>
      </w:r>
      <w:r w:rsidRPr="00FA6022">
        <w:rPr>
          <w:rFonts w:ascii="Arial Narrow" w:hAnsi="Arial Narrow" w:cs="Times New Roman"/>
          <w:bCs/>
          <w:color w:val="auto"/>
          <w:sz w:val="22"/>
          <w:szCs w:val="22"/>
        </w:rPr>
        <w:t>- Investment bankers assist issuing company to work out the details of financing including NSE registration statements and preparing prospectuses in case of public issue.</w:t>
      </w:r>
    </w:p>
    <w:p w:rsidR="007B2B29" w:rsidRPr="00FA6022" w:rsidRDefault="007B2B29" w:rsidP="007B2B29">
      <w:pPr>
        <w:pStyle w:val="NormalWeb"/>
        <w:numPr>
          <w:ilvl w:val="1"/>
          <w:numId w:val="3"/>
        </w:numPr>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u w:val="single"/>
        </w:rPr>
        <w:t>Underwriting</w:t>
      </w:r>
      <w:r w:rsidRPr="00FA6022">
        <w:rPr>
          <w:rFonts w:ascii="Arial Narrow" w:hAnsi="Arial Narrow" w:cs="Times New Roman"/>
          <w:bCs/>
          <w:color w:val="auto"/>
          <w:sz w:val="22"/>
          <w:szCs w:val="22"/>
        </w:rPr>
        <w:t xml:space="preserve">- in underwriting, the investment banker enters into agreement with the issuer to take up  all such securities that are not taken up by the public. In so doing, they save the issuer from the uncertainties of new issues. We can distinguish between </w:t>
      </w:r>
      <w:r w:rsidRPr="00FA6022">
        <w:rPr>
          <w:rFonts w:ascii="Arial Narrow" w:hAnsi="Arial Narrow" w:cs="Times New Roman"/>
          <w:b/>
          <w:bCs/>
          <w:color w:val="auto"/>
          <w:sz w:val="22"/>
          <w:szCs w:val="22"/>
          <w:u w:val="single"/>
        </w:rPr>
        <w:t>securities underwriting</w:t>
      </w:r>
      <w:r w:rsidRPr="00FA6022">
        <w:rPr>
          <w:rFonts w:ascii="Arial Narrow" w:hAnsi="Arial Narrow" w:cs="Times New Roman"/>
          <w:bCs/>
          <w:color w:val="auto"/>
          <w:sz w:val="22"/>
          <w:szCs w:val="22"/>
        </w:rPr>
        <w:t xml:space="preserve"> and </w:t>
      </w:r>
      <w:r w:rsidRPr="00FA6022">
        <w:rPr>
          <w:rFonts w:ascii="Arial Narrow" w:hAnsi="Arial Narrow" w:cs="Times New Roman"/>
          <w:b/>
          <w:bCs/>
          <w:color w:val="auto"/>
          <w:sz w:val="22"/>
          <w:szCs w:val="22"/>
          <w:u w:val="single"/>
        </w:rPr>
        <w:t>bank underwriting</w:t>
      </w:r>
      <w:r w:rsidRPr="00FA6022">
        <w:rPr>
          <w:rFonts w:ascii="Arial Narrow" w:hAnsi="Arial Narrow" w:cs="Times New Roman"/>
          <w:bCs/>
          <w:color w:val="auto"/>
          <w:sz w:val="22"/>
          <w:szCs w:val="22"/>
        </w:rPr>
        <w:t xml:space="preserve">. Investments bank conduct </w:t>
      </w:r>
      <w:r w:rsidRPr="00FA6022">
        <w:rPr>
          <w:rFonts w:ascii="Arial Narrow" w:hAnsi="Arial Narrow" w:cs="Times New Roman"/>
          <w:b/>
          <w:bCs/>
          <w:color w:val="auto"/>
          <w:sz w:val="22"/>
          <w:szCs w:val="22"/>
        </w:rPr>
        <w:t>securities underwriting</w:t>
      </w:r>
      <w:r w:rsidRPr="00FA6022">
        <w:rPr>
          <w:rFonts w:ascii="Arial Narrow" w:hAnsi="Arial Narrow" w:cs="Times New Roman"/>
          <w:bCs/>
          <w:color w:val="auto"/>
          <w:sz w:val="22"/>
          <w:szCs w:val="22"/>
        </w:rPr>
        <w:t xml:space="preserve">, the selling of newly issued securities such as stock. Commercial banks and mortgage finance insitutions do </w:t>
      </w:r>
      <w:r w:rsidRPr="00FA6022">
        <w:rPr>
          <w:rFonts w:ascii="Arial Narrow" w:hAnsi="Arial Narrow" w:cs="Times New Roman"/>
          <w:b/>
          <w:bCs/>
          <w:color w:val="auto"/>
          <w:sz w:val="22"/>
          <w:szCs w:val="22"/>
        </w:rPr>
        <w:t>bank underwriting</w:t>
      </w:r>
      <w:r w:rsidRPr="00FA6022">
        <w:rPr>
          <w:rFonts w:ascii="Arial Narrow" w:hAnsi="Arial Narrow" w:cs="Times New Roman"/>
          <w:bCs/>
          <w:color w:val="auto"/>
          <w:sz w:val="22"/>
          <w:szCs w:val="22"/>
        </w:rPr>
        <w:t>, the detailed analysis preceeding the granting of a loan.</w:t>
      </w:r>
    </w:p>
    <w:p w:rsidR="007B2B29" w:rsidRPr="00FA6022" w:rsidRDefault="007B2B29" w:rsidP="007B2B29">
      <w:pPr>
        <w:pStyle w:val="NormalWeb"/>
        <w:numPr>
          <w:ilvl w:val="0"/>
          <w:numId w:val="3"/>
        </w:numPr>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Function subordinate to capital formation.</w:t>
      </w:r>
    </w:p>
    <w:p w:rsidR="007B2B29" w:rsidRPr="00FA6022" w:rsidRDefault="007B2B29" w:rsidP="007B2B29">
      <w:pPr>
        <w:pStyle w:val="NormalWeb"/>
        <w:numPr>
          <w:ilvl w:val="1"/>
          <w:numId w:val="3"/>
        </w:numPr>
        <w:spacing w:before="100" w:beforeAutospacing="1" w:after="100" w:afterAutospacing="1"/>
        <w:rPr>
          <w:rFonts w:ascii="Arial Narrow" w:hAnsi="Arial Narrow" w:cs="Times New Roman"/>
          <w:bCs/>
          <w:color w:val="auto"/>
          <w:sz w:val="22"/>
          <w:szCs w:val="22"/>
          <w:u w:val="single"/>
        </w:rPr>
      </w:pPr>
      <w:r w:rsidRPr="00FA6022">
        <w:rPr>
          <w:rFonts w:ascii="Arial Narrow" w:hAnsi="Arial Narrow" w:cs="Times New Roman"/>
          <w:bCs/>
          <w:color w:val="auto"/>
          <w:sz w:val="22"/>
          <w:szCs w:val="22"/>
          <w:u w:val="single"/>
        </w:rPr>
        <w:t>Secondary distribution of large blocks of outstanding securities</w:t>
      </w:r>
      <w:r w:rsidRPr="00FA6022">
        <w:rPr>
          <w:rFonts w:ascii="Arial Narrow" w:hAnsi="Arial Narrow" w:cs="Times New Roman"/>
          <w:bCs/>
          <w:color w:val="auto"/>
          <w:sz w:val="22"/>
          <w:szCs w:val="22"/>
        </w:rPr>
        <w:t>-  Frequently owners of large blocks of securities like to liquidate their holdings in cash. This can be done via an investment bank. Investment banks also come handy for the purpose of negotiating an acquisition or merger.</w:t>
      </w:r>
    </w:p>
    <w:p w:rsidR="007B2B29" w:rsidRPr="00FA6022" w:rsidRDefault="007B2B29" w:rsidP="007B2B29">
      <w:pPr>
        <w:pStyle w:val="NormalWeb"/>
        <w:numPr>
          <w:ilvl w:val="1"/>
          <w:numId w:val="3"/>
        </w:numPr>
        <w:spacing w:before="100" w:beforeAutospacing="1" w:after="100" w:afterAutospacing="1"/>
        <w:rPr>
          <w:rFonts w:ascii="Arial Narrow" w:hAnsi="Arial Narrow" w:cs="Times New Roman"/>
          <w:bCs/>
          <w:color w:val="auto"/>
          <w:sz w:val="22"/>
          <w:szCs w:val="22"/>
          <w:u w:val="single"/>
        </w:rPr>
      </w:pPr>
      <w:r w:rsidRPr="00FA6022">
        <w:rPr>
          <w:rFonts w:ascii="Arial Narrow" w:hAnsi="Arial Narrow" w:cs="Times New Roman"/>
          <w:bCs/>
          <w:color w:val="auto"/>
          <w:sz w:val="22"/>
          <w:szCs w:val="22"/>
          <w:u w:val="single"/>
        </w:rPr>
        <w:t xml:space="preserve">Acting as a broker or dealer in security market- </w:t>
      </w:r>
      <w:r w:rsidRPr="00FA6022">
        <w:rPr>
          <w:rFonts w:ascii="Arial Narrow" w:hAnsi="Arial Narrow" w:cs="Times New Roman"/>
          <w:bCs/>
          <w:color w:val="auto"/>
          <w:sz w:val="22"/>
          <w:szCs w:val="22"/>
        </w:rPr>
        <w:t xml:space="preserve"> being a member of a stock exchange either as a broker or agent, the investment banks help security holders liquidate their holdings.</w:t>
      </w:r>
    </w:p>
    <w:p w:rsidR="007B2B29" w:rsidRPr="00FA6022" w:rsidRDefault="007B2B29" w:rsidP="007B2B29">
      <w:pPr>
        <w:pStyle w:val="NormalWeb"/>
        <w:numPr>
          <w:ilvl w:val="1"/>
          <w:numId w:val="3"/>
        </w:numPr>
        <w:spacing w:before="100" w:beforeAutospacing="1" w:after="100" w:afterAutospacing="1"/>
        <w:rPr>
          <w:rFonts w:ascii="Arial Narrow" w:hAnsi="Arial Narrow" w:cs="Times New Roman"/>
          <w:bCs/>
          <w:color w:val="auto"/>
          <w:sz w:val="22"/>
          <w:szCs w:val="22"/>
          <w:u w:val="single"/>
        </w:rPr>
      </w:pPr>
      <w:r w:rsidRPr="00FA6022">
        <w:rPr>
          <w:rFonts w:ascii="Arial Narrow" w:hAnsi="Arial Narrow" w:cs="Times New Roman"/>
          <w:bCs/>
          <w:color w:val="auto"/>
          <w:sz w:val="22"/>
          <w:szCs w:val="22"/>
          <w:u w:val="single"/>
        </w:rPr>
        <w:t>Advisory and technical services</w:t>
      </w:r>
      <w:r w:rsidRPr="00FA6022">
        <w:rPr>
          <w:rFonts w:ascii="Arial Narrow" w:hAnsi="Arial Narrow" w:cs="Times New Roman"/>
          <w:bCs/>
          <w:color w:val="auto"/>
          <w:sz w:val="22"/>
          <w:szCs w:val="22"/>
        </w:rPr>
        <w:t xml:space="preserve">- Investment banks offer advice to companies and individuals for the management of their portfolio. </w:t>
      </w:r>
    </w:p>
    <w:p w:rsidR="007B2B29" w:rsidRPr="00FA6022" w:rsidRDefault="007B2B29" w:rsidP="007B2B29">
      <w:pPr>
        <w:pStyle w:val="NormalWeb"/>
        <w:numPr>
          <w:ilvl w:val="1"/>
          <w:numId w:val="3"/>
        </w:numPr>
        <w:spacing w:before="100" w:beforeAutospacing="1" w:after="100" w:afterAutospacing="1"/>
        <w:rPr>
          <w:rFonts w:ascii="Arial Narrow" w:hAnsi="Arial Narrow" w:cs="Times New Roman"/>
          <w:bCs/>
          <w:color w:val="auto"/>
          <w:sz w:val="22"/>
          <w:szCs w:val="22"/>
          <w:u w:val="single"/>
        </w:rPr>
      </w:pPr>
      <w:r w:rsidRPr="00FA6022">
        <w:rPr>
          <w:rFonts w:ascii="Arial Narrow" w:hAnsi="Arial Narrow" w:cs="Times New Roman"/>
          <w:bCs/>
          <w:color w:val="auto"/>
          <w:sz w:val="22"/>
          <w:szCs w:val="22"/>
          <w:u w:val="single"/>
        </w:rPr>
        <w:t xml:space="preserve">Research activities: </w:t>
      </w:r>
      <w:r w:rsidRPr="00FA6022">
        <w:rPr>
          <w:rFonts w:ascii="Arial Narrow" w:hAnsi="Arial Narrow" w:cs="Times New Roman"/>
          <w:bCs/>
          <w:color w:val="auto"/>
          <w:sz w:val="22"/>
          <w:szCs w:val="22"/>
        </w:rPr>
        <w:t>investment banks undertake this function in ascertaining the quality/ financial soundness and prospects of companies that they underwrite.</w:t>
      </w:r>
    </w:p>
    <w:p w:rsidR="007B2B29" w:rsidRPr="00FA6022" w:rsidRDefault="007B2B29" w:rsidP="007B2B29">
      <w:pPr>
        <w:pStyle w:val="NormalWeb"/>
        <w:spacing w:before="100" w:beforeAutospacing="1" w:after="100" w:afterAutospacing="1"/>
        <w:rPr>
          <w:rFonts w:ascii="Arial Narrow" w:hAnsi="Arial Narrow" w:cs="Times New Roman"/>
          <w:b/>
          <w:bCs/>
          <w:color w:val="auto"/>
          <w:sz w:val="22"/>
          <w:szCs w:val="22"/>
          <w:u w:val="single"/>
        </w:rPr>
      </w:pPr>
      <w:r w:rsidRPr="00FA6022">
        <w:rPr>
          <w:rFonts w:ascii="Arial Narrow" w:hAnsi="Arial Narrow" w:cs="Times New Roman"/>
          <w:b/>
          <w:bCs/>
          <w:color w:val="auto"/>
          <w:sz w:val="22"/>
          <w:szCs w:val="22"/>
        </w:rPr>
        <w:t>2.</w:t>
      </w:r>
      <w:r w:rsidRPr="00FA6022">
        <w:rPr>
          <w:rFonts w:ascii="Arial Narrow" w:hAnsi="Arial Narrow" w:cs="Times New Roman"/>
          <w:b/>
          <w:bCs/>
          <w:color w:val="auto"/>
          <w:sz w:val="22"/>
          <w:szCs w:val="22"/>
        </w:rPr>
        <w:tab/>
      </w:r>
      <w:r w:rsidRPr="00FA6022">
        <w:rPr>
          <w:rFonts w:ascii="Arial Narrow" w:hAnsi="Arial Narrow" w:cs="Times New Roman"/>
          <w:b/>
          <w:bCs/>
          <w:color w:val="auto"/>
          <w:sz w:val="22"/>
          <w:szCs w:val="22"/>
          <w:u w:val="single"/>
        </w:rPr>
        <w:t>Development Banks</w:t>
      </w:r>
    </w:p>
    <w:p w:rsidR="007B2B29" w:rsidRDefault="007B2B29" w:rsidP="007B2B29">
      <w:pPr>
        <w:pStyle w:val="NormalWeb"/>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The term development bank was used for the first time in the post second war period to refer to the institutional financial machinery built for fostering industarial growth in a country. These institutions are charged with supplying the basic ingridients of development- capital, knowledge and entreprenuership e.g. Development bank of Kenya, EADB.</w:t>
      </w:r>
    </w:p>
    <w:p w:rsidR="00FA6022" w:rsidRPr="00FA6022" w:rsidRDefault="00FA6022" w:rsidP="007B2B29">
      <w:pPr>
        <w:pStyle w:val="NormalWeb"/>
        <w:spacing w:before="100" w:beforeAutospacing="1" w:after="100" w:afterAutospacing="1"/>
        <w:rPr>
          <w:rFonts w:ascii="Arial Narrow" w:hAnsi="Arial Narrow" w:cs="Times New Roman"/>
          <w:bCs/>
          <w:color w:val="auto"/>
          <w:sz w:val="22"/>
          <w:szCs w:val="22"/>
        </w:rPr>
      </w:pPr>
    </w:p>
    <w:p w:rsidR="007B2B29" w:rsidRPr="00FA6022" w:rsidRDefault="007B2B29" w:rsidP="007B2B29">
      <w:pPr>
        <w:pStyle w:val="NormalWeb"/>
        <w:spacing w:before="100" w:beforeAutospacing="1" w:after="100" w:afterAutospacing="1"/>
        <w:rPr>
          <w:rFonts w:ascii="Arial Narrow" w:hAnsi="Arial Narrow" w:cs="Times New Roman"/>
          <w:b/>
          <w:bCs/>
          <w:color w:val="auto"/>
          <w:sz w:val="22"/>
          <w:szCs w:val="22"/>
          <w:u w:val="single"/>
        </w:rPr>
      </w:pPr>
      <w:r w:rsidRPr="00FA6022">
        <w:rPr>
          <w:rFonts w:ascii="Arial Narrow" w:hAnsi="Arial Narrow" w:cs="Times New Roman"/>
          <w:b/>
          <w:bCs/>
          <w:color w:val="auto"/>
          <w:sz w:val="22"/>
          <w:szCs w:val="22"/>
          <w:u w:val="single"/>
        </w:rPr>
        <w:lastRenderedPageBreak/>
        <w:t>Functions of development banks</w:t>
      </w:r>
    </w:p>
    <w:p w:rsidR="007B2B29" w:rsidRPr="00FA6022" w:rsidRDefault="007B2B29" w:rsidP="007B2B29">
      <w:pPr>
        <w:pStyle w:val="NormalWeb"/>
        <w:numPr>
          <w:ilvl w:val="0"/>
          <w:numId w:val="2"/>
        </w:numPr>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Help alleviate endemic problems of unemployment and poverty.</w:t>
      </w:r>
    </w:p>
    <w:p w:rsidR="007B2B29" w:rsidRPr="00FA6022" w:rsidRDefault="007B2B29" w:rsidP="007B2B29">
      <w:pPr>
        <w:pStyle w:val="NormalWeb"/>
        <w:numPr>
          <w:ilvl w:val="0"/>
          <w:numId w:val="2"/>
        </w:numPr>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Act as a catalyst for quickening industrial development in a country.</w:t>
      </w:r>
    </w:p>
    <w:p w:rsidR="007B2B29" w:rsidRPr="00FA6022" w:rsidRDefault="007B2B29" w:rsidP="007B2B29">
      <w:pPr>
        <w:pStyle w:val="NormalWeb"/>
        <w:numPr>
          <w:ilvl w:val="0"/>
          <w:numId w:val="2"/>
        </w:numPr>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Providing term capital to entreprenuers.</w:t>
      </w:r>
    </w:p>
    <w:p w:rsidR="007B2B29" w:rsidRPr="00FA6022" w:rsidRDefault="007B2B29" w:rsidP="007B2B29">
      <w:pPr>
        <w:pStyle w:val="NormalWeb"/>
        <w:numPr>
          <w:ilvl w:val="0"/>
          <w:numId w:val="2"/>
        </w:numPr>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Promote entreprenuership by undertaking potential industry surveys, identifying growth prospects, writing feasibility reports, and providing technical, and managerial to interested entreprenuers.</w:t>
      </w:r>
    </w:p>
    <w:p w:rsidR="007B2B29" w:rsidRPr="00FA6022" w:rsidRDefault="007B2B29" w:rsidP="007B2B29">
      <w:pPr>
        <w:pStyle w:val="NormalWeb"/>
        <w:numPr>
          <w:ilvl w:val="0"/>
          <w:numId w:val="2"/>
        </w:numPr>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Widen entreprenuership base by organising training programmes for potential entreprenuers.</w:t>
      </w:r>
    </w:p>
    <w:p w:rsidR="001A1772" w:rsidRPr="00FA6022" w:rsidRDefault="007B2B29" w:rsidP="001A1772">
      <w:pPr>
        <w:pStyle w:val="NormalWeb"/>
        <w:spacing w:before="100" w:beforeAutospacing="1" w:after="100" w:afterAutospacing="1"/>
        <w:rPr>
          <w:rFonts w:ascii="Arial Narrow" w:hAnsi="Arial Narrow" w:cs="Times New Roman"/>
          <w:b/>
          <w:bCs/>
          <w:color w:val="auto"/>
          <w:sz w:val="22"/>
          <w:szCs w:val="22"/>
          <w:u w:val="single"/>
        </w:rPr>
      </w:pPr>
      <w:r w:rsidRPr="00FA6022">
        <w:rPr>
          <w:rFonts w:ascii="Arial Narrow" w:hAnsi="Arial Narrow" w:cs="Times New Roman"/>
          <w:b/>
          <w:bCs/>
          <w:color w:val="auto"/>
          <w:sz w:val="22"/>
          <w:szCs w:val="22"/>
        </w:rPr>
        <w:t>3.</w:t>
      </w:r>
      <w:r w:rsidRPr="00FA6022">
        <w:rPr>
          <w:rFonts w:ascii="Arial Narrow" w:hAnsi="Arial Narrow" w:cs="Times New Roman"/>
          <w:b/>
          <w:bCs/>
          <w:color w:val="auto"/>
          <w:sz w:val="22"/>
          <w:szCs w:val="22"/>
        </w:rPr>
        <w:tab/>
      </w:r>
      <w:r w:rsidR="001A1772" w:rsidRPr="00FA6022">
        <w:rPr>
          <w:rFonts w:ascii="Arial Narrow" w:hAnsi="Arial Narrow" w:cs="Times New Roman"/>
          <w:b/>
          <w:color w:val="000000" w:themeColor="text1"/>
          <w:sz w:val="22"/>
          <w:szCs w:val="22"/>
          <w:u w:val="single"/>
        </w:rPr>
        <w:t>Mutual Funds and other investment companies.</w:t>
      </w: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u w:val="single"/>
        </w:rPr>
      </w:pPr>
      <w:r w:rsidRPr="00FA6022">
        <w:rPr>
          <w:rFonts w:ascii="Arial Narrow" w:hAnsi="Arial Narrow"/>
          <w:color w:val="000000" w:themeColor="text1"/>
          <w:u w:val="single"/>
        </w:rPr>
        <w:t>Investment companies</w:t>
      </w: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Investment companies are financial intermediaries that collect funds from individual investors and invest those funds in a potentially wide range of securities or other assets. Pooling of assets is the key idea behind investment companies. Each investor has a claim to the portfolio established by the investment company in proportion to the amount invested. These companies thus provide a mechanism for small investors to “team up” to obtain the benefits of large-scale investing.</w:t>
      </w: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rPr>
      </w:pP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Investment companies perform several important functions for their investors:</w:t>
      </w: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1. Record keeping and administration. Investment companies issue periodic status reports, keeping track of capital gains distributions, dividends, investments, and redemptions, and they may reinvest dividend and interest income for shareholders.</w:t>
      </w: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2. Diversification and divisibility. By pooling their money, investment companies enable investors to hold fractional shares of many different securities. They can act as large investors even if any individual shareholder cannot.</w:t>
      </w: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3. Professional management. Many, but not all, investment companies have full-time staffs of security analysts and portfolio managers who attempt to achieve superior investment results for their investors.</w:t>
      </w: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4. Lower transaction costs. Because they trade large blocks of securities, investment companies can achieve substantial savings on brokerage fees and commissions.</w:t>
      </w: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u w:val="single"/>
        </w:rPr>
      </w:pP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u w:val="single"/>
        </w:rPr>
      </w:pPr>
      <w:r w:rsidRPr="00FA6022">
        <w:rPr>
          <w:rFonts w:ascii="Arial Narrow" w:hAnsi="Arial Narrow"/>
          <w:color w:val="000000" w:themeColor="text1"/>
          <w:u w:val="single"/>
        </w:rPr>
        <w:t>Types of investment companies</w:t>
      </w: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u w:val="single"/>
        </w:rPr>
      </w:pPr>
      <w:r w:rsidRPr="00FA6022">
        <w:rPr>
          <w:rFonts w:ascii="Arial Narrow" w:hAnsi="Arial Narrow"/>
          <w:color w:val="000000" w:themeColor="text1"/>
          <w:u w:val="single"/>
        </w:rPr>
        <w:t>Unit Investment Trusts</w:t>
      </w: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 xml:space="preserve">Unit investment trusts are pools of money invested in a portfolio that is fixed for the life of the fund. To form a unit investment trust, a sponsor, typically a brokerage firm buys a portfolio of securities which are deposited into a trust. It then sells to the public shares, or “units,” in the trust, called redeemable trust certificates. All income and payments of principal from the portfolio are paid out by the fund’s trustees (a bank or trust company) to the shareholders. Most unit trusts hold fixed-income securities and expire at their maturity, which may be as short as a few months if the trust invests in short-term securities like money market instruments, or as long as many years if the trust holds long-term assets like fixed-income securities. There is little </w:t>
      </w:r>
      <w:r w:rsidRPr="00FA6022">
        <w:rPr>
          <w:rFonts w:ascii="Arial Narrow" w:hAnsi="Arial Narrow"/>
          <w:b/>
          <w:color w:val="000000" w:themeColor="text1"/>
        </w:rPr>
        <w:t xml:space="preserve">active management </w:t>
      </w:r>
      <w:r w:rsidRPr="00FA6022">
        <w:rPr>
          <w:rFonts w:ascii="Arial Narrow" w:hAnsi="Arial Narrow"/>
          <w:color w:val="000000" w:themeColor="text1"/>
        </w:rPr>
        <w:t>of a unit investment trust because once established, the portfolio composition is fixed; hence these trusts are referred to as unmanaged. Trusts tend to invest in relatively uniform types of assets; for example, one trust may invest in municipal bonds, another in corporate bonds. The uniformity of the portfolio is consistent with the lack of active management. The trusts provide investors a vehicle to purchase a pool of one particular type of asset, which can be included in an overall portfolio as desired. The lack of active management of the portfolio implies that management fees can be lower than those of managed funds.</w:t>
      </w: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rPr>
      </w:pPr>
    </w:p>
    <w:p w:rsidR="001A1772" w:rsidRDefault="001A1772" w:rsidP="001A1772">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Sponsors of unit investment trusts earn their profit by selling shares in the trust at a premium to the cost of acquiring the underlying assets. For example, a trust that has purchased Ksh. 5 million of assets may sell 5,000 shares to the public at a price of Ksh. 1,030 per share, which (assuming the trust has no liabilities) represents a 3% premium over the net asset value of the securities held by the trust. The 3% premium is the trustee’s fee for establishing the trust. Investors who wish to liquidate their holdings of a unit investment trust may sell the shares back to the trustee for net asset value. The trustees can either sell enough securities from the asset portfolio to obtain the cash necessary to pay the investor, or they may instead sell the shares to a new investor (again at a slight premium to net asset value).</w:t>
      </w:r>
    </w:p>
    <w:p w:rsidR="0073045A" w:rsidRPr="00FA6022" w:rsidRDefault="0073045A" w:rsidP="001A1772">
      <w:pPr>
        <w:autoSpaceDE w:val="0"/>
        <w:autoSpaceDN w:val="0"/>
        <w:adjustRightInd w:val="0"/>
        <w:spacing w:after="0" w:line="240" w:lineRule="auto"/>
        <w:ind w:left="-270"/>
        <w:rPr>
          <w:rFonts w:ascii="Arial Narrow" w:hAnsi="Arial Narrow"/>
          <w:color w:val="000000" w:themeColor="text1"/>
        </w:rPr>
      </w:pP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rPr>
      </w:pP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u w:val="single"/>
        </w:rPr>
      </w:pPr>
      <w:r w:rsidRPr="00FA6022">
        <w:rPr>
          <w:rFonts w:ascii="Arial Narrow" w:hAnsi="Arial Narrow"/>
          <w:color w:val="000000" w:themeColor="text1"/>
          <w:u w:val="single"/>
        </w:rPr>
        <w:lastRenderedPageBreak/>
        <w:t>Managed Investment Companies</w:t>
      </w: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 xml:space="preserve">There are two types of managed companies: closed-end and open-end. In both cases, the fund’s board of directors, which is elected by shareholders, hires a management company to manage the portfolio for an annual fee that typically ranges from .2% to 1.5% of assets. In many cases the management company is the firm that organized the fund.  In other cases, a mutual fund will hire an outside portfolio manager.  </w:t>
      </w: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rPr>
      </w:pP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 xml:space="preserve">There are two types of managed companies: closed-end and open-end. In both cases, the fund’s board of directors, which is elected by shareholders, hires a management company to manage the portfolio for an annual fee that typically ranges from .2% to 1.5% of assets. In many cases the management company is the firm that organized the fund. In other cases, a mutual fund will hire an outside portfolio manager. </w:t>
      </w:r>
    </w:p>
    <w:p w:rsidR="00035F60" w:rsidRPr="00FA6022" w:rsidRDefault="001A1772" w:rsidP="00E62A20">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Most management companies have contracts to manage several funds. Open-end funds stand ready to redeem or issue shares at their net asset value (although both purchases and redemptions may involve sales charges). When investors in open-end funds wish to “cash out” their shares, they sell them back to the fund at NAV. In contrast, closed-end funds do not redeem or issue shares. Investors in closed-end funds who wish to cash out must sell their shares to other investors. Shares of closed-end funds are traded on organized exchanges and can be purchased through brokers just like other common stock; their prices therefore can differ from NAV.</w:t>
      </w:r>
    </w:p>
    <w:p w:rsidR="00035F60" w:rsidRPr="00FA6022" w:rsidRDefault="00035F60" w:rsidP="001A1772">
      <w:pPr>
        <w:autoSpaceDE w:val="0"/>
        <w:autoSpaceDN w:val="0"/>
        <w:adjustRightInd w:val="0"/>
        <w:spacing w:after="0" w:line="240" w:lineRule="auto"/>
        <w:ind w:left="-270"/>
        <w:rPr>
          <w:rFonts w:ascii="Arial Narrow" w:hAnsi="Arial Narrow"/>
          <w:color w:val="000000" w:themeColor="text1"/>
        </w:rPr>
      </w:pP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u w:val="single"/>
        </w:rPr>
      </w:pPr>
      <w:r w:rsidRPr="00FA6022">
        <w:rPr>
          <w:rFonts w:ascii="Arial Narrow" w:hAnsi="Arial Narrow"/>
          <w:color w:val="000000" w:themeColor="text1"/>
          <w:u w:val="single"/>
        </w:rPr>
        <w:t>Mutual funds</w:t>
      </w: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Mutual funds are the common name for open-end investment companies. This is the dominant investment company today, accounting for the majority of investment company assets. What are the typical products offered by the mutual funds (Bcom 330)?</w:t>
      </w: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rPr>
      </w:pP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u w:val="single"/>
        </w:rPr>
      </w:pPr>
      <w:r w:rsidRPr="00FA6022">
        <w:rPr>
          <w:rFonts w:ascii="Arial Narrow" w:hAnsi="Arial Narrow"/>
          <w:color w:val="000000" w:themeColor="text1"/>
          <w:u w:val="single"/>
        </w:rPr>
        <w:t>Costs of investing in mutual funds</w:t>
      </w: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u w:val="single"/>
        </w:rPr>
      </w:pPr>
      <w:r w:rsidRPr="00FA6022">
        <w:rPr>
          <w:rFonts w:ascii="Arial Narrow" w:hAnsi="Arial Narrow"/>
          <w:color w:val="000000" w:themeColor="text1"/>
          <w:u w:val="single"/>
        </w:rPr>
        <w:t>Fee Structure</w:t>
      </w: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An individual investor choosing a mutual fund should consider not only the fund’s stated investment policy and past performance, but also its management fees and other expenses.</w:t>
      </w: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rPr>
      </w:pPr>
    </w:p>
    <w:p w:rsidR="001A1772" w:rsidRPr="00FA6022" w:rsidRDefault="001A1772" w:rsidP="001A1772">
      <w:pPr>
        <w:pStyle w:val="ListParagraph"/>
        <w:numPr>
          <w:ilvl w:val="0"/>
          <w:numId w:val="7"/>
        </w:numPr>
        <w:autoSpaceDE w:val="0"/>
        <w:autoSpaceDN w:val="0"/>
        <w:adjustRightInd w:val="0"/>
        <w:spacing w:after="0" w:line="240" w:lineRule="auto"/>
        <w:ind w:left="360"/>
        <w:rPr>
          <w:rFonts w:ascii="Arial Narrow" w:hAnsi="Arial Narrow"/>
          <w:color w:val="000000" w:themeColor="text1"/>
          <w:lang w:bidi="ar-SA"/>
        </w:rPr>
      </w:pPr>
      <w:r w:rsidRPr="00FA6022">
        <w:rPr>
          <w:rFonts w:ascii="Arial Narrow" w:hAnsi="Arial Narrow"/>
          <w:color w:val="000000" w:themeColor="text1"/>
          <w:lang w:bidi="ar-SA"/>
        </w:rPr>
        <w:t xml:space="preserve">Front-End Load </w:t>
      </w:r>
    </w:p>
    <w:p w:rsidR="001A1772" w:rsidRPr="00FA6022" w:rsidRDefault="001A1772" w:rsidP="001A1772">
      <w:pPr>
        <w:autoSpaceDE w:val="0"/>
        <w:autoSpaceDN w:val="0"/>
        <w:adjustRightInd w:val="0"/>
        <w:spacing w:after="0" w:line="240" w:lineRule="auto"/>
        <w:ind w:left="360"/>
        <w:rPr>
          <w:rFonts w:ascii="Arial Narrow" w:hAnsi="Arial Narrow"/>
          <w:color w:val="000000" w:themeColor="text1"/>
        </w:rPr>
      </w:pPr>
      <w:r w:rsidRPr="00FA6022">
        <w:rPr>
          <w:rFonts w:ascii="Arial Narrow" w:hAnsi="Arial Narrow"/>
          <w:color w:val="000000" w:themeColor="text1"/>
        </w:rPr>
        <w:t xml:space="preserve">A front-end load is a commission or sales charge paid when you purchase the shares. These charges are used primarily to pay the brokers who sell the funds. There exist low load funds with a front end load of around 3%. An ordinary fund will charge around 6%. </w:t>
      </w:r>
    </w:p>
    <w:p w:rsidR="001A1772" w:rsidRPr="00FA6022" w:rsidRDefault="001A1772" w:rsidP="001A1772">
      <w:pPr>
        <w:pStyle w:val="ListParagraph"/>
        <w:numPr>
          <w:ilvl w:val="0"/>
          <w:numId w:val="7"/>
        </w:numPr>
        <w:autoSpaceDE w:val="0"/>
        <w:autoSpaceDN w:val="0"/>
        <w:adjustRightInd w:val="0"/>
        <w:spacing w:after="0" w:line="240" w:lineRule="auto"/>
        <w:ind w:left="360"/>
        <w:rPr>
          <w:rFonts w:ascii="Arial Narrow" w:hAnsi="Arial Narrow"/>
          <w:color w:val="000000" w:themeColor="text1"/>
          <w:lang w:bidi="ar-SA"/>
        </w:rPr>
      </w:pPr>
      <w:r w:rsidRPr="00FA6022">
        <w:rPr>
          <w:rFonts w:ascii="Arial Narrow" w:hAnsi="Arial Narrow"/>
          <w:color w:val="000000" w:themeColor="text1"/>
          <w:lang w:bidi="ar-SA"/>
        </w:rPr>
        <w:t xml:space="preserve">Back-End Load </w:t>
      </w:r>
    </w:p>
    <w:p w:rsidR="001A1772" w:rsidRPr="00FA6022" w:rsidRDefault="001A1772" w:rsidP="001A1772">
      <w:pPr>
        <w:pStyle w:val="ListParagraph"/>
        <w:autoSpaceDE w:val="0"/>
        <w:autoSpaceDN w:val="0"/>
        <w:adjustRightInd w:val="0"/>
        <w:spacing w:after="0" w:line="240" w:lineRule="auto"/>
        <w:ind w:left="360"/>
        <w:rPr>
          <w:rFonts w:ascii="Arial Narrow" w:hAnsi="Arial Narrow"/>
          <w:color w:val="000000" w:themeColor="text1"/>
          <w:lang w:bidi="ar-SA"/>
        </w:rPr>
      </w:pPr>
      <w:r w:rsidRPr="00FA6022">
        <w:rPr>
          <w:rFonts w:ascii="Arial Narrow" w:hAnsi="Arial Narrow"/>
          <w:color w:val="000000" w:themeColor="text1"/>
          <w:lang w:bidi="ar-SA"/>
        </w:rPr>
        <w:t>A back-end load is a redemption, or “exit,” fee incurred when you sell your shares.</w:t>
      </w:r>
    </w:p>
    <w:p w:rsidR="001A1772" w:rsidRPr="00FA6022" w:rsidRDefault="001A1772" w:rsidP="001A1772">
      <w:pPr>
        <w:pStyle w:val="ListParagraph"/>
        <w:numPr>
          <w:ilvl w:val="0"/>
          <w:numId w:val="7"/>
        </w:numPr>
        <w:autoSpaceDE w:val="0"/>
        <w:autoSpaceDN w:val="0"/>
        <w:adjustRightInd w:val="0"/>
        <w:spacing w:after="0" w:line="240" w:lineRule="auto"/>
        <w:ind w:left="360"/>
        <w:rPr>
          <w:rFonts w:ascii="Arial Narrow" w:hAnsi="Arial Narrow"/>
          <w:color w:val="000000" w:themeColor="text1"/>
          <w:lang w:bidi="ar-SA"/>
        </w:rPr>
      </w:pPr>
      <w:r w:rsidRPr="00FA6022">
        <w:rPr>
          <w:rFonts w:ascii="Arial Narrow" w:hAnsi="Arial Narrow"/>
          <w:color w:val="000000" w:themeColor="text1"/>
          <w:lang w:bidi="ar-SA"/>
        </w:rPr>
        <w:t>Operating Expenses</w:t>
      </w:r>
    </w:p>
    <w:p w:rsidR="001A1772" w:rsidRPr="00FA6022" w:rsidRDefault="001A1772" w:rsidP="001A1772">
      <w:pPr>
        <w:pStyle w:val="ListParagraph"/>
        <w:autoSpaceDE w:val="0"/>
        <w:autoSpaceDN w:val="0"/>
        <w:adjustRightInd w:val="0"/>
        <w:spacing w:after="0" w:line="240" w:lineRule="auto"/>
        <w:ind w:left="360"/>
        <w:rPr>
          <w:rFonts w:ascii="Arial Narrow" w:hAnsi="Arial Narrow"/>
          <w:color w:val="000000" w:themeColor="text1"/>
          <w:lang w:bidi="ar-SA"/>
        </w:rPr>
      </w:pPr>
      <w:r w:rsidRPr="00FA6022">
        <w:rPr>
          <w:rFonts w:ascii="Arial Narrow" w:hAnsi="Arial Narrow"/>
          <w:color w:val="000000" w:themeColor="text1"/>
          <w:lang w:bidi="ar-SA"/>
        </w:rPr>
        <w:t>Operating expenses are the costs incurred by the mutual fund in operating the portfolio, including administrative expenses and advisory fees paid to the investment manager. These expenses are usually expressed as a percentage of total assets under management. Shareholders do not receive an explicit bill for these operating expenses; however, the expenses periodically are deducted from the assets of the fund. Shareholders pay for these expenses through the reduced value of the portfolio.</w:t>
      </w: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u w:val="single"/>
        </w:rPr>
      </w:pPr>
      <w:r w:rsidRPr="00FA6022">
        <w:rPr>
          <w:rFonts w:ascii="Arial Narrow" w:hAnsi="Arial Narrow"/>
          <w:color w:val="000000" w:themeColor="text1"/>
          <w:u w:val="single"/>
        </w:rPr>
        <w:t>Other Investment Organizations</w:t>
      </w: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There are intermediaries not formally organized or regulated as investment companies that nevertheless serve functions similar to investment companies. Two of the more important are commingled funds and real estate investment trusts.</w:t>
      </w: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rPr>
      </w:pP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u w:val="single"/>
        </w:rPr>
      </w:pPr>
      <w:r w:rsidRPr="00FA6022">
        <w:rPr>
          <w:rFonts w:ascii="Arial Narrow" w:hAnsi="Arial Narrow"/>
          <w:color w:val="000000" w:themeColor="text1"/>
          <w:u w:val="single"/>
        </w:rPr>
        <w:t xml:space="preserve">Commingled Funds </w:t>
      </w:r>
    </w:p>
    <w:p w:rsidR="001A1772" w:rsidRPr="00FA6022" w:rsidRDefault="001A1772" w:rsidP="001A1772">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Commingled funds are partnerships of investors that pool their funds. The management firm that organizes the partnership, for example, a bank or insurance company, manages the funds for a fee. Typical partners in a commingled fund might be trust or retirement accounts which have portfolios that are much larger than those of most individual investors but are still too small to warrant managing on a separate basis.</w:t>
      </w:r>
    </w:p>
    <w:p w:rsidR="007B2B29" w:rsidRPr="00FA6022" w:rsidRDefault="007B2B29" w:rsidP="007B2B29">
      <w:pPr>
        <w:pStyle w:val="NormalWeb"/>
        <w:spacing w:before="100" w:beforeAutospacing="1" w:after="100" w:afterAutospacing="1"/>
        <w:rPr>
          <w:rFonts w:ascii="Arial Narrow" w:hAnsi="Arial Narrow" w:cs="Times New Roman"/>
          <w:b/>
          <w:bCs/>
          <w:color w:val="auto"/>
          <w:sz w:val="22"/>
          <w:szCs w:val="22"/>
          <w:u w:val="single"/>
        </w:rPr>
      </w:pPr>
      <w:r w:rsidRPr="00FA6022">
        <w:rPr>
          <w:rFonts w:ascii="Arial Narrow" w:hAnsi="Arial Narrow" w:cs="Times New Roman"/>
          <w:bCs/>
          <w:color w:val="auto"/>
          <w:sz w:val="22"/>
          <w:szCs w:val="22"/>
        </w:rPr>
        <w:t>4.</w:t>
      </w:r>
      <w:r w:rsidRPr="00FA6022">
        <w:rPr>
          <w:rFonts w:ascii="Arial Narrow" w:hAnsi="Arial Narrow" w:cs="Times New Roman"/>
          <w:bCs/>
          <w:color w:val="auto"/>
          <w:sz w:val="22"/>
          <w:szCs w:val="22"/>
        </w:rPr>
        <w:tab/>
      </w:r>
      <w:r w:rsidRPr="00FA6022">
        <w:rPr>
          <w:rFonts w:ascii="Arial Narrow" w:hAnsi="Arial Narrow" w:cs="Times New Roman"/>
          <w:b/>
          <w:bCs/>
          <w:color w:val="auto"/>
          <w:sz w:val="22"/>
          <w:szCs w:val="22"/>
          <w:u w:val="single"/>
        </w:rPr>
        <w:t>Stock exchanges</w:t>
      </w:r>
    </w:p>
    <w:p w:rsidR="007B2B29" w:rsidRPr="00FA6022" w:rsidRDefault="007B2B29" w:rsidP="007B2B29">
      <w:pPr>
        <w:pStyle w:val="NormalWeb"/>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lastRenderedPageBreak/>
        <w:t xml:space="preserve">A stock exchange is an institution, organization or association that serves as a market for trading financial instruments such as </w:t>
      </w:r>
      <w:hyperlink r:id="rId10" w:tooltip="What is a stock?" w:history="1">
        <w:r w:rsidRPr="00FA6022">
          <w:rPr>
            <w:rFonts w:ascii="Arial Narrow" w:hAnsi="Arial Narrow" w:cs="Times New Roman"/>
            <w:bCs/>
            <w:color w:val="auto"/>
            <w:sz w:val="22"/>
            <w:szCs w:val="22"/>
          </w:rPr>
          <w:t>stocks</w:t>
        </w:r>
      </w:hyperlink>
      <w:r w:rsidRPr="00FA6022">
        <w:rPr>
          <w:rFonts w:ascii="Arial Narrow" w:hAnsi="Arial Narrow" w:cs="Times New Roman"/>
          <w:bCs/>
          <w:color w:val="auto"/>
          <w:sz w:val="22"/>
          <w:szCs w:val="22"/>
        </w:rPr>
        <w:t xml:space="preserve">, </w:t>
      </w:r>
      <w:hyperlink r:id="rId11" w:tooltip="Bonds" w:history="1">
        <w:r w:rsidRPr="00FA6022">
          <w:rPr>
            <w:rFonts w:ascii="Arial Narrow" w:hAnsi="Arial Narrow" w:cs="Times New Roman"/>
            <w:bCs/>
            <w:color w:val="auto"/>
            <w:sz w:val="22"/>
            <w:szCs w:val="22"/>
          </w:rPr>
          <w:t>bonds</w:t>
        </w:r>
      </w:hyperlink>
      <w:r w:rsidRPr="00FA6022">
        <w:rPr>
          <w:rFonts w:ascii="Arial Narrow" w:hAnsi="Arial Narrow" w:cs="Times New Roman"/>
          <w:bCs/>
          <w:color w:val="auto"/>
          <w:sz w:val="22"/>
          <w:szCs w:val="22"/>
        </w:rPr>
        <w:t xml:space="preserve"> and their related </w:t>
      </w:r>
      <w:hyperlink r:id="rId12" w:tooltip="Derivatives" w:history="1">
        <w:r w:rsidRPr="00FA6022">
          <w:rPr>
            <w:rFonts w:ascii="Arial Narrow" w:hAnsi="Arial Narrow" w:cs="Times New Roman"/>
            <w:bCs/>
            <w:color w:val="auto"/>
            <w:sz w:val="22"/>
            <w:szCs w:val="22"/>
          </w:rPr>
          <w:t>derivatives</w:t>
        </w:r>
      </w:hyperlink>
      <w:r w:rsidRPr="00FA6022">
        <w:rPr>
          <w:rFonts w:ascii="Arial Narrow" w:hAnsi="Arial Narrow" w:cs="Times New Roman"/>
          <w:bCs/>
          <w:color w:val="auto"/>
          <w:sz w:val="22"/>
          <w:szCs w:val="22"/>
        </w:rPr>
        <w:t xml:space="preserve">. Most modern stock exchanges, like </w:t>
      </w:r>
      <w:hyperlink r:id="rId13" w:tooltip="NYSE Euronext" w:history="1">
        <w:r w:rsidRPr="00FA6022">
          <w:rPr>
            <w:rFonts w:ascii="Arial Narrow" w:hAnsi="Arial Narrow" w:cs="Times New Roman"/>
            <w:bCs/>
            <w:color w:val="auto"/>
            <w:sz w:val="22"/>
            <w:szCs w:val="22"/>
          </w:rPr>
          <w:t>NYSE Euronext</w:t>
        </w:r>
      </w:hyperlink>
      <w:r w:rsidRPr="00FA6022">
        <w:rPr>
          <w:rFonts w:ascii="Arial Narrow" w:hAnsi="Arial Narrow" w:cs="Times New Roman"/>
          <w:bCs/>
          <w:color w:val="auto"/>
          <w:sz w:val="22"/>
          <w:szCs w:val="22"/>
        </w:rPr>
        <w:t xml:space="preserve">, JSE and the NSE have both a trading floor and an </w:t>
      </w:r>
      <w:hyperlink r:id="rId14" w:tooltip="Electronic trading" w:history="1">
        <w:r w:rsidRPr="00FA6022">
          <w:rPr>
            <w:rFonts w:ascii="Arial Narrow" w:hAnsi="Arial Narrow" w:cs="Times New Roman"/>
            <w:bCs/>
            <w:color w:val="auto"/>
            <w:sz w:val="22"/>
            <w:szCs w:val="22"/>
          </w:rPr>
          <w:t>electronic trading</w:t>
        </w:r>
      </w:hyperlink>
      <w:r w:rsidRPr="00FA6022">
        <w:rPr>
          <w:rFonts w:ascii="Arial Narrow" w:hAnsi="Arial Narrow" w:cs="Times New Roman"/>
          <w:bCs/>
          <w:color w:val="auto"/>
          <w:sz w:val="22"/>
          <w:szCs w:val="22"/>
        </w:rPr>
        <w:t xml:space="preserve"> system.</w:t>
      </w:r>
    </w:p>
    <w:p w:rsidR="007B2B29" w:rsidRPr="00FA6022" w:rsidRDefault="007B2B29" w:rsidP="007B2B29">
      <w:pPr>
        <w:pStyle w:val="NormalWeb"/>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The first stock exchanges date back to the Middle Age in Europe with debt trading between merchants. However the first stock trading can be found in the 17th century with the creation of various companies to explore European colonies such as the Dutch East India Company. Historically stocks and bonds were traded in a physical place or building with traders gathering on the floor and exchanging financial titles by hand.</w:t>
      </w:r>
    </w:p>
    <w:p w:rsidR="007B2B29" w:rsidRPr="00FA6022" w:rsidRDefault="007B2B29" w:rsidP="007B2B29">
      <w:pPr>
        <w:pStyle w:val="NormalWeb"/>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With permission of the London Stock Exchange the Nairobi Stock Exchange started its operations in 1954 as an overseas stock exchange when Kenya was a British colony and the business of shares trading was restricted only to the resident European community though Africans and Asians were not permitted to deal in securities In1963, after independence, Africans and Asians were permitted to deal in securities, but it was complicated to convince native Kenyans of the significance of the exchange.</w:t>
      </w:r>
    </w:p>
    <w:p w:rsidR="007B2B29" w:rsidRPr="00FA6022" w:rsidRDefault="007B2B29" w:rsidP="007B2B29">
      <w:pPr>
        <w:pStyle w:val="NormalWeb"/>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In 1951, an Estate Agent Francis Drummond established the earliest professional Stock broking firm, and impressed upon the then finance minister of Kenya Sir Ernest Vasey the idea of creating a stock exchange in East Africa.</w:t>
      </w:r>
    </w:p>
    <w:p w:rsidR="007B2B29" w:rsidRPr="00FA6022" w:rsidRDefault="007B2B29" w:rsidP="007B2B29">
      <w:pPr>
        <w:pStyle w:val="NormalWeb"/>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In1984, A Central Bank of Kenya study, "Development of Money and Capital Markets in Kenya" was known as a blueprint for structural reforms in the financial markets which helped the creation of a regulatory body 'The Capital Markets Authority' (CMA) in 1989.</w:t>
      </w:r>
    </w:p>
    <w:p w:rsidR="0073045A" w:rsidRDefault="007B2B29" w:rsidP="007B2B29">
      <w:pPr>
        <w:pStyle w:val="NormalWeb"/>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 xml:space="preserve">The Capital Markets Authority Act was amended and known as the Capital Markets Act. In August 2000, CFC Financial Services the first licensed dealer on the Nairobi Stock Exchange started its operations. </w:t>
      </w:r>
      <w:r w:rsidRPr="00FA6022">
        <w:rPr>
          <w:rFonts w:ascii="Arial Narrow" w:hAnsi="Arial Narrow" w:cs="Times New Roman"/>
          <w:bCs/>
          <w:color w:val="auto"/>
          <w:sz w:val="22"/>
          <w:szCs w:val="22"/>
        </w:rPr>
        <w:br/>
      </w:r>
      <w:r w:rsidRPr="00FA6022">
        <w:rPr>
          <w:rFonts w:ascii="Arial Narrow" w:hAnsi="Arial Narrow" w:cs="Times New Roman"/>
          <w:bCs/>
          <w:color w:val="auto"/>
          <w:sz w:val="22"/>
          <w:szCs w:val="22"/>
        </w:rPr>
        <w:br/>
        <w:t xml:space="preserve">In February 2001, basic reformation of the capital market of Kenya took place and divided the market into four independent market segments: the Main Investments Market Segment (MIMS), the Alternative Investments Market Segment (AIMS), the Fixed Income Securities Market Segment (FISMS) and later Futures and Options Market Segment (FOMS). </w:t>
      </w:r>
      <w:r w:rsidRPr="00FA6022">
        <w:rPr>
          <w:rFonts w:ascii="Arial Narrow" w:hAnsi="Arial Narrow" w:cs="Times New Roman"/>
          <w:bCs/>
          <w:color w:val="auto"/>
          <w:sz w:val="22"/>
          <w:szCs w:val="22"/>
        </w:rPr>
        <w:br/>
      </w:r>
      <w:r w:rsidRPr="00FA6022">
        <w:rPr>
          <w:rFonts w:ascii="Arial Narrow" w:hAnsi="Arial Narrow" w:cs="Times New Roman"/>
          <w:bCs/>
          <w:color w:val="auto"/>
          <w:sz w:val="22"/>
          <w:szCs w:val="22"/>
        </w:rPr>
        <w:br/>
        <w:t xml:space="preserve">In the2001/2002 budget, the Government offered the extra incentives to capital markets investments. On17th April 2002, the CMA declared the sanction of the new NSE trading and settlement rules with amendments. On 26th July 2002, with the introducing of a New Foreign Investor Regulations, there are three categories of investor on the capital markets; local, East African and foreign. </w:t>
      </w:r>
      <w:r w:rsidRPr="00FA6022">
        <w:rPr>
          <w:rFonts w:ascii="Arial Narrow" w:hAnsi="Arial Narrow" w:cs="Times New Roman"/>
          <w:bCs/>
          <w:color w:val="auto"/>
          <w:sz w:val="22"/>
          <w:szCs w:val="22"/>
        </w:rPr>
        <w:br/>
      </w:r>
      <w:r w:rsidRPr="00FA6022">
        <w:rPr>
          <w:rFonts w:ascii="Arial Narrow" w:hAnsi="Arial Narrow" w:cs="Times New Roman"/>
          <w:bCs/>
          <w:color w:val="auto"/>
          <w:sz w:val="22"/>
          <w:szCs w:val="22"/>
        </w:rPr>
        <w:br/>
        <w:t xml:space="preserve">On 5th August 2002, the Nairobi Stock Exchange, the Capital Markets Authority of Kenya, the Association of Kenya Stockbrokers, the CMA Investor Compensation Fund, and 9 institutional investors through the Capital Markets Challenge Fund have signed a Shareholder Agreement for establishment of the Central Depository and Settlement Corporation (CDSC). On Monday, 11 September 2006 live trading on the automated trading systems of the Nairobi Stock Exchange was implemented. </w:t>
      </w:r>
      <w:r w:rsidRPr="00FA6022">
        <w:rPr>
          <w:rFonts w:ascii="Arial Narrow" w:hAnsi="Arial Narrow" w:cs="Times New Roman"/>
          <w:color w:val="auto"/>
          <w:sz w:val="22"/>
          <w:szCs w:val="22"/>
        </w:rPr>
        <w:br/>
      </w:r>
      <w:r w:rsidRPr="00FA6022">
        <w:rPr>
          <w:rFonts w:ascii="Arial Narrow" w:hAnsi="Arial Narrow" w:cs="Times New Roman"/>
          <w:color w:val="auto"/>
          <w:sz w:val="22"/>
          <w:szCs w:val="22"/>
          <w:u w:val="single"/>
        </w:rPr>
        <w:t>Market Capitalization</w:t>
      </w:r>
      <w:r w:rsidRPr="00FA6022">
        <w:rPr>
          <w:rFonts w:ascii="Arial Narrow" w:hAnsi="Arial Narrow" w:cs="Times New Roman"/>
          <w:b/>
          <w:bCs/>
          <w:color w:val="auto"/>
          <w:sz w:val="22"/>
          <w:szCs w:val="22"/>
          <w:u w:val="single"/>
        </w:rPr>
        <w:br/>
      </w:r>
      <w:r w:rsidRPr="00FA6022">
        <w:rPr>
          <w:rFonts w:ascii="Arial Narrow" w:hAnsi="Arial Narrow" w:cs="Times New Roman"/>
          <w:bCs/>
          <w:color w:val="auto"/>
          <w:sz w:val="22"/>
          <w:szCs w:val="22"/>
        </w:rPr>
        <w:t xml:space="preserve">In the 2001/2002 budget, the Government offered the extra incentives to capital markets investments. On17th April 2002, the CMA declared the sanction of the new NSE trading and settlement rules with amendments. On 26th July 2002, with the introducing of a New Foreign Investor Regulations, there are three categories of investor on the capital markets; local, East African and foreign. </w:t>
      </w:r>
      <w:r w:rsidRPr="00FA6022">
        <w:rPr>
          <w:rFonts w:ascii="Arial Narrow" w:hAnsi="Arial Narrow" w:cs="Times New Roman"/>
          <w:bCs/>
          <w:color w:val="auto"/>
          <w:sz w:val="22"/>
          <w:szCs w:val="22"/>
        </w:rPr>
        <w:br/>
      </w:r>
      <w:r w:rsidRPr="00FA6022">
        <w:rPr>
          <w:rFonts w:ascii="Arial Narrow" w:hAnsi="Arial Narrow" w:cs="Times New Roman"/>
          <w:bCs/>
          <w:color w:val="auto"/>
          <w:sz w:val="22"/>
          <w:szCs w:val="22"/>
        </w:rPr>
        <w:br/>
        <w:t xml:space="preserve">On 5th August 2002, the Nairobi Stock Exchange, the Capital Markets Authority of Kenya, the Association of Kenya Stockbrokers, the CMA Investor Compensation Fund, and 9 institutional investors through the Capital Markets Challenge Fund signed a Shareholder Agreement for the establishment of the Central Depository and Settlement Corporation (CDSC). On Monday, 11 September 2006 live trading on the automated trading systems of the Nairobi Stock Exchange was implemented. </w:t>
      </w:r>
      <w:r w:rsidRPr="00FA6022">
        <w:rPr>
          <w:rFonts w:ascii="Arial Narrow" w:hAnsi="Arial Narrow" w:cs="Times New Roman"/>
          <w:bCs/>
          <w:color w:val="auto"/>
          <w:sz w:val="22"/>
          <w:szCs w:val="22"/>
        </w:rPr>
        <w:br/>
      </w:r>
    </w:p>
    <w:p w:rsidR="007B2B29" w:rsidRPr="00FA6022" w:rsidRDefault="007B2B29" w:rsidP="007B2B29">
      <w:pPr>
        <w:pStyle w:val="NormalWeb"/>
        <w:spacing w:before="100" w:beforeAutospacing="1" w:after="100" w:afterAutospacing="1"/>
        <w:rPr>
          <w:rFonts w:ascii="Arial Narrow" w:hAnsi="Arial Narrow" w:cs="Times New Roman"/>
          <w:color w:val="auto"/>
          <w:sz w:val="22"/>
          <w:szCs w:val="22"/>
        </w:rPr>
      </w:pPr>
      <w:r w:rsidRPr="00FA6022">
        <w:rPr>
          <w:rFonts w:ascii="Arial Narrow" w:hAnsi="Arial Narrow" w:cs="Times New Roman"/>
          <w:bCs/>
          <w:color w:val="auto"/>
          <w:sz w:val="22"/>
          <w:szCs w:val="22"/>
        </w:rPr>
        <w:lastRenderedPageBreak/>
        <w:br/>
      </w:r>
      <w:r w:rsidRPr="00FA6022">
        <w:rPr>
          <w:rFonts w:ascii="Arial Narrow" w:hAnsi="Arial Narrow" w:cs="Times New Roman"/>
          <w:b/>
          <w:color w:val="auto"/>
          <w:sz w:val="22"/>
          <w:szCs w:val="22"/>
        </w:rPr>
        <w:t xml:space="preserve">Major Companies listed in Nairobi Stock Exchange </w:t>
      </w:r>
      <w:r w:rsidRPr="00FA6022">
        <w:rPr>
          <w:rFonts w:ascii="Arial Narrow" w:hAnsi="Arial Narrow" w:cs="Times New Roman"/>
          <w:bCs/>
          <w:color w:val="auto"/>
          <w:sz w:val="22"/>
          <w:szCs w:val="22"/>
        </w:rPr>
        <w:br/>
      </w:r>
      <w:r w:rsidRPr="00FA6022">
        <w:rPr>
          <w:rFonts w:ascii="Arial Narrow" w:hAnsi="Arial Narrow" w:cs="Times New Roman"/>
          <w:bCs/>
          <w:color w:val="auto"/>
          <w:sz w:val="22"/>
          <w:szCs w:val="22"/>
        </w:rPr>
        <w:br/>
        <w:t xml:space="preserve">Kakuzi Limited </w:t>
      </w:r>
      <w:r w:rsidRPr="00FA6022">
        <w:rPr>
          <w:rFonts w:ascii="Arial Narrow" w:hAnsi="Arial Narrow" w:cs="Times New Roman"/>
          <w:bCs/>
          <w:color w:val="auto"/>
          <w:sz w:val="22"/>
          <w:szCs w:val="22"/>
        </w:rPr>
        <w:br/>
        <w:t xml:space="preserve">Sasini Tea and Coffee Limited </w:t>
      </w:r>
      <w:r w:rsidRPr="00FA6022">
        <w:rPr>
          <w:rFonts w:ascii="Arial Narrow" w:hAnsi="Arial Narrow" w:cs="Times New Roman"/>
          <w:bCs/>
          <w:color w:val="auto"/>
          <w:sz w:val="22"/>
          <w:szCs w:val="22"/>
        </w:rPr>
        <w:br/>
        <w:t>Unilever Tea Limited</w:t>
      </w:r>
      <w:r w:rsidRPr="00FA6022">
        <w:rPr>
          <w:rFonts w:ascii="Arial Narrow" w:hAnsi="Arial Narrow" w:cs="Times New Roman"/>
          <w:bCs/>
          <w:color w:val="auto"/>
          <w:sz w:val="22"/>
          <w:szCs w:val="22"/>
        </w:rPr>
        <w:br/>
        <w:t xml:space="preserve">Car and General Kenya Limited </w:t>
      </w:r>
      <w:r w:rsidRPr="00FA6022">
        <w:rPr>
          <w:rFonts w:ascii="Arial Narrow" w:hAnsi="Arial Narrow" w:cs="Times New Roman"/>
          <w:bCs/>
          <w:color w:val="auto"/>
          <w:sz w:val="22"/>
          <w:szCs w:val="22"/>
        </w:rPr>
        <w:br/>
        <w:t>Kenya Airways</w:t>
      </w:r>
      <w:r w:rsidRPr="00FA6022">
        <w:rPr>
          <w:rFonts w:ascii="Arial Narrow" w:hAnsi="Arial Narrow" w:cs="Times New Roman"/>
          <w:bCs/>
          <w:color w:val="auto"/>
          <w:sz w:val="22"/>
          <w:szCs w:val="22"/>
        </w:rPr>
        <w:br/>
        <w:t xml:space="preserve">TPS Serena </w:t>
      </w:r>
      <w:r w:rsidRPr="00FA6022">
        <w:rPr>
          <w:rFonts w:ascii="Arial Narrow" w:hAnsi="Arial Narrow" w:cs="Times New Roman"/>
          <w:bCs/>
          <w:color w:val="auto"/>
          <w:sz w:val="22"/>
          <w:szCs w:val="22"/>
        </w:rPr>
        <w:br/>
        <w:t>CMC Holdings</w:t>
      </w:r>
      <w:r w:rsidRPr="00FA6022">
        <w:rPr>
          <w:rFonts w:ascii="Arial Narrow" w:hAnsi="Arial Narrow" w:cs="Times New Roman"/>
          <w:bCs/>
          <w:color w:val="auto"/>
          <w:sz w:val="22"/>
          <w:szCs w:val="22"/>
        </w:rPr>
        <w:br/>
        <w:t xml:space="preserve">British American Tobacco Kenya </w:t>
      </w:r>
      <w:r w:rsidRPr="00FA6022">
        <w:rPr>
          <w:rFonts w:ascii="Arial Narrow" w:hAnsi="Arial Narrow" w:cs="Times New Roman"/>
          <w:bCs/>
          <w:color w:val="auto"/>
          <w:sz w:val="22"/>
          <w:szCs w:val="22"/>
        </w:rPr>
        <w:br/>
        <w:t>British Ox</w:t>
      </w:r>
      <w:r w:rsidR="00626F17" w:rsidRPr="00FA6022">
        <w:rPr>
          <w:rFonts w:ascii="Arial Narrow" w:hAnsi="Arial Narrow" w:cs="Times New Roman"/>
          <w:bCs/>
          <w:color w:val="auto"/>
          <w:sz w:val="22"/>
          <w:szCs w:val="22"/>
        </w:rPr>
        <w:t xml:space="preserve">ygen Company (K) Ltd Kenya Oil </w:t>
      </w:r>
      <w:r w:rsidRPr="00FA6022">
        <w:rPr>
          <w:rFonts w:ascii="Arial Narrow" w:hAnsi="Arial Narrow" w:cs="Times New Roman"/>
          <w:bCs/>
          <w:color w:val="auto"/>
          <w:sz w:val="22"/>
          <w:szCs w:val="22"/>
        </w:rPr>
        <w:br/>
        <w:t xml:space="preserve">Barclays Bank of Kenya </w:t>
      </w:r>
      <w:r w:rsidRPr="00FA6022">
        <w:rPr>
          <w:rFonts w:ascii="Arial Narrow" w:hAnsi="Arial Narrow" w:cs="Times New Roman"/>
          <w:bCs/>
          <w:color w:val="auto"/>
          <w:sz w:val="22"/>
          <w:szCs w:val="22"/>
        </w:rPr>
        <w:br/>
        <w:t xml:space="preserve">Kenya Commercial Bank </w:t>
      </w:r>
      <w:r w:rsidRPr="00FA6022">
        <w:rPr>
          <w:rFonts w:ascii="Arial Narrow" w:hAnsi="Arial Narrow" w:cs="Times New Roman"/>
          <w:bCs/>
          <w:color w:val="auto"/>
          <w:sz w:val="22"/>
          <w:szCs w:val="22"/>
        </w:rPr>
        <w:br/>
        <w:t xml:space="preserve">National Industrial Credit Bank </w:t>
      </w:r>
      <w:r w:rsidRPr="00FA6022">
        <w:rPr>
          <w:rFonts w:ascii="Arial Narrow" w:hAnsi="Arial Narrow" w:cs="Times New Roman"/>
          <w:bCs/>
          <w:color w:val="auto"/>
          <w:sz w:val="22"/>
          <w:szCs w:val="22"/>
        </w:rPr>
        <w:br/>
        <w:t xml:space="preserve">Pan Africa Insurance Holdings </w:t>
      </w:r>
      <w:r w:rsidRPr="00FA6022">
        <w:rPr>
          <w:rFonts w:ascii="Arial Narrow" w:hAnsi="Arial Narrow" w:cs="Times New Roman"/>
          <w:bCs/>
          <w:color w:val="auto"/>
          <w:sz w:val="22"/>
          <w:szCs w:val="22"/>
        </w:rPr>
        <w:br/>
        <w:t>Housing Finance</w:t>
      </w:r>
      <w:r w:rsidRPr="00FA6022">
        <w:rPr>
          <w:rFonts w:ascii="Arial Narrow" w:hAnsi="Arial Narrow" w:cs="Times New Roman"/>
          <w:bCs/>
          <w:color w:val="auto"/>
          <w:sz w:val="22"/>
          <w:szCs w:val="22"/>
        </w:rPr>
        <w:br/>
        <w:t xml:space="preserve">CFC Bank </w:t>
      </w:r>
      <w:r w:rsidRPr="00FA6022">
        <w:rPr>
          <w:rFonts w:ascii="Arial Narrow" w:hAnsi="Arial Narrow" w:cs="Times New Roman"/>
          <w:bCs/>
          <w:color w:val="auto"/>
          <w:sz w:val="22"/>
          <w:szCs w:val="22"/>
        </w:rPr>
        <w:br/>
        <w:t xml:space="preserve">Standard Chartered Bank </w:t>
      </w:r>
      <w:r w:rsidRPr="00FA6022">
        <w:rPr>
          <w:rFonts w:ascii="Arial Narrow" w:hAnsi="Arial Narrow" w:cs="Times New Roman"/>
          <w:bCs/>
          <w:color w:val="auto"/>
          <w:sz w:val="22"/>
          <w:szCs w:val="22"/>
        </w:rPr>
        <w:br/>
        <w:t xml:space="preserve">Diamond Trust Bank of Kenya </w:t>
      </w:r>
      <w:r w:rsidRPr="00FA6022">
        <w:rPr>
          <w:rFonts w:ascii="Arial Narrow" w:hAnsi="Arial Narrow" w:cs="Times New Roman"/>
          <w:bCs/>
          <w:color w:val="auto"/>
          <w:sz w:val="22"/>
          <w:szCs w:val="22"/>
        </w:rPr>
        <w:br/>
        <w:t xml:space="preserve">ICDC Investment Company </w:t>
      </w:r>
      <w:r w:rsidRPr="00FA6022">
        <w:rPr>
          <w:rFonts w:ascii="Arial Narrow" w:hAnsi="Arial Narrow" w:cs="Times New Roman"/>
          <w:bCs/>
          <w:color w:val="auto"/>
          <w:sz w:val="22"/>
          <w:szCs w:val="22"/>
        </w:rPr>
        <w:br/>
        <w:t xml:space="preserve">National Bank of Kenya </w:t>
      </w:r>
      <w:r w:rsidRPr="00FA6022">
        <w:rPr>
          <w:rFonts w:ascii="Arial Narrow" w:hAnsi="Arial Narrow" w:cs="Times New Roman"/>
          <w:bCs/>
          <w:color w:val="auto"/>
          <w:sz w:val="22"/>
          <w:szCs w:val="22"/>
        </w:rPr>
        <w:br/>
      </w:r>
    </w:p>
    <w:p w:rsidR="007B2B29" w:rsidRPr="00FA6022" w:rsidRDefault="007B2B29" w:rsidP="007B2B29">
      <w:pPr>
        <w:pStyle w:val="NormalWeb"/>
        <w:spacing w:before="100" w:beforeAutospacing="1" w:after="100" w:afterAutospacing="1"/>
        <w:rPr>
          <w:rFonts w:ascii="Arial Narrow" w:hAnsi="Arial Narrow" w:cs="Times New Roman"/>
          <w:b/>
          <w:bCs/>
          <w:color w:val="auto"/>
          <w:sz w:val="22"/>
          <w:szCs w:val="22"/>
          <w:u w:val="single"/>
        </w:rPr>
      </w:pPr>
      <w:r w:rsidRPr="00FA6022">
        <w:rPr>
          <w:rFonts w:ascii="Arial Narrow" w:hAnsi="Arial Narrow" w:cs="Times New Roman"/>
          <w:b/>
          <w:bCs/>
          <w:color w:val="auto"/>
          <w:sz w:val="22"/>
          <w:szCs w:val="22"/>
          <w:u w:val="single"/>
        </w:rPr>
        <w:t>Functions of the Stock Exchange Market</w:t>
      </w:r>
    </w:p>
    <w:p w:rsidR="007B2B29" w:rsidRPr="00FA6022" w:rsidRDefault="007B2B29" w:rsidP="007B2B29">
      <w:pPr>
        <w:spacing w:before="100" w:beforeAutospacing="1" w:after="100" w:afterAutospacing="1" w:line="240" w:lineRule="auto"/>
        <w:rPr>
          <w:rFonts w:ascii="Arial Narrow" w:eastAsia="Arial Unicode MS" w:hAnsi="Arial Narrow"/>
          <w:bCs/>
          <w:lang w:val="sw-KE" w:eastAsia="sw-KE"/>
        </w:rPr>
      </w:pPr>
      <w:r w:rsidRPr="00FA6022">
        <w:rPr>
          <w:rFonts w:ascii="Arial Narrow" w:eastAsia="Arial Unicode MS" w:hAnsi="Arial Narrow"/>
          <w:bCs/>
          <w:lang w:val="sw-KE" w:eastAsia="sw-KE"/>
        </w:rPr>
        <w:t xml:space="preserve">Although the stock exchange market has multiple functions, its main activities are two: </w:t>
      </w:r>
    </w:p>
    <w:p w:rsidR="007B2B29" w:rsidRPr="00FA6022" w:rsidRDefault="007B2B29" w:rsidP="007B2B29">
      <w:pPr>
        <w:numPr>
          <w:ilvl w:val="0"/>
          <w:numId w:val="6"/>
        </w:numPr>
        <w:spacing w:before="100" w:beforeAutospacing="1" w:after="100" w:afterAutospacing="1" w:line="240" w:lineRule="auto"/>
        <w:ind w:left="0" w:firstLine="0"/>
        <w:jc w:val="both"/>
        <w:rPr>
          <w:rFonts w:ascii="Arial Narrow" w:eastAsia="Arial Unicode MS" w:hAnsi="Arial Narrow"/>
          <w:bCs/>
          <w:lang w:val="sw-KE" w:eastAsia="sw-KE"/>
        </w:rPr>
      </w:pPr>
      <w:r w:rsidRPr="00FA6022">
        <w:rPr>
          <w:rFonts w:ascii="Arial Narrow" w:eastAsia="Arial Unicode MS" w:hAnsi="Arial Narrow"/>
          <w:bCs/>
          <w:lang w:val="sw-KE" w:eastAsia="sw-KE"/>
        </w:rPr>
        <w:t>To promote the savings and for them to be canalized towards of carrying through investment projects that otherwise wouldn’t   be possible you need that the issuing institution of the securities to be admitted for quoting. The negotiations will be done on the primary market.</w:t>
      </w:r>
    </w:p>
    <w:p w:rsidR="007B2B29" w:rsidRPr="00FA6022" w:rsidRDefault="007B2B29" w:rsidP="007B2B29">
      <w:pPr>
        <w:numPr>
          <w:ilvl w:val="0"/>
          <w:numId w:val="6"/>
        </w:numPr>
        <w:spacing w:before="100" w:beforeAutospacing="1" w:after="100" w:afterAutospacing="1" w:line="240" w:lineRule="auto"/>
        <w:ind w:left="0" w:firstLine="0"/>
        <w:jc w:val="both"/>
        <w:rPr>
          <w:rFonts w:ascii="Arial Narrow" w:eastAsia="Arial Unicode MS" w:hAnsi="Arial Narrow"/>
          <w:bCs/>
          <w:lang w:val="sw-KE" w:eastAsia="sw-KE"/>
        </w:rPr>
      </w:pPr>
      <w:r w:rsidRPr="00FA6022">
        <w:rPr>
          <w:rFonts w:ascii="Arial Narrow" w:eastAsia="Arial Unicode MS" w:hAnsi="Arial Narrow"/>
          <w:bCs/>
          <w:lang w:val="sw-KE" w:eastAsia="sw-KE"/>
        </w:rPr>
        <w:t>To provide liquidity to the investors. The investor can   recuperate the money invested when needed. For it, he has to go to the stock exchange market to sell the securities previously acquired. This function of the stock market is done on the secondary market.</w:t>
      </w:r>
    </w:p>
    <w:p w:rsidR="007B2B29" w:rsidRPr="00FA6022" w:rsidRDefault="007B2B29" w:rsidP="007B2B29">
      <w:pPr>
        <w:spacing w:before="100" w:beforeAutospacing="1" w:after="100" w:afterAutospacing="1" w:line="240" w:lineRule="auto"/>
        <w:jc w:val="both"/>
        <w:rPr>
          <w:rFonts w:ascii="Arial Narrow" w:eastAsia="Arial Unicode MS" w:hAnsi="Arial Narrow"/>
          <w:bCs/>
          <w:lang w:val="sw-KE" w:eastAsia="sw-KE"/>
        </w:rPr>
      </w:pPr>
      <w:r w:rsidRPr="00FA6022">
        <w:rPr>
          <w:rFonts w:ascii="Arial Narrow" w:eastAsia="Arial Unicode MS" w:hAnsi="Arial Narrow"/>
          <w:bCs/>
          <w:lang w:val="sw-KE" w:eastAsia="sw-KE"/>
        </w:rPr>
        <w:t>Other functions of the stock exchange market as an organization are:</w:t>
      </w:r>
    </w:p>
    <w:p w:rsidR="007B2B29" w:rsidRPr="00FA6022" w:rsidRDefault="007B2B29" w:rsidP="007B2B29">
      <w:pPr>
        <w:numPr>
          <w:ilvl w:val="0"/>
          <w:numId w:val="6"/>
        </w:numPr>
        <w:spacing w:before="100" w:beforeAutospacing="1" w:after="100" w:afterAutospacing="1" w:line="240" w:lineRule="auto"/>
        <w:ind w:left="0" w:firstLine="0"/>
        <w:jc w:val="both"/>
        <w:rPr>
          <w:rFonts w:ascii="Arial Narrow" w:eastAsia="Arial Unicode MS" w:hAnsi="Arial Narrow"/>
          <w:bCs/>
          <w:lang w:val="sw-KE" w:eastAsia="sw-KE"/>
        </w:rPr>
      </w:pPr>
      <w:r w:rsidRPr="00FA6022">
        <w:rPr>
          <w:rFonts w:ascii="Arial Narrow" w:eastAsia="Arial Unicode MS" w:hAnsi="Arial Narrow"/>
          <w:bCs/>
          <w:lang w:val="sw-KE" w:eastAsia="sw-KE"/>
        </w:rPr>
        <w:t>To guarantee the legal and economic security of the agreed contracts.</w:t>
      </w:r>
    </w:p>
    <w:p w:rsidR="007B2B29" w:rsidRPr="00FA6022" w:rsidRDefault="007B2B29" w:rsidP="007B2B29">
      <w:pPr>
        <w:numPr>
          <w:ilvl w:val="0"/>
          <w:numId w:val="6"/>
        </w:numPr>
        <w:spacing w:before="100" w:beforeAutospacing="1" w:after="100" w:afterAutospacing="1" w:line="240" w:lineRule="auto"/>
        <w:ind w:left="0" w:firstLine="0"/>
        <w:jc w:val="both"/>
        <w:rPr>
          <w:rFonts w:ascii="Arial Narrow" w:eastAsia="Arial Unicode MS" w:hAnsi="Arial Narrow"/>
          <w:bCs/>
          <w:lang w:val="sw-KE" w:eastAsia="sw-KE"/>
        </w:rPr>
      </w:pPr>
      <w:r w:rsidRPr="00FA6022">
        <w:rPr>
          <w:rFonts w:ascii="Arial Narrow" w:eastAsia="Arial Unicode MS" w:hAnsi="Arial Narrow"/>
          <w:bCs/>
          <w:lang w:val="sw-KE" w:eastAsia="sw-KE"/>
        </w:rPr>
        <w:t>To provide official information about the quantities that are negotiated and of the quoted prices.</w:t>
      </w:r>
    </w:p>
    <w:p w:rsidR="007B2B29" w:rsidRPr="00FA6022" w:rsidRDefault="007B2B29" w:rsidP="007B2B29">
      <w:pPr>
        <w:numPr>
          <w:ilvl w:val="0"/>
          <w:numId w:val="6"/>
        </w:numPr>
        <w:spacing w:before="100" w:beforeAutospacing="1" w:after="100" w:afterAutospacing="1" w:line="240" w:lineRule="auto"/>
        <w:ind w:left="0" w:firstLine="0"/>
        <w:jc w:val="both"/>
        <w:rPr>
          <w:rFonts w:ascii="Arial Narrow" w:eastAsia="Arial Unicode MS" w:hAnsi="Arial Narrow"/>
          <w:bCs/>
          <w:lang w:val="sw-KE" w:eastAsia="sw-KE"/>
        </w:rPr>
      </w:pPr>
      <w:r w:rsidRPr="00FA6022">
        <w:rPr>
          <w:rFonts w:ascii="Arial Narrow" w:eastAsia="Arial Unicode MS" w:hAnsi="Arial Narrow"/>
          <w:bCs/>
          <w:lang w:val="sw-KE" w:eastAsia="sw-KE"/>
        </w:rPr>
        <w:t>To fix the prices of the securities according to the fundamental law of the offer and the demand.</w:t>
      </w:r>
    </w:p>
    <w:p w:rsidR="007B2B29" w:rsidRPr="00FA6022" w:rsidRDefault="007B2B29" w:rsidP="007B2B29">
      <w:pPr>
        <w:numPr>
          <w:ilvl w:val="0"/>
          <w:numId w:val="6"/>
        </w:numPr>
        <w:spacing w:before="100" w:beforeAutospacing="1" w:after="100" w:afterAutospacing="1" w:line="240" w:lineRule="auto"/>
        <w:ind w:left="0" w:firstLine="0"/>
        <w:jc w:val="both"/>
        <w:rPr>
          <w:rFonts w:ascii="Arial Narrow" w:eastAsia="Arial Unicode MS" w:hAnsi="Arial Narrow"/>
          <w:bCs/>
          <w:lang w:val="sw-KE" w:eastAsia="sw-KE"/>
        </w:rPr>
      </w:pPr>
      <w:r w:rsidRPr="00FA6022">
        <w:rPr>
          <w:rFonts w:ascii="Arial Narrow" w:eastAsia="Arial Unicode MS" w:hAnsi="Arial Narrow"/>
          <w:bCs/>
          <w:lang w:val="sw-KE" w:eastAsia="sw-KE"/>
        </w:rPr>
        <w:t>Specifying a bit more and centering on the two main agents that intervene in the market, investors and companies, we could do the following   classification:</w:t>
      </w:r>
    </w:p>
    <w:p w:rsidR="007B2B29" w:rsidRPr="00FA6022" w:rsidRDefault="007B2B29" w:rsidP="007B2B29">
      <w:pPr>
        <w:spacing w:before="100" w:beforeAutospacing="1" w:after="100" w:afterAutospacing="1" w:line="240" w:lineRule="auto"/>
        <w:jc w:val="both"/>
        <w:rPr>
          <w:rFonts w:ascii="Arial Narrow" w:eastAsia="Arial Unicode MS" w:hAnsi="Arial Narrow"/>
          <w:bCs/>
          <w:lang w:val="sw-KE" w:eastAsia="sw-KE"/>
        </w:rPr>
      </w:pPr>
      <w:r w:rsidRPr="00FA6022">
        <w:rPr>
          <w:rFonts w:ascii="Arial Narrow" w:eastAsia="Arial Unicode MS" w:hAnsi="Arial Narrow"/>
          <w:bCs/>
          <w:lang w:val="sw-KE" w:eastAsia="sw-KE"/>
        </w:rPr>
        <w:t>Functions done by the stock exchange market in favor of the investor:</w:t>
      </w:r>
    </w:p>
    <w:p w:rsidR="007B2B29" w:rsidRPr="00FA6022" w:rsidRDefault="007B2B29" w:rsidP="007B2B29">
      <w:pPr>
        <w:numPr>
          <w:ilvl w:val="0"/>
          <w:numId w:val="6"/>
        </w:numPr>
        <w:spacing w:before="100" w:beforeAutospacing="1" w:after="100" w:afterAutospacing="1" w:line="240" w:lineRule="auto"/>
        <w:ind w:left="0" w:firstLine="0"/>
        <w:jc w:val="both"/>
        <w:rPr>
          <w:rFonts w:ascii="Arial Narrow" w:eastAsia="Arial Unicode MS" w:hAnsi="Arial Narrow"/>
          <w:bCs/>
          <w:lang w:val="sw-KE" w:eastAsia="sw-KE"/>
        </w:rPr>
      </w:pPr>
      <w:r w:rsidRPr="00FA6022">
        <w:rPr>
          <w:rFonts w:ascii="Arial Narrow" w:eastAsia="Arial Unicode MS" w:hAnsi="Arial Narrow"/>
          <w:bCs/>
          <w:lang w:val="sw-KE" w:eastAsia="sw-KE"/>
        </w:rPr>
        <w:t>It permits him the access to the profitable activities of the big companies.</w:t>
      </w:r>
    </w:p>
    <w:p w:rsidR="007B2B29" w:rsidRPr="00FA6022" w:rsidRDefault="007B2B29" w:rsidP="007B2B29">
      <w:pPr>
        <w:numPr>
          <w:ilvl w:val="0"/>
          <w:numId w:val="6"/>
        </w:numPr>
        <w:spacing w:before="100" w:beforeAutospacing="1" w:after="100" w:afterAutospacing="1" w:line="240" w:lineRule="auto"/>
        <w:ind w:left="0" w:firstLine="0"/>
        <w:jc w:val="both"/>
        <w:rPr>
          <w:rFonts w:ascii="Arial Narrow" w:eastAsia="Arial Unicode MS" w:hAnsi="Arial Narrow"/>
          <w:bCs/>
          <w:lang w:val="sw-KE" w:eastAsia="sw-KE"/>
        </w:rPr>
      </w:pPr>
      <w:r w:rsidRPr="00FA6022">
        <w:rPr>
          <w:rFonts w:ascii="Arial Narrow" w:eastAsia="Arial Unicode MS" w:hAnsi="Arial Narrow"/>
          <w:bCs/>
          <w:lang w:val="sw-KE" w:eastAsia="sw-KE"/>
        </w:rPr>
        <w:t>It offers liquidity to the security investments, through a place in which to sell or buy securities.</w:t>
      </w:r>
    </w:p>
    <w:p w:rsidR="007B2B29" w:rsidRPr="00FA6022" w:rsidRDefault="007B2B29" w:rsidP="007B2B29">
      <w:pPr>
        <w:numPr>
          <w:ilvl w:val="0"/>
          <w:numId w:val="6"/>
        </w:numPr>
        <w:spacing w:before="100" w:beforeAutospacing="1" w:after="100" w:afterAutospacing="1" w:line="240" w:lineRule="auto"/>
        <w:ind w:left="0" w:firstLine="0"/>
        <w:jc w:val="both"/>
        <w:rPr>
          <w:rFonts w:ascii="Arial Narrow" w:eastAsia="Arial Unicode MS" w:hAnsi="Arial Narrow"/>
          <w:bCs/>
          <w:lang w:val="sw-KE" w:eastAsia="sw-KE"/>
        </w:rPr>
      </w:pPr>
      <w:r w:rsidRPr="00FA6022">
        <w:rPr>
          <w:rFonts w:ascii="Arial Narrow" w:eastAsia="Arial Unicode MS" w:hAnsi="Arial Narrow"/>
          <w:bCs/>
          <w:lang w:val="sw-KE" w:eastAsia="sw-KE"/>
        </w:rPr>
        <w:t>It permits for the investor to have a political power in the companies in which he invests its savings due that the acquisition of ordinary shares gives him the right (among other things) to vote in the general shareholders meetings of the company in question.</w:t>
      </w:r>
    </w:p>
    <w:p w:rsidR="007B2B29" w:rsidRPr="00FA6022" w:rsidRDefault="007B2B29" w:rsidP="007B2B29">
      <w:pPr>
        <w:numPr>
          <w:ilvl w:val="0"/>
          <w:numId w:val="6"/>
        </w:numPr>
        <w:spacing w:before="100" w:beforeAutospacing="1" w:after="100" w:afterAutospacing="1" w:line="240" w:lineRule="auto"/>
        <w:ind w:left="0" w:firstLine="0"/>
        <w:jc w:val="both"/>
        <w:rPr>
          <w:rFonts w:ascii="Arial Narrow" w:eastAsia="Arial Unicode MS" w:hAnsi="Arial Narrow"/>
          <w:bCs/>
          <w:lang w:val="sw-KE" w:eastAsia="sw-KE"/>
        </w:rPr>
      </w:pPr>
      <w:r w:rsidRPr="00FA6022">
        <w:rPr>
          <w:rFonts w:ascii="Arial Narrow" w:eastAsia="Arial Unicode MS" w:hAnsi="Arial Narrow"/>
          <w:bCs/>
          <w:lang w:val="sw-KE" w:eastAsia="sw-KE"/>
        </w:rPr>
        <w:t>It offers the possibility of diversifying   your portfolio by enlarging the field of strategy of investments due to alternative options, as could be the derived market, the money market, etc.</w:t>
      </w:r>
    </w:p>
    <w:p w:rsidR="007B2B29" w:rsidRPr="00FA6022" w:rsidRDefault="007B2B29" w:rsidP="007B2B29">
      <w:pPr>
        <w:spacing w:before="100" w:beforeAutospacing="1" w:after="100" w:afterAutospacing="1" w:line="240" w:lineRule="auto"/>
        <w:jc w:val="both"/>
        <w:rPr>
          <w:rFonts w:ascii="Arial Narrow" w:eastAsia="Arial Unicode MS" w:hAnsi="Arial Narrow"/>
          <w:bCs/>
          <w:lang w:val="sw-KE" w:eastAsia="sw-KE"/>
        </w:rPr>
      </w:pPr>
      <w:r w:rsidRPr="00FA6022">
        <w:rPr>
          <w:rFonts w:ascii="Arial Narrow" w:eastAsia="Arial Unicode MS" w:hAnsi="Arial Narrow"/>
          <w:bCs/>
          <w:lang w:val="sw-KE" w:eastAsia="sw-KE"/>
        </w:rPr>
        <w:lastRenderedPageBreak/>
        <w:t>With respect to the function done by the stock exchange market in favor of the companies:</w:t>
      </w:r>
    </w:p>
    <w:p w:rsidR="007B2B29" w:rsidRPr="00FA6022" w:rsidRDefault="007B2B29" w:rsidP="007B2B29">
      <w:pPr>
        <w:numPr>
          <w:ilvl w:val="0"/>
          <w:numId w:val="6"/>
        </w:numPr>
        <w:spacing w:before="100" w:beforeAutospacing="1" w:after="100" w:afterAutospacing="1" w:line="240" w:lineRule="auto"/>
        <w:ind w:left="0" w:firstLine="0"/>
        <w:jc w:val="both"/>
        <w:rPr>
          <w:rFonts w:ascii="Arial Narrow" w:eastAsia="Arial Unicode MS" w:hAnsi="Arial Narrow"/>
          <w:bCs/>
          <w:lang w:val="sw-KE" w:eastAsia="sw-KE"/>
        </w:rPr>
      </w:pPr>
      <w:r w:rsidRPr="00FA6022">
        <w:rPr>
          <w:rFonts w:ascii="Arial Narrow" w:eastAsia="Arial Unicode MS" w:hAnsi="Arial Narrow"/>
          <w:bCs/>
          <w:lang w:val="sw-KE" w:eastAsia="sw-KE"/>
        </w:rPr>
        <w:t>It supplies them with the obtaining of long-term funds that permits the company to make profitable activities or to do determine projects that otherwise wouldn’t be possible to develop for lack of financing. Also, this funding signifies a less cost than if obtained at other channels.</w:t>
      </w:r>
    </w:p>
    <w:p w:rsidR="007B2B29" w:rsidRPr="00FA6022" w:rsidRDefault="007B2B29" w:rsidP="007B2B29">
      <w:pPr>
        <w:numPr>
          <w:ilvl w:val="0"/>
          <w:numId w:val="6"/>
        </w:numPr>
        <w:spacing w:before="100" w:beforeAutospacing="1" w:after="100" w:afterAutospacing="1" w:line="240" w:lineRule="auto"/>
        <w:ind w:left="0" w:firstLine="0"/>
        <w:jc w:val="both"/>
        <w:rPr>
          <w:rFonts w:ascii="Arial Narrow" w:eastAsia="Arial Unicode MS" w:hAnsi="Arial Narrow"/>
          <w:bCs/>
          <w:lang w:val="sw-KE" w:eastAsia="sw-KE"/>
        </w:rPr>
      </w:pPr>
      <w:r w:rsidRPr="00FA6022">
        <w:rPr>
          <w:rFonts w:ascii="Arial Narrow" w:eastAsia="Arial Unicode MS" w:hAnsi="Arial Narrow"/>
          <w:bCs/>
          <w:lang w:val="sw-KE" w:eastAsia="sw-KE"/>
        </w:rPr>
        <w:t>The securities quoted at the stock exchange market usually have more fiscal purpose advantages for the companies.</w:t>
      </w:r>
    </w:p>
    <w:p w:rsidR="00BD5914" w:rsidRPr="00FA6022" w:rsidRDefault="007B2B29" w:rsidP="007B2B29">
      <w:pPr>
        <w:numPr>
          <w:ilvl w:val="0"/>
          <w:numId w:val="6"/>
        </w:numPr>
        <w:spacing w:before="100" w:beforeAutospacing="1" w:after="100" w:afterAutospacing="1" w:line="240" w:lineRule="auto"/>
        <w:ind w:left="0" w:firstLine="0"/>
        <w:jc w:val="both"/>
        <w:rPr>
          <w:rFonts w:ascii="Arial Narrow" w:eastAsia="Arial Unicode MS" w:hAnsi="Arial Narrow"/>
          <w:bCs/>
          <w:lang w:val="sw-KE" w:eastAsia="sw-KE"/>
        </w:rPr>
      </w:pPr>
      <w:r w:rsidRPr="00FA6022">
        <w:rPr>
          <w:rFonts w:ascii="Arial Narrow" w:eastAsia="Arial Unicode MS" w:hAnsi="Arial Narrow"/>
          <w:bCs/>
          <w:lang w:val="sw-KE" w:eastAsia="sw-KE"/>
        </w:rPr>
        <w:t>It offers to the company’s free publicity, which in other way would suppose considerable expenses. The institution is objecting of attention of the media (television, radio, etc.) in case any important change in its owners (the share holders).</w:t>
      </w:r>
    </w:p>
    <w:p w:rsidR="007B2B29" w:rsidRPr="00FA6022" w:rsidRDefault="007B2B29" w:rsidP="007B2B29">
      <w:pPr>
        <w:pStyle w:val="NormalWeb"/>
        <w:spacing w:before="100" w:beforeAutospacing="1" w:after="100" w:afterAutospacing="1"/>
        <w:rPr>
          <w:rFonts w:ascii="Arial Narrow" w:hAnsi="Arial Narrow" w:cs="Times New Roman"/>
          <w:b/>
          <w:bCs/>
          <w:color w:val="auto"/>
          <w:sz w:val="22"/>
          <w:szCs w:val="22"/>
          <w:u w:val="single"/>
        </w:rPr>
      </w:pPr>
      <w:r w:rsidRPr="00FA6022">
        <w:rPr>
          <w:rFonts w:ascii="Arial Narrow" w:hAnsi="Arial Narrow" w:cs="Times New Roman"/>
          <w:b/>
          <w:bCs/>
          <w:color w:val="auto"/>
          <w:sz w:val="22"/>
          <w:szCs w:val="22"/>
          <w:u w:val="single"/>
        </w:rPr>
        <w:t>C. OTHER FINANCIAL INSTITUTIONS</w:t>
      </w:r>
    </w:p>
    <w:p w:rsidR="007B2B29" w:rsidRPr="00FA6022" w:rsidRDefault="007B2B29" w:rsidP="00D338FD">
      <w:pPr>
        <w:pStyle w:val="ListParagraph"/>
        <w:spacing w:before="100" w:beforeAutospacing="1" w:after="100" w:afterAutospacing="1" w:line="240" w:lineRule="auto"/>
        <w:ind w:left="-284"/>
        <w:rPr>
          <w:rStyle w:val="Strong"/>
          <w:rFonts w:ascii="Arial Narrow" w:eastAsia="Arial Unicode MS" w:hAnsi="Arial Narrow"/>
          <w:b w:val="0"/>
          <w:u w:val="single"/>
        </w:rPr>
      </w:pPr>
      <w:r w:rsidRPr="00FA6022">
        <w:rPr>
          <w:rStyle w:val="Strong"/>
          <w:rFonts w:ascii="Arial Narrow" w:eastAsia="Arial Unicode MS" w:hAnsi="Arial Narrow"/>
          <w:b w:val="0"/>
          <w:u w:val="single"/>
        </w:rPr>
        <w:t>Building Societies</w:t>
      </w:r>
    </w:p>
    <w:p w:rsidR="007B2B29" w:rsidRPr="00FA6022" w:rsidRDefault="007B2B29" w:rsidP="00D338FD">
      <w:pPr>
        <w:pStyle w:val="ListParagraph"/>
        <w:spacing w:before="100" w:beforeAutospacing="1" w:after="100" w:afterAutospacing="1" w:line="240" w:lineRule="auto"/>
        <w:ind w:left="-284"/>
        <w:rPr>
          <w:rFonts w:ascii="Arial Narrow" w:eastAsia="Arial Unicode MS" w:hAnsi="Arial Narrow"/>
          <w:bCs/>
        </w:rPr>
      </w:pPr>
      <w:r w:rsidRPr="00FA6022">
        <w:rPr>
          <w:rFonts w:ascii="Arial Narrow" w:eastAsia="Arial Unicode MS" w:hAnsi="Arial Narrow"/>
          <w:bCs/>
        </w:rPr>
        <w:t xml:space="preserve">A building society is a financial institution, </w:t>
      </w:r>
      <w:hyperlink r:id="rId15" w:tooltip="Mutual organization" w:history="1">
        <w:r w:rsidRPr="00FA6022">
          <w:rPr>
            <w:rFonts w:ascii="Arial Narrow" w:eastAsia="Arial Unicode MS" w:hAnsi="Arial Narrow"/>
            <w:bCs/>
          </w:rPr>
          <w:t>owned by its members</w:t>
        </w:r>
      </w:hyperlink>
      <w:r w:rsidRPr="00FA6022">
        <w:rPr>
          <w:rFonts w:ascii="Arial Narrow" w:eastAsia="Arial Unicode MS" w:hAnsi="Arial Narrow"/>
          <w:bCs/>
        </w:rPr>
        <w:t xml:space="preserve">, that offers </w:t>
      </w:r>
      <w:hyperlink r:id="rId16" w:tooltip="Banking institution" w:history="1">
        <w:r w:rsidRPr="00FA6022">
          <w:rPr>
            <w:rFonts w:ascii="Arial Narrow" w:eastAsia="Arial Unicode MS" w:hAnsi="Arial Narrow"/>
            <w:bCs/>
          </w:rPr>
          <w:t>banking</w:t>
        </w:r>
      </w:hyperlink>
      <w:r w:rsidRPr="00FA6022">
        <w:rPr>
          <w:rFonts w:ascii="Arial Narrow" w:eastAsia="Arial Unicode MS" w:hAnsi="Arial Narrow"/>
          <w:bCs/>
        </w:rPr>
        <w:t xml:space="preserve"> and other </w:t>
      </w:r>
      <w:hyperlink r:id="rId17" w:tooltip="Financial services" w:history="1">
        <w:r w:rsidRPr="00FA6022">
          <w:rPr>
            <w:rFonts w:ascii="Arial Narrow" w:eastAsia="Arial Unicode MS" w:hAnsi="Arial Narrow"/>
            <w:bCs/>
          </w:rPr>
          <w:t>financial services</w:t>
        </w:r>
      </w:hyperlink>
      <w:r w:rsidRPr="00FA6022">
        <w:rPr>
          <w:rFonts w:ascii="Arial Narrow" w:eastAsia="Arial Unicode MS" w:hAnsi="Arial Narrow"/>
          <w:bCs/>
        </w:rPr>
        <w:t xml:space="preserve">, especially </w:t>
      </w:r>
      <w:hyperlink r:id="rId18" w:tooltip="Mortgage loan" w:history="1">
        <w:r w:rsidRPr="00FA6022">
          <w:rPr>
            <w:rFonts w:ascii="Arial Narrow" w:eastAsia="Arial Unicode MS" w:hAnsi="Arial Narrow"/>
            <w:bCs/>
          </w:rPr>
          <w:t>mortgage lending</w:t>
        </w:r>
      </w:hyperlink>
      <w:r w:rsidRPr="00FA6022">
        <w:rPr>
          <w:rFonts w:ascii="Arial Narrow" w:eastAsia="Arial Unicode MS" w:hAnsi="Arial Narrow"/>
          <w:bCs/>
        </w:rPr>
        <w:t>. Building Societies are licensed under the Building Societies Act. Currently there is no licensed Building Society in Kenya.</w:t>
      </w:r>
    </w:p>
    <w:p w:rsidR="007B2B29" w:rsidRPr="00FA6022" w:rsidRDefault="007B2B29" w:rsidP="00D338FD">
      <w:pPr>
        <w:pStyle w:val="ListParagraph"/>
        <w:spacing w:before="100" w:beforeAutospacing="1" w:after="100" w:afterAutospacing="1" w:line="240" w:lineRule="auto"/>
        <w:ind w:left="-284"/>
        <w:rPr>
          <w:rFonts w:ascii="Arial Narrow" w:eastAsia="Arial Unicode MS" w:hAnsi="Arial Narrow"/>
          <w:bCs/>
        </w:rPr>
      </w:pPr>
    </w:p>
    <w:p w:rsidR="007B2B29" w:rsidRPr="00FA6022" w:rsidRDefault="007B2B29" w:rsidP="00D338FD">
      <w:pPr>
        <w:pStyle w:val="ListParagraph"/>
        <w:spacing w:before="100" w:beforeAutospacing="1" w:after="100" w:afterAutospacing="1" w:line="240" w:lineRule="auto"/>
        <w:ind w:left="-284"/>
        <w:rPr>
          <w:rFonts w:ascii="Arial Narrow" w:eastAsia="Arial Unicode MS" w:hAnsi="Arial Narrow"/>
          <w:bCs/>
          <w:u w:val="single"/>
        </w:rPr>
      </w:pPr>
      <w:r w:rsidRPr="00FA6022">
        <w:rPr>
          <w:rFonts w:ascii="Arial Narrow" w:eastAsia="Arial Unicode MS" w:hAnsi="Arial Narrow"/>
          <w:bCs/>
          <w:u w:val="single"/>
        </w:rPr>
        <w:t>Credit Unions</w:t>
      </w:r>
    </w:p>
    <w:p w:rsidR="007B2B29" w:rsidRPr="00FA6022" w:rsidRDefault="007B2B29" w:rsidP="00D338FD">
      <w:pPr>
        <w:pStyle w:val="ListParagraph"/>
        <w:spacing w:before="100" w:beforeAutospacing="1" w:after="100" w:afterAutospacing="1" w:line="240" w:lineRule="auto"/>
        <w:ind w:left="-284"/>
        <w:rPr>
          <w:rFonts w:ascii="Arial Narrow" w:eastAsia="Arial Unicode MS" w:hAnsi="Arial Narrow"/>
          <w:bCs/>
        </w:rPr>
      </w:pPr>
      <w:r w:rsidRPr="00FA6022">
        <w:rPr>
          <w:rFonts w:ascii="Arial Narrow" w:eastAsia="Arial Unicode MS" w:hAnsi="Arial Narrow"/>
          <w:bCs/>
        </w:rPr>
        <w:t>These are co-op associations whose members normally have a common bond, such as employees of the same firm. Member’s savings are loaned out only to other members. They offer the cheapest source of funds for individual borrowers. Co-ops are regulated by the co-op act.</w:t>
      </w:r>
    </w:p>
    <w:p w:rsidR="001A1772" w:rsidRPr="00FA6022" w:rsidRDefault="001A1772" w:rsidP="001A1772">
      <w:pPr>
        <w:pStyle w:val="Heading3"/>
        <w:spacing w:before="0" w:beforeAutospacing="0" w:after="72" w:afterAutospacing="0"/>
        <w:ind w:left="-270"/>
        <w:rPr>
          <w:rFonts w:ascii="Arial Narrow" w:eastAsiaTheme="minorEastAsia" w:hAnsi="Arial Narrow"/>
          <w:b w:val="0"/>
          <w:bCs w:val="0"/>
          <w:color w:val="000000" w:themeColor="text1"/>
          <w:sz w:val="22"/>
          <w:szCs w:val="22"/>
        </w:rPr>
      </w:pPr>
      <w:r w:rsidRPr="00FA6022">
        <w:rPr>
          <w:rFonts w:ascii="Arial Narrow" w:eastAsiaTheme="minorEastAsia" w:hAnsi="Arial Narrow"/>
          <w:b w:val="0"/>
          <w:bCs w:val="0"/>
          <w:color w:val="000000" w:themeColor="text1"/>
          <w:sz w:val="22"/>
          <w:szCs w:val="22"/>
        </w:rPr>
        <w:t xml:space="preserve">A pension fund is any plan, fund, or scheme which provides retirement income. Pension funds are important shareholders of listed and private companies. They are especially important to the stock market where large </w:t>
      </w:r>
      <w:hyperlink r:id="rId19" w:tooltip="Institutional investor" w:history="1">
        <w:r w:rsidRPr="00FA6022">
          <w:rPr>
            <w:rFonts w:ascii="Arial Narrow" w:eastAsiaTheme="minorEastAsia" w:hAnsi="Arial Narrow"/>
            <w:b w:val="0"/>
            <w:bCs w:val="0"/>
            <w:color w:val="000000" w:themeColor="text1"/>
            <w:sz w:val="22"/>
            <w:szCs w:val="22"/>
          </w:rPr>
          <w:t>institutional investors</w:t>
        </w:r>
      </w:hyperlink>
      <w:r w:rsidRPr="00FA6022">
        <w:rPr>
          <w:rFonts w:ascii="Arial Narrow" w:eastAsiaTheme="minorEastAsia" w:hAnsi="Arial Narrow"/>
          <w:b w:val="0"/>
          <w:bCs w:val="0"/>
          <w:color w:val="000000" w:themeColor="text1"/>
          <w:sz w:val="22"/>
          <w:szCs w:val="22"/>
        </w:rPr>
        <w:t xml:space="preserve"> dominate. Open vs. closed pension funds Open pension funds support at least one pension plan with no restriction on membership while closed pension funds support only pension plans that are limited to certain employees. </w:t>
      </w:r>
    </w:p>
    <w:p w:rsidR="001A1772" w:rsidRPr="00FA6022" w:rsidRDefault="001A1772" w:rsidP="001A1772">
      <w:pPr>
        <w:spacing w:before="96" w:after="120" w:line="240" w:lineRule="auto"/>
        <w:ind w:left="-270"/>
        <w:rPr>
          <w:rFonts w:ascii="Arial Narrow" w:hAnsi="Arial Narrow"/>
          <w:color w:val="000000" w:themeColor="text1"/>
        </w:rPr>
      </w:pPr>
      <w:r w:rsidRPr="00FA6022">
        <w:rPr>
          <w:rFonts w:ascii="Arial Narrow" w:hAnsi="Arial Narrow"/>
          <w:color w:val="000000" w:themeColor="text1"/>
        </w:rPr>
        <w:t>A public pension fund is one that is regulated under public sector law while a private pension fund is regulated under private sector law. In certain countries the distinction between public or government pension funds and private pension funds may be difficult to assess. In others, the distinction is made sharply in law, with very specific requirements for administration and investment. In Kenya, pension funds are regulated by the RBA, governed by the RBA act, retirement benefits regulations and the investment regulations and policies issued.</w:t>
      </w:r>
    </w:p>
    <w:p w:rsidR="001A1772" w:rsidRPr="00FA6022" w:rsidRDefault="001A1772" w:rsidP="001A1772">
      <w:pPr>
        <w:pStyle w:val="NormalWeb"/>
        <w:ind w:left="-270"/>
        <w:rPr>
          <w:rFonts w:ascii="Arial Narrow" w:eastAsiaTheme="minorEastAsia" w:hAnsi="Arial Narrow" w:cs="Times New Roman"/>
          <w:color w:val="000000" w:themeColor="text1"/>
          <w:sz w:val="22"/>
          <w:szCs w:val="22"/>
          <w:lang w:val="en-US" w:eastAsia="en-US"/>
        </w:rPr>
      </w:pPr>
      <w:r w:rsidRPr="00FA6022">
        <w:rPr>
          <w:rFonts w:ascii="Arial Narrow" w:eastAsiaTheme="minorEastAsia" w:hAnsi="Arial Narrow" w:cs="Times New Roman"/>
          <w:color w:val="000000" w:themeColor="text1"/>
          <w:sz w:val="22"/>
          <w:szCs w:val="22"/>
          <w:lang w:val="en-US" w:eastAsia="en-US"/>
        </w:rPr>
        <w:t>Retirement Benefit Scheme can be classified in various forms as presented below:</w:t>
      </w:r>
    </w:p>
    <w:p w:rsidR="001A1772" w:rsidRPr="00FA6022" w:rsidRDefault="001A1772" w:rsidP="001A1772">
      <w:pPr>
        <w:spacing w:before="96" w:after="120" w:line="240" w:lineRule="auto"/>
        <w:ind w:left="-270"/>
        <w:rPr>
          <w:rFonts w:ascii="Arial Narrow" w:hAnsi="Arial Narrow"/>
          <w:color w:val="000000" w:themeColor="text1"/>
          <w:u w:val="single"/>
        </w:rPr>
      </w:pPr>
      <w:r w:rsidRPr="00FA6022">
        <w:rPr>
          <w:rFonts w:ascii="Arial Narrow" w:hAnsi="Arial Narrow"/>
          <w:color w:val="000000" w:themeColor="text1"/>
          <w:u w:val="single"/>
        </w:rPr>
        <w:t>Defined Contribution and Defined Benefit</w:t>
      </w:r>
    </w:p>
    <w:p w:rsidR="001A1772" w:rsidRPr="00FA6022" w:rsidRDefault="001A1772" w:rsidP="001A1772">
      <w:pPr>
        <w:spacing w:before="96" w:after="120" w:line="240" w:lineRule="auto"/>
        <w:ind w:left="-270"/>
        <w:rPr>
          <w:rFonts w:ascii="Arial Narrow" w:hAnsi="Arial Narrow"/>
          <w:color w:val="000000" w:themeColor="text1"/>
        </w:rPr>
      </w:pPr>
      <w:r w:rsidRPr="00FA6022">
        <w:rPr>
          <w:rFonts w:ascii="Arial Narrow" w:hAnsi="Arial Narrow"/>
          <w:color w:val="000000" w:themeColor="text1"/>
        </w:rPr>
        <w:t>A defined contribution (DC) scheme is a scheme in which member' and employer' contributions are fixed either as a percentage of pensionable earnings or as a shilling amount, and a member's retirement benefits has a value equal to those contributions, net of expenses including premiums paid for insurance of death or disability risks, accumulated in an individual account with investment return and any surpluses or deficits as determined by the trustees of the scheme.</w:t>
      </w:r>
    </w:p>
    <w:p w:rsidR="001A1772" w:rsidRPr="00FA6022" w:rsidRDefault="001A1772" w:rsidP="001A1772">
      <w:pPr>
        <w:spacing w:before="96" w:after="120" w:line="240" w:lineRule="auto"/>
        <w:ind w:left="-270"/>
        <w:rPr>
          <w:rFonts w:ascii="Arial Narrow" w:hAnsi="Arial Narrow"/>
          <w:color w:val="000000" w:themeColor="text1"/>
        </w:rPr>
      </w:pPr>
      <w:r w:rsidRPr="00FA6022">
        <w:rPr>
          <w:rFonts w:ascii="Arial Narrow" w:hAnsi="Arial Narrow"/>
          <w:color w:val="000000" w:themeColor="text1"/>
        </w:rPr>
        <w:t>DC Schemes are arrangements where the retirement benefit is not known or defined in advance. Rather the level of retirement income receivable on pay-out date is related to the:</w:t>
      </w:r>
    </w:p>
    <w:p w:rsidR="001A1772" w:rsidRPr="00FA6022" w:rsidRDefault="001A1772" w:rsidP="001A1772">
      <w:pPr>
        <w:pStyle w:val="ListParagraph"/>
        <w:numPr>
          <w:ilvl w:val="0"/>
          <w:numId w:val="7"/>
        </w:numPr>
        <w:spacing w:before="96" w:after="120" w:line="240" w:lineRule="auto"/>
        <w:ind w:left="360"/>
        <w:rPr>
          <w:rFonts w:ascii="Arial Narrow" w:hAnsi="Arial Narrow"/>
          <w:color w:val="000000" w:themeColor="text1"/>
        </w:rPr>
      </w:pPr>
      <w:r w:rsidRPr="00FA6022">
        <w:rPr>
          <w:rFonts w:ascii="Arial Narrow" w:hAnsi="Arial Narrow"/>
          <w:color w:val="000000" w:themeColor="text1"/>
        </w:rPr>
        <w:t>Level of contributions made over the accumulation period;</w:t>
      </w:r>
    </w:p>
    <w:p w:rsidR="001A1772" w:rsidRPr="00FA6022" w:rsidRDefault="001A1772" w:rsidP="001A1772">
      <w:pPr>
        <w:pStyle w:val="ListParagraph"/>
        <w:numPr>
          <w:ilvl w:val="0"/>
          <w:numId w:val="7"/>
        </w:numPr>
        <w:spacing w:before="96" w:after="120" w:line="240" w:lineRule="auto"/>
        <w:ind w:left="360"/>
        <w:rPr>
          <w:rFonts w:ascii="Arial Narrow" w:hAnsi="Arial Narrow"/>
          <w:color w:val="000000" w:themeColor="text1"/>
        </w:rPr>
      </w:pPr>
      <w:r w:rsidRPr="00FA6022">
        <w:rPr>
          <w:rFonts w:ascii="Arial Narrow" w:hAnsi="Arial Narrow"/>
          <w:color w:val="000000" w:themeColor="text1"/>
        </w:rPr>
        <w:t>The charges deducted by the product provider;</w:t>
      </w:r>
    </w:p>
    <w:p w:rsidR="001A1772" w:rsidRPr="00FA6022" w:rsidRDefault="001A1772" w:rsidP="001A1772">
      <w:pPr>
        <w:pStyle w:val="ListParagraph"/>
        <w:numPr>
          <w:ilvl w:val="0"/>
          <w:numId w:val="7"/>
        </w:numPr>
        <w:spacing w:before="96" w:after="120" w:line="240" w:lineRule="auto"/>
        <w:ind w:left="360"/>
        <w:rPr>
          <w:rFonts w:ascii="Arial Narrow" w:hAnsi="Arial Narrow"/>
          <w:color w:val="000000" w:themeColor="text1"/>
        </w:rPr>
      </w:pPr>
      <w:r w:rsidRPr="00FA6022">
        <w:rPr>
          <w:rFonts w:ascii="Arial Narrow" w:hAnsi="Arial Narrow"/>
          <w:color w:val="000000" w:themeColor="text1"/>
        </w:rPr>
        <w:t>The investment returns of the fund during the accumulation phase;</w:t>
      </w:r>
    </w:p>
    <w:p w:rsidR="001A1772" w:rsidRPr="00FA6022" w:rsidRDefault="001A1772" w:rsidP="001A1772">
      <w:pPr>
        <w:pStyle w:val="ListParagraph"/>
        <w:numPr>
          <w:ilvl w:val="0"/>
          <w:numId w:val="7"/>
        </w:numPr>
        <w:spacing w:before="96" w:after="120" w:line="240" w:lineRule="auto"/>
        <w:ind w:left="360"/>
        <w:rPr>
          <w:rFonts w:ascii="Arial Narrow" w:hAnsi="Arial Narrow"/>
          <w:color w:val="000000" w:themeColor="text1"/>
        </w:rPr>
      </w:pPr>
      <w:r w:rsidRPr="00FA6022">
        <w:rPr>
          <w:rFonts w:ascii="Arial Narrow" w:hAnsi="Arial Narrow"/>
          <w:color w:val="000000" w:themeColor="text1"/>
        </w:rPr>
        <w:t>The annuity rates at retirement.</w:t>
      </w:r>
    </w:p>
    <w:p w:rsidR="001A1772" w:rsidRPr="00FA6022" w:rsidRDefault="001A1772" w:rsidP="001A1772">
      <w:pPr>
        <w:spacing w:before="96" w:after="120" w:line="240" w:lineRule="auto"/>
        <w:ind w:left="-270"/>
        <w:rPr>
          <w:rFonts w:ascii="Arial Narrow" w:hAnsi="Arial Narrow"/>
          <w:color w:val="000000" w:themeColor="text1"/>
        </w:rPr>
      </w:pPr>
      <w:r w:rsidRPr="00FA6022">
        <w:rPr>
          <w:rFonts w:ascii="Arial Narrow" w:hAnsi="Arial Narrow"/>
          <w:color w:val="000000" w:themeColor="text1"/>
        </w:rPr>
        <w:t>A defined benefit (DB) Scheme is an arrangement where the benefit, which is ordinarily determined by the scheme rules, is defined in advance. Benefits are often related to the final salary and/or years of service of the employee. The main risk for beneficiaries is the solvency of the employer so as to be in a position to meet the promised benefits.</w:t>
      </w:r>
    </w:p>
    <w:p w:rsidR="001A1772" w:rsidRPr="00FA6022" w:rsidRDefault="001A1772" w:rsidP="001A1772">
      <w:pPr>
        <w:spacing w:before="96" w:after="120" w:line="240" w:lineRule="auto"/>
        <w:ind w:left="-270"/>
        <w:rPr>
          <w:rFonts w:ascii="Arial Narrow" w:hAnsi="Arial Narrow"/>
          <w:color w:val="000000" w:themeColor="text1"/>
        </w:rPr>
      </w:pPr>
      <w:r w:rsidRPr="00FA6022">
        <w:rPr>
          <w:rFonts w:ascii="Arial Narrow" w:hAnsi="Arial Narrow"/>
          <w:color w:val="000000" w:themeColor="text1"/>
        </w:rPr>
        <w:lastRenderedPageBreak/>
        <w:t>Hybrid Schemes seek to combine features of DB and DC schemes in some way and can take a variety of forms. For purposes of categorization, hybrid schemes are DB schemes because of the promises they make to members.</w:t>
      </w:r>
    </w:p>
    <w:p w:rsidR="001A1772" w:rsidRPr="00FA6022" w:rsidRDefault="001A1772" w:rsidP="001A1772">
      <w:pPr>
        <w:spacing w:before="96" w:after="120" w:line="240" w:lineRule="auto"/>
        <w:ind w:left="-270"/>
        <w:rPr>
          <w:rFonts w:ascii="Arial Narrow" w:hAnsi="Arial Narrow"/>
          <w:color w:val="000000" w:themeColor="text1"/>
          <w:u w:val="single"/>
        </w:rPr>
      </w:pPr>
      <w:r w:rsidRPr="00FA6022">
        <w:rPr>
          <w:rFonts w:ascii="Arial Narrow" w:hAnsi="Arial Narrow"/>
          <w:color w:val="000000" w:themeColor="text1"/>
          <w:u w:val="single"/>
        </w:rPr>
        <w:t>Provident Fund and Pension Fund</w:t>
      </w:r>
    </w:p>
    <w:p w:rsidR="007B2B29" w:rsidRPr="008D1B5D" w:rsidRDefault="001A1772" w:rsidP="008D1B5D">
      <w:pPr>
        <w:spacing w:before="96" w:after="120" w:line="240" w:lineRule="auto"/>
        <w:ind w:left="-270"/>
        <w:rPr>
          <w:rFonts w:ascii="Arial Narrow" w:hAnsi="Arial Narrow"/>
          <w:color w:val="000000" w:themeColor="text1"/>
        </w:rPr>
      </w:pPr>
      <w:r w:rsidRPr="00FA6022">
        <w:rPr>
          <w:rFonts w:ascii="Arial Narrow" w:hAnsi="Arial Narrow"/>
          <w:color w:val="000000" w:themeColor="text1"/>
        </w:rPr>
        <w:t>Provident fund means a scheme for the payment of lump sums and other similar benefits to employees when they leave employment or to the dependants of employees on the death of those employees.</w:t>
      </w:r>
      <w:r w:rsidRPr="00FA6022">
        <w:rPr>
          <w:rFonts w:ascii="Arial Narrow" w:hAnsi="Arial Narrow"/>
          <w:color w:val="000000" w:themeColor="text1"/>
        </w:rPr>
        <w:br/>
      </w:r>
      <w:r w:rsidRPr="00FA6022">
        <w:rPr>
          <w:rFonts w:ascii="Arial Narrow" w:hAnsi="Arial Narrow"/>
          <w:color w:val="000000" w:themeColor="text1"/>
        </w:rPr>
        <w:br/>
        <w:t>In the case of a pension fund at the point of retiring a proportion of the retirement fund is commuted as lump sum with the remainder paid out as periodical payments.  The commuted amount will be equal to no more than one quarter of the retirement benefits in a scheme where members do not make any contributions and not more than one third of the retirement benefits in a scheme where members make contributions.</w:t>
      </w:r>
    </w:p>
    <w:p w:rsidR="007B2B29" w:rsidRPr="00FA6022" w:rsidRDefault="007B2B29" w:rsidP="008D1B5D">
      <w:pPr>
        <w:pStyle w:val="ListParagraph"/>
        <w:spacing w:before="100" w:beforeAutospacing="1" w:after="100" w:afterAutospacing="1" w:line="240" w:lineRule="auto"/>
        <w:ind w:left="-270"/>
        <w:rPr>
          <w:rFonts w:ascii="Arial Narrow" w:eastAsia="Arial Unicode MS" w:hAnsi="Arial Narrow"/>
          <w:bCs/>
          <w:u w:val="single"/>
        </w:rPr>
      </w:pPr>
      <w:r w:rsidRPr="00FA6022">
        <w:rPr>
          <w:rFonts w:ascii="Arial Narrow" w:eastAsia="Arial Unicode MS" w:hAnsi="Arial Narrow"/>
          <w:bCs/>
          <w:u w:val="single"/>
        </w:rPr>
        <w:t>Life insurance companies</w:t>
      </w:r>
    </w:p>
    <w:p w:rsidR="007B2B29" w:rsidRPr="00FA6022" w:rsidRDefault="007B2B29" w:rsidP="008D1B5D">
      <w:pPr>
        <w:pStyle w:val="ListParagraph"/>
        <w:spacing w:before="100" w:beforeAutospacing="1" w:after="100" w:afterAutospacing="1" w:line="240" w:lineRule="auto"/>
        <w:ind w:left="-270"/>
        <w:rPr>
          <w:rFonts w:ascii="Arial Narrow" w:eastAsia="Arial Unicode MS" w:hAnsi="Arial Narrow"/>
          <w:bCs/>
        </w:rPr>
      </w:pPr>
      <w:r w:rsidRPr="00FA6022">
        <w:rPr>
          <w:rFonts w:ascii="Arial Narrow" w:eastAsia="Arial Unicode MS" w:hAnsi="Arial Narrow"/>
          <w:bCs/>
        </w:rPr>
        <w:t>Take deposits in the form of annual premiums: invest these in stocks, bonds, real estate and mortgages, and finally make payments to the beneficiaries of the insured parties. They also offer a variety of tax deferred savings plans designed to provide benefits to participants when they retire.</w:t>
      </w:r>
    </w:p>
    <w:p w:rsidR="007B2B29" w:rsidRPr="00FA6022" w:rsidRDefault="007B2B29" w:rsidP="008D1B5D">
      <w:pPr>
        <w:pStyle w:val="ListParagraph"/>
        <w:spacing w:before="100" w:beforeAutospacing="1" w:after="100" w:afterAutospacing="1" w:line="240" w:lineRule="auto"/>
        <w:ind w:left="-270"/>
        <w:rPr>
          <w:rFonts w:ascii="Arial Narrow" w:eastAsia="Arial Unicode MS" w:hAnsi="Arial Narrow"/>
          <w:bCs/>
        </w:rPr>
      </w:pPr>
    </w:p>
    <w:p w:rsidR="007B2B29" w:rsidRPr="00FA6022" w:rsidRDefault="007B2B29" w:rsidP="008D1B5D">
      <w:pPr>
        <w:pStyle w:val="ListParagraph"/>
        <w:spacing w:before="100" w:beforeAutospacing="1" w:after="100" w:afterAutospacing="1" w:line="240" w:lineRule="auto"/>
        <w:ind w:left="-270"/>
        <w:rPr>
          <w:rFonts w:ascii="Arial Narrow" w:eastAsia="Arial Unicode MS" w:hAnsi="Arial Narrow"/>
          <w:bCs/>
          <w:u w:val="single"/>
        </w:rPr>
      </w:pPr>
      <w:r w:rsidRPr="00FA6022">
        <w:rPr>
          <w:rFonts w:ascii="Arial Narrow" w:eastAsia="Arial Unicode MS" w:hAnsi="Arial Narrow"/>
          <w:bCs/>
          <w:u w:val="single"/>
        </w:rPr>
        <w:t>Hedge funds</w:t>
      </w:r>
    </w:p>
    <w:p w:rsidR="007B2B29" w:rsidRPr="00FA6022" w:rsidRDefault="007B2B29" w:rsidP="008D1B5D">
      <w:pPr>
        <w:pStyle w:val="ListParagraph"/>
        <w:spacing w:before="100" w:beforeAutospacing="1" w:after="100" w:afterAutospacing="1" w:line="240" w:lineRule="auto"/>
        <w:ind w:left="-270"/>
        <w:rPr>
          <w:rFonts w:ascii="Arial Narrow" w:eastAsia="Arial Unicode MS" w:hAnsi="Arial Narrow"/>
          <w:bCs/>
        </w:rPr>
      </w:pPr>
    </w:p>
    <w:p w:rsidR="007B2B29" w:rsidRPr="00FA6022" w:rsidRDefault="007B2B29" w:rsidP="008D1B5D">
      <w:pPr>
        <w:pStyle w:val="ListParagraph"/>
        <w:spacing w:before="100" w:beforeAutospacing="1" w:after="100" w:afterAutospacing="1" w:line="240" w:lineRule="auto"/>
        <w:ind w:left="-270"/>
        <w:rPr>
          <w:rFonts w:ascii="Arial Narrow" w:eastAsia="Arial Unicode MS" w:hAnsi="Arial Narrow"/>
          <w:bCs/>
        </w:rPr>
      </w:pPr>
      <w:r w:rsidRPr="00FA6022">
        <w:rPr>
          <w:rFonts w:ascii="Arial Narrow" w:eastAsia="Arial Unicode MS" w:hAnsi="Arial Narrow"/>
          <w:bCs/>
        </w:rPr>
        <w:t xml:space="preserve">An aggressively managed portfolio of investments that uses advanced investment strategies such as leveraged, long, short and derivative positions in both domestic and international markets with the goal of generating high returns (either in an absolute sense or over a specified market benchmark). </w:t>
      </w:r>
      <w:r w:rsidRPr="00FA6022">
        <w:rPr>
          <w:rFonts w:ascii="Arial Narrow" w:eastAsia="Arial Unicode MS" w:hAnsi="Arial Narrow"/>
          <w:bCs/>
        </w:rPr>
        <w:br/>
      </w:r>
      <w:r w:rsidRPr="00FA6022">
        <w:rPr>
          <w:rFonts w:ascii="Arial Narrow" w:eastAsia="Arial Unicode MS" w:hAnsi="Arial Narrow"/>
          <w:bCs/>
        </w:rPr>
        <w:br/>
        <w:t>Legally, hedge funds are most often set up as private investment partnerships that are open to a limited number of investors and require a very large initial minimum investment. Investments in hedge funds are illiquid as they often require investors keep their money in the fund for at least one year. For the most part, hedge funds (unlike mutual funds) are unregulated because they cater to sophisticated investors. You can think of hedge funds as mutual funds for the super rich. They are similar to mutual funds in that investments are pooled and professionally managed, but differ in that the fund has far more flexibility in its investment strategies. It is important to note that hedging is actually the practice of attempting to reduce risk, but the goal of most hedge funds is to maximize return on investment. The name is mostly historical, as the first hedge funds tried to hedge against the downside risk of a bear market by shorting the market (mutual funds generally can't enter into short positions as one of their primary goals). Nowadays, hedge funds use dozens of different strategies, so it isn't accurate to say that hedge funds just "hedge risk". In fact, because hedge fund managers make speculative investments, these funds can carry more risk than the overall market.  </w:t>
      </w:r>
    </w:p>
    <w:p w:rsidR="007B2B29" w:rsidRPr="00FA6022" w:rsidRDefault="007B2B29" w:rsidP="007B2B29">
      <w:pPr>
        <w:pStyle w:val="ListParagraph"/>
        <w:spacing w:before="100" w:beforeAutospacing="1" w:after="100" w:afterAutospacing="1" w:line="240" w:lineRule="auto"/>
        <w:rPr>
          <w:rFonts w:ascii="Arial Narrow" w:eastAsia="Arial Unicode MS" w:hAnsi="Arial Narrow"/>
          <w:bCs/>
        </w:rPr>
      </w:pPr>
    </w:p>
    <w:p w:rsidR="007B2B29" w:rsidRPr="00FA6022" w:rsidRDefault="007B2B29" w:rsidP="007B2B29">
      <w:pPr>
        <w:pStyle w:val="ListParagraph"/>
        <w:spacing w:before="100" w:beforeAutospacing="1" w:after="100" w:afterAutospacing="1" w:line="240" w:lineRule="auto"/>
        <w:rPr>
          <w:rFonts w:ascii="Arial Narrow" w:eastAsia="Arial Unicode MS" w:hAnsi="Arial Narrow"/>
          <w:bCs/>
        </w:rPr>
      </w:pPr>
    </w:p>
    <w:p w:rsidR="007B2B29" w:rsidRPr="00FA6022" w:rsidRDefault="007B2B29" w:rsidP="007B2B29">
      <w:pPr>
        <w:pStyle w:val="ListParagraph"/>
        <w:spacing w:before="100" w:beforeAutospacing="1" w:after="100" w:afterAutospacing="1" w:line="240" w:lineRule="auto"/>
        <w:ind w:left="0"/>
        <w:rPr>
          <w:rFonts w:ascii="Arial Narrow" w:hAnsi="Arial Narrow"/>
          <w:b/>
          <w:bCs/>
          <w:u w:val="double"/>
        </w:rPr>
      </w:pPr>
    </w:p>
    <w:p w:rsidR="007B2B29" w:rsidRPr="00FA6022" w:rsidRDefault="007B2B29" w:rsidP="007B2B29">
      <w:pPr>
        <w:pStyle w:val="ListParagraph"/>
        <w:spacing w:before="100" w:beforeAutospacing="1" w:after="100" w:afterAutospacing="1" w:line="240" w:lineRule="auto"/>
        <w:ind w:left="0"/>
        <w:rPr>
          <w:rFonts w:ascii="Arial Narrow" w:hAnsi="Arial Narrow"/>
          <w:b/>
          <w:bCs/>
          <w:u w:val="double"/>
        </w:rPr>
      </w:pPr>
    </w:p>
    <w:p w:rsidR="007B2B29" w:rsidRPr="00FA6022" w:rsidRDefault="007B2B29" w:rsidP="007B2B29">
      <w:pPr>
        <w:pStyle w:val="ListParagraph"/>
        <w:spacing w:before="100" w:beforeAutospacing="1" w:after="100" w:afterAutospacing="1" w:line="240" w:lineRule="auto"/>
        <w:ind w:left="0"/>
        <w:rPr>
          <w:rFonts w:ascii="Arial Narrow" w:hAnsi="Arial Narrow"/>
          <w:b/>
          <w:bCs/>
          <w:u w:val="double"/>
        </w:rPr>
      </w:pPr>
    </w:p>
    <w:p w:rsidR="007B2B29" w:rsidRPr="00FA6022" w:rsidRDefault="007B2B29" w:rsidP="007B2B29">
      <w:pPr>
        <w:pStyle w:val="ListParagraph"/>
        <w:spacing w:before="100" w:beforeAutospacing="1" w:after="100" w:afterAutospacing="1" w:line="240" w:lineRule="auto"/>
        <w:ind w:left="0"/>
        <w:rPr>
          <w:rFonts w:ascii="Arial Narrow" w:hAnsi="Arial Narrow"/>
          <w:b/>
          <w:bCs/>
          <w:u w:val="double"/>
        </w:rPr>
      </w:pPr>
    </w:p>
    <w:p w:rsidR="007B2B29" w:rsidRPr="00FA6022" w:rsidRDefault="007B2B29" w:rsidP="007B2B29">
      <w:pPr>
        <w:pStyle w:val="ListParagraph"/>
        <w:spacing w:before="100" w:beforeAutospacing="1" w:after="100" w:afterAutospacing="1" w:line="240" w:lineRule="auto"/>
        <w:ind w:left="0"/>
        <w:rPr>
          <w:rFonts w:ascii="Arial Narrow" w:hAnsi="Arial Narrow"/>
          <w:b/>
          <w:bCs/>
          <w:u w:val="double"/>
        </w:rPr>
      </w:pPr>
    </w:p>
    <w:p w:rsidR="007B2B29" w:rsidRPr="00FA6022" w:rsidRDefault="007B2B29" w:rsidP="007B2B29">
      <w:pPr>
        <w:pStyle w:val="ListParagraph"/>
        <w:spacing w:before="100" w:beforeAutospacing="1" w:after="100" w:afterAutospacing="1" w:line="240" w:lineRule="auto"/>
        <w:ind w:left="0"/>
        <w:rPr>
          <w:rFonts w:ascii="Arial Narrow" w:hAnsi="Arial Narrow"/>
          <w:b/>
          <w:bCs/>
          <w:u w:val="double"/>
        </w:rPr>
      </w:pPr>
    </w:p>
    <w:p w:rsidR="007B2B29" w:rsidRPr="00FA6022" w:rsidRDefault="007B2B29" w:rsidP="007B2B29">
      <w:pPr>
        <w:pStyle w:val="ListParagraph"/>
        <w:spacing w:before="100" w:beforeAutospacing="1" w:after="100" w:afterAutospacing="1" w:line="240" w:lineRule="auto"/>
        <w:ind w:left="0"/>
        <w:rPr>
          <w:rFonts w:ascii="Arial Narrow" w:hAnsi="Arial Narrow"/>
          <w:b/>
          <w:bCs/>
          <w:u w:val="double"/>
        </w:rPr>
      </w:pPr>
    </w:p>
    <w:p w:rsidR="002455FE" w:rsidRPr="00FA6022" w:rsidRDefault="002455FE">
      <w:pPr>
        <w:rPr>
          <w:rFonts w:ascii="Arial Narrow" w:hAnsi="Arial Narrow"/>
        </w:rPr>
      </w:pPr>
    </w:p>
    <w:sectPr w:rsidR="002455FE" w:rsidRPr="00FA6022" w:rsidSect="008B7754">
      <w:headerReference w:type="default" r:id="rId2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3D8" w:rsidRDefault="002F23D8" w:rsidP="0063055D">
      <w:pPr>
        <w:spacing w:after="0" w:line="240" w:lineRule="auto"/>
      </w:pPr>
      <w:r>
        <w:separator/>
      </w:r>
    </w:p>
  </w:endnote>
  <w:endnote w:type="continuationSeparator" w:id="0">
    <w:p w:rsidR="002F23D8" w:rsidRDefault="002F23D8" w:rsidP="006305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3D8" w:rsidRDefault="002F23D8" w:rsidP="0063055D">
      <w:pPr>
        <w:spacing w:after="0" w:line="240" w:lineRule="auto"/>
      </w:pPr>
      <w:r>
        <w:separator/>
      </w:r>
    </w:p>
  </w:footnote>
  <w:footnote w:type="continuationSeparator" w:id="0">
    <w:p w:rsidR="002F23D8" w:rsidRDefault="002F23D8" w:rsidP="006305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63055D" w:rsidRPr="00631A9A">
      <w:trPr>
        <w:trHeight w:val="288"/>
      </w:trPr>
      <w:tc>
        <w:tcPr>
          <w:tcW w:w="7765" w:type="dxa"/>
        </w:tcPr>
        <w:p w:rsidR="0063055D" w:rsidRDefault="0063055D" w:rsidP="0063055D">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John K. Karuitha BCOM 330</w:t>
          </w:r>
        </w:p>
      </w:tc>
      <w:tc>
        <w:tcPr>
          <w:tcW w:w="1105" w:type="dxa"/>
        </w:tcPr>
        <w:p w:rsidR="0063055D" w:rsidRDefault="0063055D" w:rsidP="0063055D">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tr>
  </w:tbl>
  <w:p w:rsidR="0063055D" w:rsidRDefault="006305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F468E"/>
    <w:multiLevelType w:val="hybridMultilevel"/>
    <w:tmpl w:val="9E162EC6"/>
    <w:lvl w:ilvl="0" w:tplc="CBBEE726">
      <w:start w:val="1"/>
      <w:numFmt w:val="lowerLetter"/>
      <w:lvlText w:val="%1."/>
      <w:lvlJc w:val="left"/>
      <w:pPr>
        <w:ind w:left="1065" w:hanging="705"/>
      </w:pPr>
      <w:rPr>
        <w:rFonts w:hint="default"/>
      </w:rPr>
    </w:lvl>
    <w:lvl w:ilvl="1" w:tplc="04410001">
      <w:start w:val="1"/>
      <w:numFmt w:val="bullet"/>
      <w:lvlText w:val=""/>
      <w:lvlJc w:val="left"/>
      <w:pPr>
        <w:ind w:left="1440" w:hanging="360"/>
      </w:pPr>
      <w:rPr>
        <w:rFonts w:ascii="Symbol" w:hAnsi="Symbol" w:hint="default"/>
      </w:rPr>
    </w:lvl>
    <w:lvl w:ilvl="2" w:tplc="0441001B">
      <w:start w:val="1"/>
      <w:numFmt w:val="lowerRoman"/>
      <w:lvlText w:val="%3."/>
      <w:lvlJc w:val="right"/>
      <w:pPr>
        <w:ind w:left="2160" w:hanging="180"/>
      </w:pPr>
    </w:lvl>
    <w:lvl w:ilvl="3" w:tplc="0441000F">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
    <w:nsid w:val="2FEB083B"/>
    <w:multiLevelType w:val="hybridMultilevel"/>
    <w:tmpl w:val="09C2A092"/>
    <w:lvl w:ilvl="0" w:tplc="4C20D43E">
      <w:start w:val="1"/>
      <w:numFmt w:val="lowerLetter"/>
      <w:lvlText w:val="%1."/>
      <w:lvlJc w:val="left"/>
      <w:pPr>
        <w:ind w:left="1065" w:hanging="705"/>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2">
    <w:nsid w:val="36A75306"/>
    <w:multiLevelType w:val="hybridMultilevel"/>
    <w:tmpl w:val="8B90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0425E9"/>
    <w:multiLevelType w:val="hybridMultilevel"/>
    <w:tmpl w:val="7604EBEE"/>
    <w:lvl w:ilvl="0" w:tplc="0441000F">
      <w:start w:val="1"/>
      <w:numFmt w:val="decimal"/>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4">
    <w:nsid w:val="4BF83598"/>
    <w:multiLevelType w:val="multilevel"/>
    <w:tmpl w:val="A25A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EC6DB1"/>
    <w:multiLevelType w:val="hybridMultilevel"/>
    <w:tmpl w:val="BA969612"/>
    <w:lvl w:ilvl="0" w:tplc="04410001">
      <w:start w:val="1"/>
      <w:numFmt w:val="bullet"/>
      <w:lvlText w:val=""/>
      <w:lvlJc w:val="left"/>
      <w:pPr>
        <w:ind w:left="1080" w:hanging="360"/>
      </w:pPr>
      <w:rPr>
        <w:rFonts w:ascii="Symbol" w:hAnsi="Symbol" w:hint="default"/>
      </w:rPr>
    </w:lvl>
    <w:lvl w:ilvl="1" w:tplc="04410003" w:tentative="1">
      <w:start w:val="1"/>
      <w:numFmt w:val="bullet"/>
      <w:lvlText w:val="o"/>
      <w:lvlJc w:val="left"/>
      <w:pPr>
        <w:ind w:left="1800" w:hanging="360"/>
      </w:pPr>
      <w:rPr>
        <w:rFonts w:ascii="Courier New" w:hAnsi="Courier New" w:cs="Courier New" w:hint="default"/>
      </w:rPr>
    </w:lvl>
    <w:lvl w:ilvl="2" w:tplc="04410005" w:tentative="1">
      <w:start w:val="1"/>
      <w:numFmt w:val="bullet"/>
      <w:lvlText w:val=""/>
      <w:lvlJc w:val="left"/>
      <w:pPr>
        <w:ind w:left="2520" w:hanging="360"/>
      </w:pPr>
      <w:rPr>
        <w:rFonts w:ascii="Wingdings" w:hAnsi="Wingdings" w:hint="default"/>
      </w:rPr>
    </w:lvl>
    <w:lvl w:ilvl="3" w:tplc="04410001" w:tentative="1">
      <w:start w:val="1"/>
      <w:numFmt w:val="bullet"/>
      <w:lvlText w:val=""/>
      <w:lvlJc w:val="left"/>
      <w:pPr>
        <w:ind w:left="3240" w:hanging="360"/>
      </w:pPr>
      <w:rPr>
        <w:rFonts w:ascii="Symbol" w:hAnsi="Symbol" w:hint="default"/>
      </w:rPr>
    </w:lvl>
    <w:lvl w:ilvl="4" w:tplc="04410003" w:tentative="1">
      <w:start w:val="1"/>
      <w:numFmt w:val="bullet"/>
      <w:lvlText w:val="o"/>
      <w:lvlJc w:val="left"/>
      <w:pPr>
        <w:ind w:left="3960" w:hanging="360"/>
      </w:pPr>
      <w:rPr>
        <w:rFonts w:ascii="Courier New" w:hAnsi="Courier New" w:cs="Courier New" w:hint="default"/>
      </w:rPr>
    </w:lvl>
    <w:lvl w:ilvl="5" w:tplc="04410005" w:tentative="1">
      <w:start w:val="1"/>
      <w:numFmt w:val="bullet"/>
      <w:lvlText w:val=""/>
      <w:lvlJc w:val="left"/>
      <w:pPr>
        <w:ind w:left="4680" w:hanging="360"/>
      </w:pPr>
      <w:rPr>
        <w:rFonts w:ascii="Wingdings" w:hAnsi="Wingdings" w:hint="default"/>
      </w:rPr>
    </w:lvl>
    <w:lvl w:ilvl="6" w:tplc="04410001" w:tentative="1">
      <w:start w:val="1"/>
      <w:numFmt w:val="bullet"/>
      <w:lvlText w:val=""/>
      <w:lvlJc w:val="left"/>
      <w:pPr>
        <w:ind w:left="5400" w:hanging="360"/>
      </w:pPr>
      <w:rPr>
        <w:rFonts w:ascii="Symbol" w:hAnsi="Symbol" w:hint="default"/>
      </w:rPr>
    </w:lvl>
    <w:lvl w:ilvl="7" w:tplc="04410003" w:tentative="1">
      <w:start w:val="1"/>
      <w:numFmt w:val="bullet"/>
      <w:lvlText w:val="o"/>
      <w:lvlJc w:val="left"/>
      <w:pPr>
        <w:ind w:left="6120" w:hanging="360"/>
      </w:pPr>
      <w:rPr>
        <w:rFonts w:ascii="Courier New" w:hAnsi="Courier New" w:cs="Courier New" w:hint="default"/>
      </w:rPr>
    </w:lvl>
    <w:lvl w:ilvl="8" w:tplc="04410005" w:tentative="1">
      <w:start w:val="1"/>
      <w:numFmt w:val="bullet"/>
      <w:lvlText w:val=""/>
      <w:lvlJc w:val="left"/>
      <w:pPr>
        <w:ind w:left="6840" w:hanging="360"/>
      </w:pPr>
      <w:rPr>
        <w:rFonts w:ascii="Wingdings" w:hAnsi="Wingdings" w:hint="default"/>
      </w:rPr>
    </w:lvl>
  </w:abstractNum>
  <w:abstractNum w:abstractNumId="6">
    <w:nsid w:val="713717E1"/>
    <w:multiLevelType w:val="multilevel"/>
    <w:tmpl w:val="AB2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6"/>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B2B29"/>
    <w:rsid w:val="000307CC"/>
    <w:rsid w:val="0003575A"/>
    <w:rsid w:val="00035F60"/>
    <w:rsid w:val="00137030"/>
    <w:rsid w:val="001A1772"/>
    <w:rsid w:val="001B1F2A"/>
    <w:rsid w:val="001F6BEF"/>
    <w:rsid w:val="002455FE"/>
    <w:rsid w:val="002F23D8"/>
    <w:rsid w:val="0039178B"/>
    <w:rsid w:val="00394970"/>
    <w:rsid w:val="005063C8"/>
    <w:rsid w:val="00626F17"/>
    <w:rsid w:val="0063055D"/>
    <w:rsid w:val="00631A9A"/>
    <w:rsid w:val="0073045A"/>
    <w:rsid w:val="00740EAF"/>
    <w:rsid w:val="007A5D51"/>
    <w:rsid w:val="007B2B29"/>
    <w:rsid w:val="008B7754"/>
    <w:rsid w:val="008D1B5D"/>
    <w:rsid w:val="008F6062"/>
    <w:rsid w:val="0092729B"/>
    <w:rsid w:val="00AA2E34"/>
    <w:rsid w:val="00AD6E8F"/>
    <w:rsid w:val="00BB44A6"/>
    <w:rsid w:val="00BD5914"/>
    <w:rsid w:val="00D338FD"/>
    <w:rsid w:val="00DF5806"/>
    <w:rsid w:val="00E62A20"/>
    <w:rsid w:val="00FA2518"/>
    <w:rsid w:val="00FA6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754"/>
    <w:pPr>
      <w:spacing w:after="200" w:line="276" w:lineRule="auto"/>
    </w:pPr>
    <w:rPr>
      <w:sz w:val="22"/>
      <w:szCs w:val="22"/>
      <w:lang w:val="en-GB" w:eastAsia="en-GB"/>
    </w:rPr>
  </w:style>
  <w:style w:type="paragraph" w:styleId="Heading3">
    <w:name w:val="heading 3"/>
    <w:basedOn w:val="Normal"/>
    <w:link w:val="Heading3Char"/>
    <w:uiPriority w:val="9"/>
    <w:qFormat/>
    <w:rsid w:val="001A1772"/>
    <w:pPr>
      <w:spacing w:before="100" w:beforeAutospacing="1" w:after="100" w:afterAutospacing="1" w:line="240" w:lineRule="auto"/>
      <w:outlineLvl w:val="2"/>
    </w:pPr>
    <w:rPr>
      <w:rFonts w:ascii="Times New Roman" w:hAnsi="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2B29"/>
    <w:pPr>
      <w:spacing w:after="0" w:line="240" w:lineRule="auto"/>
      <w:textAlignment w:val="top"/>
    </w:pPr>
    <w:rPr>
      <w:rFonts w:ascii="Arial Unicode MS" w:eastAsia="Arial Unicode MS" w:hAnsi="Arial Unicode MS" w:cs="Arial Unicode MS"/>
      <w:color w:val="4F6B72"/>
      <w:sz w:val="18"/>
      <w:szCs w:val="18"/>
      <w:lang w:val="sw-KE" w:eastAsia="sw-KE" w:bidi="en-US"/>
    </w:rPr>
  </w:style>
  <w:style w:type="character" w:styleId="Strong">
    <w:name w:val="Strong"/>
    <w:basedOn w:val="DefaultParagraphFont"/>
    <w:uiPriority w:val="22"/>
    <w:qFormat/>
    <w:rsid w:val="007B2B29"/>
    <w:rPr>
      <w:b/>
      <w:bCs/>
    </w:rPr>
  </w:style>
  <w:style w:type="character" w:customStyle="1" w:styleId="spanheaderstitleblue1">
    <w:name w:val="spanheaderstitleblue1"/>
    <w:basedOn w:val="DefaultParagraphFont"/>
    <w:rsid w:val="007B2B29"/>
    <w:rPr>
      <w:b/>
      <w:bCs/>
      <w:color w:val="025597"/>
      <w:spacing w:val="15"/>
    </w:rPr>
  </w:style>
  <w:style w:type="paragraph" w:styleId="ListParagraph">
    <w:name w:val="List Paragraph"/>
    <w:basedOn w:val="Normal"/>
    <w:uiPriority w:val="34"/>
    <w:qFormat/>
    <w:rsid w:val="007B2B29"/>
    <w:pPr>
      <w:ind w:left="720"/>
      <w:contextualSpacing/>
    </w:pPr>
    <w:rPr>
      <w:lang w:val="en-US" w:eastAsia="en-US" w:bidi="en-US"/>
    </w:rPr>
  </w:style>
  <w:style w:type="character" w:styleId="Hyperlink">
    <w:name w:val="Hyperlink"/>
    <w:basedOn w:val="DefaultParagraphFont"/>
    <w:uiPriority w:val="99"/>
    <w:unhideWhenUsed/>
    <w:rsid w:val="007B2B29"/>
    <w:rPr>
      <w:color w:val="0000FF"/>
      <w:u w:val="single"/>
    </w:rPr>
  </w:style>
  <w:style w:type="paragraph" w:styleId="BalloonText">
    <w:name w:val="Balloon Text"/>
    <w:basedOn w:val="Normal"/>
    <w:link w:val="BalloonTextChar"/>
    <w:uiPriority w:val="99"/>
    <w:semiHidden/>
    <w:unhideWhenUsed/>
    <w:rsid w:val="007B2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B29"/>
    <w:rPr>
      <w:rFonts w:ascii="Tahoma" w:hAnsi="Tahoma" w:cs="Tahoma"/>
      <w:sz w:val="16"/>
      <w:szCs w:val="16"/>
    </w:rPr>
  </w:style>
  <w:style w:type="character" w:customStyle="1" w:styleId="Heading3Char">
    <w:name w:val="Heading 3 Char"/>
    <w:basedOn w:val="DefaultParagraphFont"/>
    <w:link w:val="Heading3"/>
    <w:uiPriority w:val="9"/>
    <w:rsid w:val="001A1772"/>
    <w:rPr>
      <w:rFonts w:ascii="Times New Roman" w:eastAsia="Times New Roman" w:hAnsi="Times New Roman" w:cs="Times New Roman"/>
      <w:b/>
      <w:bCs/>
      <w:sz w:val="27"/>
      <w:szCs w:val="27"/>
      <w:lang w:val="en-US" w:eastAsia="en-US"/>
    </w:rPr>
  </w:style>
  <w:style w:type="paragraph" w:styleId="Header">
    <w:name w:val="header"/>
    <w:basedOn w:val="Normal"/>
    <w:link w:val="HeaderChar"/>
    <w:uiPriority w:val="99"/>
    <w:unhideWhenUsed/>
    <w:rsid w:val="006305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55D"/>
  </w:style>
  <w:style w:type="paragraph" w:styleId="Footer">
    <w:name w:val="footer"/>
    <w:basedOn w:val="Normal"/>
    <w:link w:val="FooterChar"/>
    <w:uiPriority w:val="99"/>
    <w:semiHidden/>
    <w:unhideWhenUsed/>
    <w:rsid w:val="0063055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3055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ikinvest.com/wiki/NYSE_Euronext" TargetMode="External"/><Relationship Id="rId18" Type="http://schemas.openxmlformats.org/officeDocument/2006/relationships/hyperlink" Target="http://en.wikipedia.org/wiki/Mortgage_loa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wikinvest.com/wiki/Derivatives" TargetMode="External"/><Relationship Id="rId17" Type="http://schemas.openxmlformats.org/officeDocument/2006/relationships/hyperlink" Target="http://en.wikipedia.org/wiki/Financial_services" TargetMode="External"/><Relationship Id="rId2" Type="http://schemas.openxmlformats.org/officeDocument/2006/relationships/numbering" Target="numbering.xml"/><Relationship Id="rId16" Type="http://schemas.openxmlformats.org/officeDocument/2006/relationships/hyperlink" Target="http://en.wikipedia.org/wiki/Banking_institut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nvest.com/wiki/Bonds" TargetMode="External"/><Relationship Id="rId5" Type="http://schemas.openxmlformats.org/officeDocument/2006/relationships/webSettings" Target="webSettings.xml"/><Relationship Id="rId15" Type="http://schemas.openxmlformats.org/officeDocument/2006/relationships/hyperlink" Target="http://en.wikipedia.org/wiki/Mutual_organization" TargetMode="External"/><Relationship Id="rId10" Type="http://schemas.openxmlformats.org/officeDocument/2006/relationships/hyperlink" Target="http://www.wikinvest.com/wiki/What_is_a_stock%3F" TargetMode="External"/><Relationship Id="rId19" Type="http://schemas.openxmlformats.org/officeDocument/2006/relationships/hyperlink" Target="http://en.wikipedia.org/wiki/Institutional_investor" TargetMode="External"/><Relationship Id="rId4" Type="http://schemas.openxmlformats.org/officeDocument/2006/relationships/settings" Target="settings.xml"/><Relationship Id="rId9" Type="http://schemas.openxmlformats.org/officeDocument/2006/relationships/hyperlink" Target="http://www.centralbank.go.ke" TargetMode="External"/><Relationship Id="rId14" Type="http://schemas.openxmlformats.org/officeDocument/2006/relationships/hyperlink" Target="http://www.wikinvest.com/wiki/Electronic_trad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4879</Words>
  <Characters>27814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John K. Karuitha BCOM 330</vt:lpstr>
    </vt:vector>
  </TitlesOfParts>
  <Company>Hewlett-Packard</Company>
  <LinksUpToDate>false</LinksUpToDate>
  <CharactersWithSpaces>32628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K. Karuitha BCOM 330</dc:title>
  <dc:creator>Muya</dc:creator>
  <cp:lastModifiedBy>User</cp:lastModifiedBy>
  <cp:revision>5</cp:revision>
  <dcterms:created xsi:type="dcterms:W3CDTF">2012-03-17T07:46:00Z</dcterms:created>
  <dcterms:modified xsi:type="dcterms:W3CDTF">2012-05-11T13:37:00Z</dcterms:modified>
</cp:coreProperties>
</file>