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DF3" w:rsidRPr="00B72CEA" w:rsidRDefault="00CD3CAD" w:rsidP="00CD3CAD">
      <w:pPr>
        <w:jc w:val="center"/>
        <w:rPr>
          <w:rFonts w:ascii="Arial Narrow" w:hAnsi="Arial Narrow"/>
          <w:b/>
          <w:u w:val="single"/>
        </w:rPr>
      </w:pPr>
      <w:r w:rsidRPr="00B72CEA">
        <w:rPr>
          <w:rFonts w:ascii="Arial Narrow" w:hAnsi="Arial Narrow"/>
          <w:b/>
          <w:u w:val="single"/>
        </w:rPr>
        <w:t>COMMERCIAL BANKING</w:t>
      </w:r>
    </w:p>
    <w:p w:rsidR="00CD3CAD" w:rsidRPr="00B72CEA" w:rsidRDefault="00CD3CAD" w:rsidP="00CD3CAD">
      <w:pPr>
        <w:rPr>
          <w:rFonts w:ascii="Arial Narrow" w:hAnsi="Arial Narrow"/>
          <w:b/>
          <w:u w:val="single"/>
        </w:rPr>
      </w:pPr>
      <w:r w:rsidRPr="00B72CEA">
        <w:rPr>
          <w:rFonts w:ascii="Arial Narrow" w:hAnsi="Arial Narrow"/>
          <w:b/>
          <w:u w:val="single"/>
        </w:rPr>
        <w:t>The basics of commercial banking</w:t>
      </w:r>
    </w:p>
    <w:p w:rsidR="00CD3CAD" w:rsidRPr="00B72CEA" w:rsidRDefault="00CD3CAD" w:rsidP="00CD3CAD">
      <w:pPr>
        <w:rPr>
          <w:rFonts w:ascii="Arial Narrow" w:hAnsi="Arial Narrow"/>
          <w:b/>
          <w:u w:val="single"/>
        </w:rPr>
      </w:pPr>
      <w:r w:rsidRPr="00B72CEA">
        <w:rPr>
          <w:rFonts w:ascii="Arial Narrow" w:hAnsi="Arial Narrow"/>
          <w:b/>
          <w:u w:val="single"/>
        </w:rPr>
        <w:t>The bank balance sheet</w:t>
      </w:r>
    </w:p>
    <w:p w:rsidR="00CD3CAD" w:rsidRPr="00B72CEA" w:rsidRDefault="00CD3CAD" w:rsidP="00CD3CAD">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Commercial banking is a business. Banks fill a market need by providing a service and earn a profit by charging customers for that service. The key commercial banking activities are taking in deposits from savers and making loans to households and firms. To earn a profit, a bank needs to pay less for the funds it receives from depositors than it earns on the loans it makes. We begin our discussion of the business of banking by looking at a bank’s </w:t>
      </w:r>
      <w:r w:rsidRPr="00B72CEA">
        <w:rPr>
          <w:rFonts w:ascii="Arial Narrow" w:eastAsia="Minion-Regular" w:hAnsi="Arial Narrow" w:cs="Minion-Italic"/>
          <w:i/>
          <w:iCs/>
        </w:rPr>
        <w:t>sources of funds</w:t>
      </w:r>
      <w:r w:rsidRPr="00B72CEA">
        <w:rPr>
          <w:rFonts w:ascii="Arial Narrow" w:eastAsia="Minion-Regular" w:hAnsi="Arial Narrow" w:cs="Minion-Regular"/>
        </w:rPr>
        <w:t xml:space="preserve">—primarily deposits—and </w:t>
      </w:r>
      <w:r w:rsidRPr="00B72CEA">
        <w:rPr>
          <w:rFonts w:ascii="Arial Narrow" w:eastAsia="Minion-Regular" w:hAnsi="Arial Narrow" w:cs="Minion-Italic"/>
          <w:i/>
          <w:iCs/>
        </w:rPr>
        <w:t>uses of funds</w:t>
      </w:r>
      <w:r w:rsidRPr="00B72CEA">
        <w:rPr>
          <w:rFonts w:ascii="Arial Narrow" w:eastAsia="Minion-Regular" w:hAnsi="Arial Narrow" w:cs="Minion-Regular"/>
        </w:rPr>
        <w:t xml:space="preserve">—primarily loans. A bank’s sources and uses of funds are summarized on its </w:t>
      </w:r>
      <w:r w:rsidRPr="00B72CEA">
        <w:rPr>
          <w:rFonts w:ascii="Arial Narrow" w:eastAsia="Minion-Regular" w:hAnsi="Arial Narrow" w:cs="Minion-Italic"/>
          <w:i/>
          <w:iCs/>
        </w:rPr>
        <w:t>balance sheet</w:t>
      </w:r>
      <w:r w:rsidRPr="00B72CEA">
        <w:rPr>
          <w:rFonts w:ascii="Arial Narrow" w:eastAsia="Minion-Regular" w:hAnsi="Arial Narrow" w:cs="Minion-Regular"/>
        </w:rPr>
        <w:t xml:space="preserve">. A </w:t>
      </w:r>
      <w:r w:rsidRPr="00B72CEA">
        <w:rPr>
          <w:rFonts w:ascii="Arial Narrow" w:eastAsia="Minion-Regular" w:hAnsi="Arial Narrow" w:cs="Minion-Bold"/>
          <w:b/>
          <w:bCs/>
        </w:rPr>
        <w:t xml:space="preserve">balance sheet </w:t>
      </w:r>
      <w:r w:rsidRPr="00B72CEA">
        <w:rPr>
          <w:rFonts w:ascii="Arial Narrow" w:eastAsia="Minion-Regular" w:hAnsi="Arial Narrow" w:cs="Minion-Regular"/>
        </w:rPr>
        <w:t>is a statement that shows an individual’s or a firm’s financial position on a particular day. The table below combines data from all the banks in the country into a consolidated balance sheet for Kenya commercial banking system. The typical layout of a balance sheet is based on the following accounting equation:</w:t>
      </w:r>
    </w:p>
    <w:p w:rsidR="00CD3CAD" w:rsidRPr="00B72CEA" w:rsidRDefault="00CD3CAD" w:rsidP="00CD3CAD">
      <w:pPr>
        <w:autoSpaceDE w:val="0"/>
        <w:autoSpaceDN w:val="0"/>
        <w:adjustRightInd w:val="0"/>
        <w:spacing w:after="0" w:line="240" w:lineRule="auto"/>
        <w:rPr>
          <w:rFonts w:ascii="Arial Narrow" w:eastAsia="Minion-Regular" w:hAnsi="Arial Narrow" w:cs="Minion-Regular"/>
        </w:rPr>
      </w:pPr>
    </w:p>
    <w:p w:rsidR="00CD3CAD" w:rsidRPr="00B72CEA" w:rsidRDefault="00CD3CAD" w:rsidP="00CD3CAD">
      <w:pPr>
        <w:jc w:val="center"/>
        <w:rPr>
          <w:rFonts w:ascii="Arial Narrow" w:eastAsia="Minion-Regular" w:hAnsi="Arial Narrow" w:cs="Minion-Regular"/>
        </w:rPr>
      </w:pPr>
      <w:r w:rsidRPr="00B72CEA">
        <w:rPr>
          <w:rFonts w:ascii="Arial Narrow" w:eastAsia="Minion-Regular" w:hAnsi="Arial Narrow" w:cs="Minion-Regular"/>
        </w:rPr>
        <w:t xml:space="preserve">Assets </w:t>
      </w:r>
      <w:r w:rsidRPr="00B72CEA">
        <w:rPr>
          <w:rFonts w:ascii="Arial Narrow" w:eastAsia="Minion-Regular" w:hAnsi="Arial Narrow" w:cs="Optr2k"/>
        </w:rPr>
        <w:t xml:space="preserve">= </w:t>
      </w:r>
      <w:r w:rsidRPr="00B72CEA">
        <w:rPr>
          <w:rFonts w:ascii="Arial Narrow" w:eastAsia="Minion-Regular" w:hAnsi="Arial Narrow" w:cs="Minion-Regular"/>
        </w:rPr>
        <w:t xml:space="preserve">Liabilities </w:t>
      </w:r>
      <w:r w:rsidRPr="00B72CEA">
        <w:rPr>
          <w:rFonts w:ascii="Arial Narrow" w:eastAsia="Minion-Regular" w:hAnsi="Arial Narrow" w:cs="Optr2k"/>
        </w:rPr>
        <w:t xml:space="preserve">+ </w:t>
      </w:r>
      <w:r w:rsidRPr="00B72CEA">
        <w:rPr>
          <w:rFonts w:ascii="Arial Narrow" w:eastAsia="Minion-Regular" w:hAnsi="Arial Narrow" w:cs="Minion-Regular"/>
        </w:rPr>
        <w:t>Shareholders’ equity.</w:t>
      </w:r>
    </w:p>
    <w:p w:rsidR="00CD3CAD" w:rsidRPr="00B72CEA" w:rsidRDefault="00CD3CAD" w:rsidP="00CD3CAD">
      <w:pPr>
        <w:jc w:val="center"/>
        <w:rPr>
          <w:rFonts w:ascii="Arial Narrow" w:eastAsia="Minion-Regular" w:hAnsi="Arial Narrow" w:cs="Minion-Regular"/>
          <w:b/>
          <w:u w:val="single"/>
        </w:rPr>
      </w:pPr>
      <w:r w:rsidRPr="00B72CEA">
        <w:rPr>
          <w:rFonts w:ascii="Arial Narrow" w:eastAsia="Minion-Regular" w:hAnsi="Arial Narrow" w:cs="Minion-Regular"/>
          <w:b/>
          <w:u w:val="single"/>
        </w:rPr>
        <w:t>Kenya commercial banking system,</w:t>
      </w:r>
    </w:p>
    <w:p w:rsidR="00CD3CAD" w:rsidRPr="00B72CEA" w:rsidRDefault="00CD3CAD" w:rsidP="00CD3CAD">
      <w:pPr>
        <w:jc w:val="center"/>
        <w:rPr>
          <w:rFonts w:ascii="Arial Narrow" w:eastAsia="Minion-Regular" w:hAnsi="Arial Narrow" w:cs="Minion-Regular"/>
          <w:b/>
          <w:u w:val="single"/>
        </w:rPr>
      </w:pPr>
      <w:r w:rsidRPr="00B72CEA">
        <w:rPr>
          <w:rFonts w:ascii="Arial Narrow" w:eastAsia="Minion-Regular" w:hAnsi="Arial Narrow" w:cs="Minion-Regular"/>
          <w:b/>
          <w:u w:val="single"/>
        </w:rPr>
        <w:t>Consolidated balance sheet,</w:t>
      </w:r>
    </w:p>
    <w:p w:rsidR="00CD3CAD" w:rsidRPr="00B72CEA" w:rsidRDefault="00CD3CAD" w:rsidP="00CD3CAD">
      <w:pPr>
        <w:jc w:val="center"/>
        <w:rPr>
          <w:rFonts w:ascii="Arial Narrow" w:eastAsia="Minion-Regular" w:hAnsi="Arial Narrow" w:cs="Minion-Regular"/>
          <w:b/>
          <w:u w:val="single"/>
        </w:rPr>
      </w:pPr>
      <w:r w:rsidRPr="00B72CEA">
        <w:rPr>
          <w:rFonts w:ascii="Arial Narrow" w:eastAsia="Minion-Regular" w:hAnsi="Arial Narrow" w:cs="Minion-Regular"/>
          <w:b/>
          <w:u w:val="single"/>
        </w:rPr>
        <w:t xml:space="preserve">As at December 31, </w:t>
      </w:r>
    </w:p>
    <w:tbl>
      <w:tblPr>
        <w:tblStyle w:val="TableGrid"/>
        <w:tblW w:w="0" w:type="auto"/>
        <w:tblLook w:val="04A0"/>
      </w:tblPr>
      <w:tblGrid>
        <w:gridCol w:w="4338"/>
        <w:gridCol w:w="2070"/>
        <w:gridCol w:w="1890"/>
        <w:gridCol w:w="1278"/>
      </w:tblGrid>
      <w:tr w:rsidR="00CD3CAD" w:rsidRPr="00B72CEA" w:rsidTr="00E07F98">
        <w:tc>
          <w:tcPr>
            <w:tcW w:w="4338" w:type="dxa"/>
          </w:tcPr>
          <w:p w:rsidR="00CD3CAD" w:rsidRPr="00B72CEA" w:rsidRDefault="00CD3CAD" w:rsidP="00CD3CAD">
            <w:pPr>
              <w:jc w:val="center"/>
              <w:rPr>
                <w:rFonts w:ascii="Arial Narrow" w:hAnsi="Arial Narrow"/>
                <w:b/>
                <w:u w:val="single"/>
              </w:rPr>
            </w:pPr>
          </w:p>
        </w:tc>
        <w:tc>
          <w:tcPr>
            <w:tcW w:w="2070" w:type="dxa"/>
          </w:tcPr>
          <w:p w:rsidR="00CD3CAD" w:rsidRPr="00B72CEA" w:rsidRDefault="00CD3CAD" w:rsidP="00CD3CAD">
            <w:pPr>
              <w:jc w:val="center"/>
              <w:rPr>
                <w:rFonts w:ascii="Arial Narrow" w:hAnsi="Arial Narrow"/>
                <w:b/>
                <w:u w:val="single"/>
              </w:rPr>
            </w:pPr>
            <w:r w:rsidRPr="00B72CEA">
              <w:rPr>
                <w:rFonts w:ascii="Arial Narrow" w:hAnsi="Arial Narrow"/>
                <w:b/>
                <w:u w:val="single"/>
              </w:rPr>
              <w:t>2009</w:t>
            </w:r>
          </w:p>
        </w:tc>
        <w:tc>
          <w:tcPr>
            <w:tcW w:w="1890" w:type="dxa"/>
          </w:tcPr>
          <w:p w:rsidR="00CD3CAD" w:rsidRPr="00B72CEA" w:rsidRDefault="00CD3CAD" w:rsidP="00CD3CAD">
            <w:pPr>
              <w:jc w:val="center"/>
              <w:rPr>
                <w:rFonts w:ascii="Arial Narrow" w:hAnsi="Arial Narrow"/>
                <w:b/>
                <w:u w:val="single"/>
              </w:rPr>
            </w:pPr>
            <w:r w:rsidRPr="00B72CEA">
              <w:rPr>
                <w:rFonts w:ascii="Arial Narrow" w:hAnsi="Arial Narrow"/>
                <w:b/>
                <w:u w:val="single"/>
              </w:rPr>
              <w:t>2010</w:t>
            </w:r>
          </w:p>
        </w:tc>
        <w:tc>
          <w:tcPr>
            <w:tcW w:w="1278" w:type="dxa"/>
          </w:tcPr>
          <w:p w:rsidR="00CD3CAD" w:rsidRPr="00B72CEA" w:rsidRDefault="00CD3CAD" w:rsidP="00CD3CAD">
            <w:pPr>
              <w:jc w:val="center"/>
              <w:rPr>
                <w:rFonts w:ascii="Arial Narrow" w:hAnsi="Arial Narrow"/>
                <w:b/>
                <w:u w:val="single"/>
              </w:rPr>
            </w:pPr>
          </w:p>
        </w:tc>
      </w:tr>
      <w:tr w:rsidR="00CD3CAD" w:rsidRPr="00B72CEA" w:rsidTr="00E07F98">
        <w:tc>
          <w:tcPr>
            <w:tcW w:w="4338" w:type="dxa"/>
          </w:tcPr>
          <w:p w:rsidR="00CD3CAD" w:rsidRPr="00B72CEA" w:rsidRDefault="00CD3CAD" w:rsidP="00CD3CAD">
            <w:pPr>
              <w:jc w:val="center"/>
              <w:rPr>
                <w:rFonts w:ascii="Arial Narrow" w:hAnsi="Arial Narrow"/>
                <w:b/>
                <w:u w:val="single"/>
              </w:rPr>
            </w:pPr>
          </w:p>
        </w:tc>
        <w:tc>
          <w:tcPr>
            <w:tcW w:w="2070" w:type="dxa"/>
          </w:tcPr>
          <w:p w:rsidR="00CD3CAD" w:rsidRPr="00B72CEA" w:rsidRDefault="00CD3CAD" w:rsidP="00CD3CAD">
            <w:pPr>
              <w:jc w:val="center"/>
              <w:rPr>
                <w:rFonts w:ascii="Arial Narrow" w:hAnsi="Arial Narrow"/>
                <w:b/>
                <w:u w:val="single"/>
              </w:rPr>
            </w:pPr>
            <w:r w:rsidRPr="00B72CEA">
              <w:rPr>
                <w:rFonts w:ascii="Arial Narrow" w:hAnsi="Arial Narrow"/>
                <w:b/>
                <w:u w:val="single"/>
              </w:rPr>
              <w:t>Ksh. Millions</w:t>
            </w:r>
          </w:p>
        </w:tc>
        <w:tc>
          <w:tcPr>
            <w:tcW w:w="1890" w:type="dxa"/>
          </w:tcPr>
          <w:p w:rsidR="00CD3CAD" w:rsidRPr="00B72CEA" w:rsidRDefault="00CD3CAD" w:rsidP="00CD3CAD">
            <w:pPr>
              <w:jc w:val="center"/>
              <w:rPr>
                <w:rFonts w:ascii="Arial Narrow" w:hAnsi="Arial Narrow"/>
                <w:b/>
                <w:u w:val="single"/>
              </w:rPr>
            </w:pPr>
            <w:r w:rsidRPr="00B72CEA">
              <w:rPr>
                <w:rFonts w:ascii="Arial Narrow" w:hAnsi="Arial Narrow"/>
                <w:b/>
                <w:u w:val="single"/>
              </w:rPr>
              <w:t>Ksh. Millions</w:t>
            </w:r>
          </w:p>
        </w:tc>
        <w:tc>
          <w:tcPr>
            <w:tcW w:w="1278" w:type="dxa"/>
          </w:tcPr>
          <w:p w:rsidR="00CD3CAD" w:rsidRPr="00B72CEA" w:rsidRDefault="00CD3CAD" w:rsidP="00CD3CAD">
            <w:pPr>
              <w:jc w:val="center"/>
              <w:rPr>
                <w:rFonts w:ascii="Arial Narrow" w:hAnsi="Arial Narrow"/>
                <w:b/>
                <w:u w:val="single"/>
              </w:rPr>
            </w:pPr>
            <w:r w:rsidRPr="00B72CEA">
              <w:rPr>
                <w:rFonts w:ascii="Arial Narrow" w:hAnsi="Arial Narrow"/>
                <w:b/>
                <w:u w:val="single"/>
              </w:rPr>
              <w:t>Change %</w:t>
            </w:r>
          </w:p>
        </w:tc>
      </w:tr>
      <w:tr w:rsidR="00CD3CAD" w:rsidRPr="00B72CEA" w:rsidTr="00E07F98">
        <w:tc>
          <w:tcPr>
            <w:tcW w:w="4338" w:type="dxa"/>
          </w:tcPr>
          <w:p w:rsidR="00CD3CAD" w:rsidRPr="00B72CEA" w:rsidRDefault="00CD3CAD" w:rsidP="00CD3CAD">
            <w:pPr>
              <w:rPr>
                <w:rFonts w:ascii="Arial Narrow" w:hAnsi="Arial Narrow"/>
                <w:b/>
                <w:u w:val="single"/>
              </w:rPr>
            </w:pPr>
            <w:r w:rsidRPr="00B72CEA">
              <w:rPr>
                <w:rFonts w:ascii="Arial Narrow" w:hAnsi="Arial Narrow"/>
                <w:b/>
                <w:u w:val="single"/>
              </w:rPr>
              <w:t>A</w:t>
            </w:r>
            <w:r w:rsidR="00E07F98" w:rsidRPr="00B72CEA">
              <w:rPr>
                <w:rFonts w:ascii="Arial Narrow" w:hAnsi="Arial Narrow"/>
                <w:b/>
                <w:u w:val="single"/>
              </w:rPr>
              <w:t>SSETS</w:t>
            </w:r>
          </w:p>
        </w:tc>
        <w:tc>
          <w:tcPr>
            <w:tcW w:w="2070" w:type="dxa"/>
          </w:tcPr>
          <w:p w:rsidR="00CD3CAD" w:rsidRPr="00B72CEA" w:rsidRDefault="00CD3CAD" w:rsidP="00CD3CAD">
            <w:pPr>
              <w:jc w:val="center"/>
              <w:rPr>
                <w:rFonts w:ascii="Arial Narrow" w:hAnsi="Arial Narrow"/>
                <w:b/>
                <w:u w:val="single"/>
              </w:rPr>
            </w:pPr>
          </w:p>
        </w:tc>
        <w:tc>
          <w:tcPr>
            <w:tcW w:w="1890" w:type="dxa"/>
          </w:tcPr>
          <w:p w:rsidR="00CD3CAD" w:rsidRPr="00B72CEA" w:rsidRDefault="00CD3CAD" w:rsidP="00CD3CAD">
            <w:pPr>
              <w:jc w:val="center"/>
              <w:rPr>
                <w:rFonts w:ascii="Arial Narrow" w:hAnsi="Arial Narrow"/>
                <w:b/>
                <w:u w:val="single"/>
              </w:rPr>
            </w:pPr>
          </w:p>
        </w:tc>
        <w:tc>
          <w:tcPr>
            <w:tcW w:w="1278" w:type="dxa"/>
          </w:tcPr>
          <w:p w:rsidR="00CD3CAD" w:rsidRPr="00B72CEA" w:rsidRDefault="00CD3CAD" w:rsidP="00CD3CAD">
            <w:pPr>
              <w:jc w:val="center"/>
              <w:rPr>
                <w:rFonts w:ascii="Arial Narrow" w:hAnsi="Arial Narrow"/>
                <w:b/>
                <w:u w:val="single"/>
              </w:rPr>
            </w:pPr>
          </w:p>
        </w:tc>
      </w:tr>
      <w:tr w:rsidR="00CD3CAD" w:rsidRPr="00B72CEA" w:rsidTr="00E07F98">
        <w:tc>
          <w:tcPr>
            <w:tcW w:w="4338" w:type="dxa"/>
          </w:tcPr>
          <w:p w:rsidR="00CD3CAD" w:rsidRPr="00B72CEA" w:rsidRDefault="00CD3CAD" w:rsidP="00E07F98">
            <w:pPr>
              <w:rPr>
                <w:rFonts w:ascii="Arial Narrow" w:hAnsi="Arial Narrow"/>
              </w:rPr>
            </w:pPr>
            <w:r w:rsidRPr="00B72CEA">
              <w:rPr>
                <w:rFonts w:ascii="Arial Narrow" w:hAnsi="Arial Narrow"/>
              </w:rPr>
              <w:t>Cash</w:t>
            </w:r>
          </w:p>
        </w:tc>
        <w:tc>
          <w:tcPr>
            <w:tcW w:w="2070" w:type="dxa"/>
          </w:tcPr>
          <w:p w:rsidR="00CD3CAD" w:rsidRPr="00B72CEA" w:rsidRDefault="00E07F98" w:rsidP="00CD3CAD">
            <w:pPr>
              <w:jc w:val="center"/>
              <w:rPr>
                <w:rFonts w:ascii="Arial Narrow" w:hAnsi="Arial Narrow"/>
              </w:rPr>
            </w:pPr>
            <w:r w:rsidRPr="00B72CEA">
              <w:rPr>
                <w:rFonts w:ascii="Arial Narrow" w:hAnsi="Arial Narrow"/>
              </w:rPr>
              <w:t>28,937</w:t>
            </w:r>
          </w:p>
        </w:tc>
        <w:tc>
          <w:tcPr>
            <w:tcW w:w="1890" w:type="dxa"/>
          </w:tcPr>
          <w:p w:rsidR="00CD3CAD" w:rsidRPr="00B72CEA" w:rsidRDefault="00E07F98" w:rsidP="00CD3CAD">
            <w:pPr>
              <w:jc w:val="center"/>
              <w:rPr>
                <w:rFonts w:ascii="Arial Narrow" w:hAnsi="Arial Narrow"/>
              </w:rPr>
            </w:pPr>
            <w:r w:rsidRPr="00B72CEA">
              <w:rPr>
                <w:rFonts w:ascii="Arial Narrow" w:hAnsi="Arial Narrow"/>
              </w:rPr>
              <w:t>36,485</w:t>
            </w:r>
          </w:p>
        </w:tc>
        <w:tc>
          <w:tcPr>
            <w:tcW w:w="1278" w:type="dxa"/>
          </w:tcPr>
          <w:p w:rsidR="00CD3CAD" w:rsidRPr="00B72CEA" w:rsidRDefault="00E07F98" w:rsidP="00CD3CAD">
            <w:pPr>
              <w:jc w:val="center"/>
              <w:rPr>
                <w:rFonts w:ascii="Arial Narrow" w:hAnsi="Arial Narrow"/>
              </w:rPr>
            </w:pPr>
            <w:r w:rsidRPr="00B72CEA">
              <w:rPr>
                <w:rFonts w:ascii="Arial Narrow" w:hAnsi="Arial Narrow"/>
              </w:rPr>
              <w:t>26.1%</w:t>
            </w:r>
          </w:p>
        </w:tc>
      </w:tr>
      <w:tr w:rsidR="00CD3CAD" w:rsidRPr="00B72CEA" w:rsidTr="00E07F98">
        <w:tc>
          <w:tcPr>
            <w:tcW w:w="4338" w:type="dxa"/>
          </w:tcPr>
          <w:p w:rsidR="00CD3CAD" w:rsidRPr="00B72CEA" w:rsidRDefault="00CD3CAD" w:rsidP="00E07F98">
            <w:pPr>
              <w:rPr>
                <w:rFonts w:ascii="Arial Narrow" w:hAnsi="Arial Narrow"/>
              </w:rPr>
            </w:pPr>
            <w:r w:rsidRPr="00B72CEA">
              <w:rPr>
                <w:rFonts w:ascii="Arial Narrow" w:hAnsi="Arial Narrow"/>
              </w:rPr>
              <w:t>Balances at Central Bank</w:t>
            </w:r>
          </w:p>
        </w:tc>
        <w:tc>
          <w:tcPr>
            <w:tcW w:w="2070" w:type="dxa"/>
          </w:tcPr>
          <w:p w:rsidR="00CD3CAD" w:rsidRPr="00B72CEA" w:rsidRDefault="00E07F98" w:rsidP="00CD3CAD">
            <w:pPr>
              <w:jc w:val="center"/>
              <w:rPr>
                <w:rFonts w:ascii="Arial Narrow" w:hAnsi="Arial Narrow"/>
              </w:rPr>
            </w:pPr>
            <w:r w:rsidRPr="00B72CEA">
              <w:rPr>
                <w:rFonts w:ascii="Arial Narrow" w:hAnsi="Arial Narrow"/>
              </w:rPr>
              <w:t>61,129</w:t>
            </w:r>
          </w:p>
        </w:tc>
        <w:tc>
          <w:tcPr>
            <w:tcW w:w="1890" w:type="dxa"/>
          </w:tcPr>
          <w:p w:rsidR="00CD3CAD" w:rsidRPr="00B72CEA" w:rsidRDefault="00E07F98" w:rsidP="00CD3CAD">
            <w:pPr>
              <w:jc w:val="center"/>
              <w:rPr>
                <w:rFonts w:ascii="Arial Narrow" w:hAnsi="Arial Narrow"/>
              </w:rPr>
            </w:pPr>
            <w:r w:rsidRPr="00B72CEA">
              <w:rPr>
                <w:rFonts w:ascii="Arial Narrow" w:hAnsi="Arial Narrow"/>
              </w:rPr>
              <w:t>76,272</w:t>
            </w:r>
          </w:p>
        </w:tc>
        <w:tc>
          <w:tcPr>
            <w:tcW w:w="1278" w:type="dxa"/>
          </w:tcPr>
          <w:p w:rsidR="00CD3CAD" w:rsidRPr="00B72CEA" w:rsidRDefault="00E07F98" w:rsidP="00CD3CAD">
            <w:pPr>
              <w:jc w:val="center"/>
              <w:rPr>
                <w:rFonts w:ascii="Arial Narrow" w:hAnsi="Arial Narrow"/>
              </w:rPr>
            </w:pPr>
            <w:r w:rsidRPr="00B72CEA">
              <w:rPr>
                <w:rFonts w:ascii="Arial Narrow" w:hAnsi="Arial Narrow"/>
              </w:rPr>
              <w:t>24.8%</w:t>
            </w:r>
          </w:p>
        </w:tc>
      </w:tr>
      <w:tr w:rsidR="00CD3CAD" w:rsidRPr="00B72CEA" w:rsidTr="00E07F98">
        <w:tc>
          <w:tcPr>
            <w:tcW w:w="4338" w:type="dxa"/>
          </w:tcPr>
          <w:p w:rsidR="00CD3CAD" w:rsidRPr="00B72CEA" w:rsidRDefault="00CD3CAD" w:rsidP="00E07F98">
            <w:pPr>
              <w:rPr>
                <w:rFonts w:ascii="Arial Narrow" w:hAnsi="Arial Narrow"/>
              </w:rPr>
            </w:pPr>
            <w:r w:rsidRPr="00B72CEA">
              <w:rPr>
                <w:rFonts w:ascii="Arial Narrow" w:hAnsi="Arial Narrow"/>
              </w:rPr>
              <w:t>Placements</w:t>
            </w:r>
          </w:p>
        </w:tc>
        <w:tc>
          <w:tcPr>
            <w:tcW w:w="2070" w:type="dxa"/>
          </w:tcPr>
          <w:p w:rsidR="00CD3CAD" w:rsidRPr="00B72CEA" w:rsidRDefault="00E07F98" w:rsidP="00CD3CAD">
            <w:pPr>
              <w:jc w:val="center"/>
              <w:rPr>
                <w:rFonts w:ascii="Arial Narrow" w:hAnsi="Arial Narrow"/>
              </w:rPr>
            </w:pPr>
            <w:r w:rsidRPr="00B72CEA">
              <w:rPr>
                <w:rFonts w:ascii="Arial Narrow" w:hAnsi="Arial Narrow"/>
              </w:rPr>
              <w:t>63,416</w:t>
            </w:r>
          </w:p>
        </w:tc>
        <w:tc>
          <w:tcPr>
            <w:tcW w:w="1890" w:type="dxa"/>
          </w:tcPr>
          <w:p w:rsidR="00CD3CAD" w:rsidRPr="00B72CEA" w:rsidRDefault="00E07F98" w:rsidP="00CD3CAD">
            <w:pPr>
              <w:jc w:val="center"/>
              <w:rPr>
                <w:rFonts w:ascii="Arial Narrow" w:hAnsi="Arial Narrow"/>
              </w:rPr>
            </w:pPr>
            <w:r w:rsidRPr="00B72CEA">
              <w:rPr>
                <w:rFonts w:ascii="Arial Narrow" w:hAnsi="Arial Narrow"/>
              </w:rPr>
              <w:t>73,607</w:t>
            </w:r>
          </w:p>
        </w:tc>
        <w:tc>
          <w:tcPr>
            <w:tcW w:w="1278" w:type="dxa"/>
          </w:tcPr>
          <w:p w:rsidR="00CD3CAD" w:rsidRPr="00B72CEA" w:rsidRDefault="00E07F98" w:rsidP="00CD3CAD">
            <w:pPr>
              <w:jc w:val="center"/>
              <w:rPr>
                <w:rFonts w:ascii="Arial Narrow" w:hAnsi="Arial Narrow"/>
              </w:rPr>
            </w:pPr>
            <w:r w:rsidRPr="00B72CEA">
              <w:rPr>
                <w:rFonts w:ascii="Arial Narrow" w:hAnsi="Arial Narrow"/>
              </w:rPr>
              <w:t>16.1%</w:t>
            </w:r>
          </w:p>
        </w:tc>
      </w:tr>
      <w:tr w:rsidR="00CD3CAD" w:rsidRPr="00B72CEA" w:rsidTr="00E07F98">
        <w:tc>
          <w:tcPr>
            <w:tcW w:w="4338" w:type="dxa"/>
          </w:tcPr>
          <w:p w:rsidR="00CD3CAD" w:rsidRPr="00B72CEA" w:rsidRDefault="00CD3CAD" w:rsidP="00E07F98">
            <w:pPr>
              <w:rPr>
                <w:rFonts w:ascii="Arial Narrow" w:hAnsi="Arial Narrow"/>
              </w:rPr>
            </w:pPr>
            <w:r w:rsidRPr="00B72CEA">
              <w:rPr>
                <w:rFonts w:ascii="Arial Narrow" w:hAnsi="Arial Narrow"/>
              </w:rPr>
              <w:t>Government securities</w:t>
            </w:r>
          </w:p>
        </w:tc>
        <w:tc>
          <w:tcPr>
            <w:tcW w:w="2070" w:type="dxa"/>
          </w:tcPr>
          <w:p w:rsidR="00CD3CAD" w:rsidRPr="00B72CEA" w:rsidRDefault="00E07F98" w:rsidP="00CD3CAD">
            <w:pPr>
              <w:jc w:val="center"/>
              <w:rPr>
                <w:rFonts w:ascii="Arial Narrow" w:hAnsi="Arial Narrow"/>
              </w:rPr>
            </w:pPr>
            <w:r w:rsidRPr="00B72CEA">
              <w:rPr>
                <w:rFonts w:ascii="Arial Narrow" w:hAnsi="Arial Narrow"/>
              </w:rPr>
              <w:t>314,778</w:t>
            </w:r>
          </w:p>
        </w:tc>
        <w:tc>
          <w:tcPr>
            <w:tcW w:w="1890" w:type="dxa"/>
          </w:tcPr>
          <w:p w:rsidR="00CD3CAD" w:rsidRPr="00B72CEA" w:rsidRDefault="00E07F98" w:rsidP="00CD3CAD">
            <w:pPr>
              <w:jc w:val="center"/>
              <w:rPr>
                <w:rFonts w:ascii="Arial Narrow" w:hAnsi="Arial Narrow"/>
              </w:rPr>
            </w:pPr>
            <w:r w:rsidRPr="00B72CEA">
              <w:rPr>
                <w:rFonts w:ascii="Arial Narrow" w:hAnsi="Arial Narrow"/>
              </w:rPr>
              <w:t>443,085</w:t>
            </w:r>
          </w:p>
        </w:tc>
        <w:tc>
          <w:tcPr>
            <w:tcW w:w="1278" w:type="dxa"/>
          </w:tcPr>
          <w:p w:rsidR="00CD3CAD" w:rsidRPr="00B72CEA" w:rsidRDefault="00E07F98" w:rsidP="00CD3CAD">
            <w:pPr>
              <w:jc w:val="center"/>
              <w:rPr>
                <w:rFonts w:ascii="Arial Narrow" w:hAnsi="Arial Narrow"/>
              </w:rPr>
            </w:pPr>
            <w:r w:rsidRPr="00B72CEA">
              <w:rPr>
                <w:rFonts w:ascii="Arial Narrow" w:hAnsi="Arial Narrow"/>
              </w:rPr>
              <w:t>40.8%</w:t>
            </w:r>
          </w:p>
        </w:tc>
      </w:tr>
      <w:tr w:rsidR="00CD3CAD" w:rsidRPr="00B72CEA" w:rsidTr="00E07F98">
        <w:tc>
          <w:tcPr>
            <w:tcW w:w="4338" w:type="dxa"/>
          </w:tcPr>
          <w:p w:rsidR="00CD3CAD" w:rsidRPr="00B72CEA" w:rsidRDefault="00CD3CAD" w:rsidP="00E07F98">
            <w:pPr>
              <w:rPr>
                <w:rFonts w:ascii="Arial Narrow" w:hAnsi="Arial Narrow"/>
              </w:rPr>
            </w:pPr>
            <w:r w:rsidRPr="00B72CEA">
              <w:rPr>
                <w:rFonts w:ascii="Arial Narrow" w:hAnsi="Arial Narrow"/>
              </w:rPr>
              <w:t>Investments</w:t>
            </w:r>
          </w:p>
        </w:tc>
        <w:tc>
          <w:tcPr>
            <w:tcW w:w="2070" w:type="dxa"/>
          </w:tcPr>
          <w:p w:rsidR="00CD3CAD" w:rsidRPr="00B72CEA" w:rsidRDefault="00E07F98" w:rsidP="00CD3CAD">
            <w:pPr>
              <w:jc w:val="center"/>
              <w:rPr>
                <w:rFonts w:ascii="Arial Narrow" w:hAnsi="Arial Narrow"/>
              </w:rPr>
            </w:pPr>
            <w:r w:rsidRPr="00B72CEA">
              <w:rPr>
                <w:rFonts w:ascii="Arial Narrow" w:hAnsi="Arial Narrow"/>
              </w:rPr>
              <w:t>7,046</w:t>
            </w:r>
          </w:p>
        </w:tc>
        <w:tc>
          <w:tcPr>
            <w:tcW w:w="1890" w:type="dxa"/>
          </w:tcPr>
          <w:p w:rsidR="00CD3CAD" w:rsidRPr="00B72CEA" w:rsidRDefault="00E07F98" w:rsidP="00CD3CAD">
            <w:pPr>
              <w:jc w:val="center"/>
              <w:rPr>
                <w:rFonts w:ascii="Arial Narrow" w:hAnsi="Arial Narrow"/>
              </w:rPr>
            </w:pPr>
            <w:r w:rsidRPr="00B72CEA">
              <w:rPr>
                <w:rFonts w:ascii="Arial Narrow" w:hAnsi="Arial Narrow"/>
              </w:rPr>
              <w:t>10,810</w:t>
            </w:r>
          </w:p>
        </w:tc>
        <w:tc>
          <w:tcPr>
            <w:tcW w:w="1278" w:type="dxa"/>
          </w:tcPr>
          <w:p w:rsidR="00CD3CAD" w:rsidRPr="00B72CEA" w:rsidRDefault="00E07F98" w:rsidP="00CD3CAD">
            <w:pPr>
              <w:jc w:val="center"/>
              <w:rPr>
                <w:rFonts w:ascii="Arial Narrow" w:hAnsi="Arial Narrow"/>
              </w:rPr>
            </w:pPr>
            <w:r w:rsidRPr="00B72CEA">
              <w:rPr>
                <w:rFonts w:ascii="Arial Narrow" w:hAnsi="Arial Narrow"/>
              </w:rPr>
              <w:t>53.4%</w:t>
            </w:r>
          </w:p>
        </w:tc>
      </w:tr>
      <w:tr w:rsidR="00CD3CAD" w:rsidRPr="00B72CEA" w:rsidTr="00E07F98">
        <w:tc>
          <w:tcPr>
            <w:tcW w:w="4338" w:type="dxa"/>
          </w:tcPr>
          <w:p w:rsidR="00CD3CAD" w:rsidRPr="00B72CEA" w:rsidRDefault="00E07F98" w:rsidP="00E07F98">
            <w:pPr>
              <w:rPr>
                <w:rFonts w:ascii="Arial Narrow" w:hAnsi="Arial Narrow"/>
              </w:rPr>
            </w:pPr>
            <w:r w:rsidRPr="00B72CEA">
              <w:rPr>
                <w:rFonts w:ascii="Arial Narrow" w:hAnsi="Arial Narrow"/>
              </w:rPr>
              <w:t>Loans and advances</w:t>
            </w:r>
          </w:p>
        </w:tc>
        <w:tc>
          <w:tcPr>
            <w:tcW w:w="2070" w:type="dxa"/>
          </w:tcPr>
          <w:p w:rsidR="00CD3CAD" w:rsidRPr="00B72CEA" w:rsidRDefault="00E07F98" w:rsidP="00CD3CAD">
            <w:pPr>
              <w:jc w:val="center"/>
              <w:rPr>
                <w:rFonts w:ascii="Arial Narrow" w:hAnsi="Arial Narrow"/>
              </w:rPr>
            </w:pPr>
            <w:r w:rsidRPr="00B72CEA">
              <w:rPr>
                <w:rFonts w:ascii="Arial Narrow" w:hAnsi="Arial Narrow"/>
              </w:rPr>
              <w:t>721,615</w:t>
            </w:r>
          </w:p>
        </w:tc>
        <w:tc>
          <w:tcPr>
            <w:tcW w:w="1890" w:type="dxa"/>
          </w:tcPr>
          <w:p w:rsidR="00CD3CAD" w:rsidRPr="00B72CEA" w:rsidRDefault="00E07F98" w:rsidP="00CD3CAD">
            <w:pPr>
              <w:jc w:val="center"/>
              <w:rPr>
                <w:rFonts w:ascii="Arial Narrow" w:hAnsi="Arial Narrow"/>
              </w:rPr>
            </w:pPr>
            <w:r w:rsidRPr="00B72CEA">
              <w:rPr>
                <w:rFonts w:ascii="Arial Narrow" w:hAnsi="Arial Narrow"/>
              </w:rPr>
              <w:t>876,357</w:t>
            </w:r>
          </w:p>
        </w:tc>
        <w:tc>
          <w:tcPr>
            <w:tcW w:w="1278" w:type="dxa"/>
          </w:tcPr>
          <w:p w:rsidR="00CD3CAD" w:rsidRPr="00B72CEA" w:rsidRDefault="00E07F98" w:rsidP="00CD3CAD">
            <w:pPr>
              <w:jc w:val="center"/>
              <w:rPr>
                <w:rFonts w:ascii="Arial Narrow" w:hAnsi="Arial Narrow"/>
              </w:rPr>
            </w:pPr>
            <w:r w:rsidRPr="00B72CEA">
              <w:rPr>
                <w:rFonts w:ascii="Arial Narrow" w:hAnsi="Arial Narrow"/>
              </w:rPr>
              <w:t>21.4%</w:t>
            </w:r>
          </w:p>
        </w:tc>
      </w:tr>
      <w:tr w:rsidR="00CD3CAD" w:rsidRPr="00B72CEA" w:rsidTr="00E07F98">
        <w:tc>
          <w:tcPr>
            <w:tcW w:w="4338" w:type="dxa"/>
          </w:tcPr>
          <w:p w:rsidR="00CD3CAD" w:rsidRPr="00B72CEA" w:rsidRDefault="00E07F98" w:rsidP="00E07F98">
            <w:pPr>
              <w:rPr>
                <w:rFonts w:ascii="Arial Narrow" w:hAnsi="Arial Narrow"/>
              </w:rPr>
            </w:pPr>
            <w:r w:rsidRPr="00B72CEA">
              <w:rPr>
                <w:rFonts w:ascii="Arial Narrow" w:hAnsi="Arial Narrow"/>
              </w:rPr>
              <w:t>Other assets</w:t>
            </w:r>
          </w:p>
        </w:tc>
        <w:tc>
          <w:tcPr>
            <w:tcW w:w="2070" w:type="dxa"/>
          </w:tcPr>
          <w:p w:rsidR="00CD3CAD" w:rsidRPr="00B72CEA" w:rsidRDefault="00E07F98" w:rsidP="00CD3CAD">
            <w:pPr>
              <w:jc w:val="center"/>
              <w:rPr>
                <w:rFonts w:ascii="Arial Narrow" w:hAnsi="Arial Narrow"/>
              </w:rPr>
            </w:pPr>
            <w:r w:rsidRPr="00B72CEA">
              <w:rPr>
                <w:rFonts w:ascii="Arial Narrow" w:hAnsi="Arial Narrow"/>
              </w:rPr>
              <w:t>156,578</w:t>
            </w:r>
          </w:p>
        </w:tc>
        <w:tc>
          <w:tcPr>
            <w:tcW w:w="1890" w:type="dxa"/>
          </w:tcPr>
          <w:p w:rsidR="00CD3CAD" w:rsidRPr="00B72CEA" w:rsidRDefault="00E07F98" w:rsidP="00CD3CAD">
            <w:pPr>
              <w:jc w:val="center"/>
              <w:rPr>
                <w:rFonts w:ascii="Arial Narrow" w:hAnsi="Arial Narrow"/>
              </w:rPr>
            </w:pPr>
            <w:r w:rsidRPr="00B72CEA">
              <w:rPr>
                <w:rFonts w:ascii="Arial Narrow" w:hAnsi="Arial Narrow"/>
              </w:rPr>
              <w:t>161,495</w:t>
            </w:r>
          </w:p>
        </w:tc>
        <w:tc>
          <w:tcPr>
            <w:tcW w:w="1278" w:type="dxa"/>
          </w:tcPr>
          <w:p w:rsidR="00CD3CAD" w:rsidRPr="00B72CEA" w:rsidRDefault="00E07F98" w:rsidP="00CD3CAD">
            <w:pPr>
              <w:jc w:val="center"/>
              <w:rPr>
                <w:rFonts w:ascii="Arial Narrow" w:hAnsi="Arial Narrow"/>
              </w:rPr>
            </w:pPr>
            <w:r w:rsidRPr="00B72CEA">
              <w:rPr>
                <w:rFonts w:ascii="Arial Narrow" w:hAnsi="Arial Narrow"/>
              </w:rPr>
              <w:t>3.1%</w:t>
            </w:r>
          </w:p>
        </w:tc>
      </w:tr>
      <w:tr w:rsidR="00CD3CAD" w:rsidRPr="00B72CEA" w:rsidTr="00E07F98">
        <w:tc>
          <w:tcPr>
            <w:tcW w:w="4338" w:type="dxa"/>
          </w:tcPr>
          <w:p w:rsidR="00CD3CAD" w:rsidRPr="00B72CEA" w:rsidRDefault="00E07F98" w:rsidP="00E07F98">
            <w:pPr>
              <w:rPr>
                <w:rFonts w:ascii="Arial Narrow" w:hAnsi="Arial Narrow"/>
                <w:b/>
                <w:u w:val="single"/>
              </w:rPr>
            </w:pPr>
            <w:r w:rsidRPr="00B72CEA">
              <w:rPr>
                <w:rFonts w:ascii="Arial Narrow" w:hAnsi="Arial Narrow"/>
                <w:b/>
                <w:u w:val="single"/>
              </w:rPr>
              <w:t>TOTAL ASSETS</w:t>
            </w:r>
          </w:p>
        </w:tc>
        <w:tc>
          <w:tcPr>
            <w:tcW w:w="2070" w:type="dxa"/>
          </w:tcPr>
          <w:p w:rsidR="00CD3CAD" w:rsidRPr="00B72CEA" w:rsidRDefault="00E07F98" w:rsidP="00CD3CAD">
            <w:pPr>
              <w:jc w:val="center"/>
              <w:rPr>
                <w:rFonts w:ascii="Arial Narrow" w:hAnsi="Arial Narrow"/>
                <w:b/>
                <w:u w:val="single"/>
              </w:rPr>
            </w:pPr>
            <w:r w:rsidRPr="00B72CEA">
              <w:rPr>
                <w:rFonts w:ascii="Arial Narrow" w:hAnsi="Arial Narrow"/>
                <w:b/>
                <w:u w:val="single"/>
              </w:rPr>
              <w:t>1,353,499</w:t>
            </w:r>
          </w:p>
        </w:tc>
        <w:tc>
          <w:tcPr>
            <w:tcW w:w="1890" w:type="dxa"/>
          </w:tcPr>
          <w:p w:rsidR="00CD3CAD" w:rsidRPr="00B72CEA" w:rsidRDefault="00E07F98" w:rsidP="00CD3CAD">
            <w:pPr>
              <w:jc w:val="center"/>
              <w:rPr>
                <w:rFonts w:ascii="Arial Narrow" w:hAnsi="Arial Narrow"/>
                <w:b/>
                <w:u w:val="single"/>
              </w:rPr>
            </w:pPr>
            <w:r w:rsidRPr="00B72CEA">
              <w:rPr>
                <w:rFonts w:ascii="Arial Narrow" w:hAnsi="Arial Narrow"/>
                <w:b/>
                <w:u w:val="single"/>
              </w:rPr>
              <w:t>1,678,112</w:t>
            </w:r>
          </w:p>
        </w:tc>
        <w:tc>
          <w:tcPr>
            <w:tcW w:w="1278" w:type="dxa"/>
          </w:tcPr>
          <w:p w:rsidR="00CD3CAD" w:rsidRPr="00B72CEA" w:rsidRDefault="00E07F98" w:rsidP="00CD3CAD">
            <w:pPr>
              <w:jc w:val="center"/>
              <w:rPr>
                <w:rFonts w:ascii="Arial Narrow" w:hAnsi="Arial Narrow"/>
                <w:b/>
                <w:u w:val="single"/>
              </w:rPr>
            </w:pPr>
            <w:r w:rsidRPr="00B72CEA">
              <w:rPr>
                <w:rFonts w:ascii="Arial Narrow" w:hAnsi="Arial Narrow"/>
                <w:b/>
                <w:u w:val="single"/>
              </w:rPr>
              <w:t>24.0%</w:t>
            </w:r>
          </w:p>
        </w:tc>
      </w:tr>
      <w:tr w:rsidR="00CD3CAD" w:rsidRPr="00B72CEA" w:rsidTr="00E07F98">
        <w:tc>
          <w:tcPr>
            <w:tcW w:w="4338" w:type="dxa"/>
          </w:tcPr>
          <w:p w:rsidR="00CD3CAD" w:rsidRPr="00B72CEA" w:rsidRDefault="00CD3CAD" w:rsidP="00CD3CAD">
            <w:pPr>
              <w:jc w:val="center"/>
              <w:rPr>
                <w:rFonts w:ascii="Arial Narrow" w:hAnsi="Arial Narrow"/>
                <w:b/>
                <w:u w:val="single"/>
              </w:rPr>
            </w:pPr>
          </w:p>
        </w:tc>
        <w:tc>
          <w:tcPr>
            <w:tcW w:w="2070" w:type="dxa"/>
          </w:tcPr>
          <w:p w:rsidR="00CD3CAD" w:rsidRPr="00B72CEA" w:rsidRDefault="00CD3CAD" w:rsidP="00CD3CAD">
            <w:pPr>
              <w:jc w:val="center"/>
              <w:rPr>
                <w:rFonts w:ascii="Arial Narrow" w:hAnsi="Arial Narrow"/>
                <w:b/>
                <w:u w:val="single"/>
              </w:rPr>
            </w:pPr>
          </w:p>
        </w:tc>
        <w:tc>
          <w:tcPr>
            <w:tcW w:w="1890" w:type="dxa"/>
          </w:tcPr>
          <w:p w:rsidR="00CD3CAD" w:rsidRPr="00B72CEA" w:rsidRDefault="00CD3CAD" w:rsidP="00CD3CAD">
            <w:pPr>
              <w:jc w:val="center"/>
              <w:rPr>
                <w:rFonts w:ascii="Arial Narrow" w:hAnsi="Arial Narrow"/>
                <w:b/>
                <w:u w:val="single"/>
              </w:rPr>
            </w:pPr>
          </w:p>
        </w:tc>
        <w:tc>
          <w:tcPr>
            <w:tcW w:w="1278" w:type="dxa"/>
          </w:tcPr>
          <w:p w:rsidR="00CD3CAD" w:rsidRPr="00B72CEA" w:rsidRDefault="00CD3CAD" w:rsidP="00CD3CAD">
            <w:pPr>
              <w:jc w:val="center"/>
              <w:rPr>
                <w:rFonts w:ascii="Arial Narrow" w:hAnsi="Arial Narrow"/>
                <w:b/>
                <w:u w:val="single"/>
              </w:rPr>
            </w:pPr>
          </w:p>
        </w:tc>
      </w:tr>
      <w:tr w:rsidR="00CD3CAD" w:rsidRPr="00B72CEA" w:rsidTr="00E07F98">
        <w:tc>
          <w:tcPr>
            <w:tcW w:w="4338" w:type="dxa"/>
          </w:tcPr>
          <w:p w:rsidR="00CD3CAD" w:rsidRPr="00B72CEA" w:rsidRDefault="00E07F98" w:rsidP="00E07F98">
            <w:pPr>
              <w:rPr>
                <w:rFonts w:ascii="Arial Narrow" w:hAnsi="Arial Narrow"/>
                <w:b/>
                <w:u w:val="single"/>
              </w:rPr>
            </w:pPr>
            <w:r w:rsidRPr="00B72CEA">
              <w:rPr>
                <w:rFonts w:ascii="Arial Narrow" w:hAnsi="Arial Narrow"/>
                <w:b/>
                <w:u w:val="single"/>
              </w:rPr>
              <w:t xml:space="preserve"> LIABILITIES &amp; SHAREHOLDERS FUNDS</w:t>
            </w:r>
          </w:p>
        </w:tc>
        <w:tc>
          <w:tcPr>
            <w:tcW w:w="2070" w:type="dxa"/>
          </w:tcPr>
          <w:p w:rsidR="00CD3CAD" w:rsidRPr="00B72CEA" w:rsidRDefault="00CD3CAD" w:rsidP="00CD3CAD">
            <w:pPr>
              <w:jc w:val="center"/>
              <w:rPr>
                <w:rFonts w:ascii="Arial Narrow" w:hAnsi="Arial Narrow"/>
                <w:b/>
                <w:u w:val="single"/>
              </w:rPr>
            </w:pPr>
          </w:p>
        </w:tc>
        <w:tc>
          <w:tcPr>
            <w:tcW w:w="1890" w:type="dxa"/>
          </w:tcPr>
          <w:p w:rsidR="00CD3CAD" w:rsidRPr="00B72CEA" w:rsidRDefault="00CD3CAD" w:rsidP="00CD3CAD">
            <w:pPr>
              <w:jc w:val="center"/>
              <w:rPr>
                <w:rFonts w:ascii="Arial Narrow" w:hAnsi="Arial Narrow"/>
                <w:b/>
                <w:u w:val="single"/>
              </w:rPr>
            </w:pPr>
          </w:p>
        </w:tc>
        <w:tc>
          <w:tcPr>
            <w:tcW w:w="1278" w:type="dxa"/>
          </w:tcPr>
          <w:p w:rsidR="00CD3CAD" w:rsidRPr="00B72CEA" w:rsidRDefault="00CD3CAD" w:rsidP="00CD3CAD">
            <w:pPr>
              <w:jc w:val="center"/>
              <w:rPr>
                <w:rFonts w:ascii="Arial Narrow" w:hAnsi="Arial Narrow"/>
                <w:b/>
                <w:u w:val="single"/>
              </w:rPr>
            </w:pPr>
          </w:p>
        </w:tc>
      </w:tr>
      <w:tr w:rsidR="00E07F98" w:rsidRPr="00B72CEA" w:rsidTr="00E07F98">
        <w:tc>
          <w:tcPr>
            <w:tcW w:w="4338" w:type="dxa"/>
          </w:tcPr>
          <w:p w:rsidR="00E07F98" w:rsidRPr="00B72CEA" w:rsidRDefault="00E07F98" w:rsidP="00E07F98">
            <w:pPr>
              <w:rPr>
                <w:rFonts w:ascii="Arial Narrow" w:hAnsi="Arial Narrow"/>
              </w:rPr>
            </w:pPr>
            <w:r w:rsidRPr="00B72CEA">
              <w:rPr>
                <w:rFonts w:ascii="Arial Narrow" w:hAnsi="Arial Narrow"/>
              </w:rPr>
              <w:t>Customer deposits</w:t>
            </w:r>
          </w:p>
        </w:tc>
        <w:tc>
          <w:tcPr>
            <w:tcW w:w="2070" w:type="dxa"/>
          </w:tcPr>
          <w:p w:rsidR="00E07F98" w:rsidRPr="00B72CEA" w:rsidRDefault="00E07F98" w:rsidP="00CD3CAD">
            <w:pPr>
              <w:jc w:val="center"/>
              <w:rPr>
                <w:rFonts w:ascii="Arial Narrow" w:hAnsi="Arial Narrow"/>
              </w:rPr>
            </w:pPr>
            <w:r w:rsidRPr="00B72CEA">
              <w:rPr>
                <w:rFonts w:ascii="Arial Narrow" w:hAnsi="Arial Narrow"/>
              </w:rPr>
              <w:t>1,006,021</w:t>
            </w:r>
          </w:p>
        </w:tc>
        <w:tc>
          <w:tcPr>
            <w:tcW w:w="1890" w:type="dxa"/>
          </w:tcPr>
          <w:p w:rsidR="00E07F98" w:rsidRPr="00B72CEA" w:rsidRDefault="00E07F98" w:rsidP="00CD3CAD">
            <w:pPr>
              <w:jc w:val="center"/>
              <w:rPr>
                <w:rFonts w:ascii="Arial Narrow" w:hAnsi="Arial Narrow"/>
              </w:rPr>
            </w:pPr>
            <w:r w:rsidRPr="00B72CEA">
              <w:rPr>
                <w:rFonts w:ascii="Arial Narrow" w:hAnsi="Arial Narrow"/>
              </w:rPr>
              <w:t>1,236,549</w:t>
            </w:r>
          </w:p>
        </w:tc>
        <w:tc>
          <w:tcPr>
            <w:tcW w:w="1278" w:type="dxa"/>
          </w:tcPr>
          <w:p w:rsidR="00E07F98" w:rsidRPr="00B72CEA" w:rsidRDefault="00E07F98" w:rsidP="00CD3CAD">
            <w:pPr>
              <w:jc w:val="center"/>
              <w:rPr>
                <w:rFonts w:ascii="Arial Narrow" w:hAnsi="Arial Narrow"/>
              </w:rPr>
            </w:pPr>
            <w:r w:rsidRPr="00B72CEA">
              <w:rPr>
                <w:rFonts w:ascii="Arial Narrow" w:hAnsi="Arial Narrow"/>
              </w:rPr>
              <w:t>22.9%</w:t>
            </w:r>
          </w:p>
        </w:tc>
      </w:tr>
      <w:tr w:rsidR="00E07F98" w:rsidRPr="00B72CEA" w:rsidTr="00E07F98">
        <w:tc>
          <w:tcPr>
            <w:tcW w:w="4338" w:type="dxa"/>
          </w:tcPr>
          <w:p w:rsidR="00E07F98" w:rsidRPr="00B72CEA" w:rsidRDefault="00E07F98" w:rsidP="00E07F98">
            <w:pPr>
              <w:rPr>
                <w:rFonts w:ascii="Arial Narrow" w:hAnsi="Arial Narrow"/>
              </w:rPr>
            </w:pPr>
            <w:r w:rsidRPr="00B72CEA">
              <w:rPr>
                <w:rFonts w:ascii="Arial Narrow" w:hAnsi="Arial Narrow"/>
              </w:rPr>
              <w:t>Other liabilities</w:t>
            </w:r>
          </w:p>
        </w:tc>
        <w:tc>
          <w:tcPr>
            <w:tcW w:w="2070" w:type="dxa"/>
          </w:tcPr>
          <w:p w:rsidR="00E07F98" w:rsidRPr="00B72CEA" w:rsidRDefault="00E07F98" w:rsidP="00CD3CAD">
            <w:pPr>
              <w:jc w:val="center"/>
              <w:rPr>
                <w:rFonts w:ascii="Arial Narrow" w:hAnsi="Arial Narrow"/>
              </w:rPr>
            </w:pPr>
            <w:r w:rsidRPr="00B72CEA">
              <w:rPr>
                <w:rFonts w:ascii="Arial Narrow" w:hAnsi="Arial Narrow"/>
              </w:rPr>
              <w:t>151,228</w:t>
            </w:r>
          </w:p>
        </w:tc>
        <w:tc>
          <w:tcPr>
            <w:tcW w:w="1890" w:type="dxa"/>
          </w:tcPr>
          <w:p w:rsidR="00E07F98" w:rsidRPr="00B72CEA" w:rsidRDefault="00E07F98" w:rsidP="00CD3CAD">
            <w:pPr>
              <w:jc w:val="center"/>
              <w:rPr>
                <w:rFonts w:ascii="Arial Narrow" w:hAnsi="Arial Narrow"/>
              </w:rPr>
            </w:pPr>
            <w:r w:rsidRPr="00B72CEA">
              <w:rPr>
                <w:rFonts w:ascii="Arial Narrow" w:hAnsi="Arial Narrow"/>
              </w:rPr>
              <w:t>175,757</w:t>
            </w:r>
          </w:p>
        </w:tc>
        <w:tc>
          <w:tcPr>
            <w:tcW w:w="1278" w:type="dxa"/>
          </w:tcPr>
          <w:p w:rsidR="00E07F98" w:rsidRPr="00B72CEA" w:rsidRDefault="00E07F98" w:rsidP="00CD3CAD">
            <w:pPr>
              <w:jc w:val="center"/>
              <w:rPr>
                <w:rFonts w:ascii="Arial Narrow" w:hAnsi="Arial Narrow"/>
              </w:rPr>
            </w:pPr>
            <w:r w:rsidRPr="00B72CEA">
              <w:rPr>
                <w:rFonts w:ascii="Arial Narrow" w:hAnsi="Arial Narrow"/>
              </w:rPr>
              <w:t>16.2%</w:t>
            </w:r>
          </w:p>
        </w:tc>
      </w:tr>
      <w:tr w:rsidR="00E07F98" w:rsidRPr="00B72CEA" w:rsidTr="00E07F98">
        <w:tc>
          <w:tcPr>
            <w:tcW w:w="4338" w:type="dxa"/>
          </w:tcPr>
          <w:p w:rsidR="00E07F98" w:rsidRPr="00B72CEA" w:rsidRDefault="00E07F98" w:rsidP="00E07F98">
            <w:pPr>
              <w:rPr>
                <w:rFonts w:ascii="Arial Narrow" w:hAnsi="Arial Narrow"/>
              </w:rPr>
            </w:pPr>
            <w:r w:rsidRPr="00B72CEA">
              <w:rPr>
                <w:rFonts w:ascii="Arial Narrow" w:hAnsi="Arial Narrow"/>
              </w:rPr>
              <w:t>Capital and reserves</w:t>
            </w:r>
          </w:p>
        </w:tc>
        <w:tc>
          <w:tcPr>
            <w:tcW w:w="2070" w:type="dxa"/>
          </w:tcPr>
          <w:p w:rsidR="00E07F98" w:rsidRPr="00B72CEA" w:rsidRDefault="00E07F98" w:rsidP="00CD3CAD">
            <w:pPr>
              <w:jc w:val="center"/>
              <w:rPr>
                <w:rFonts w:ascii="Arial Narrow" w:hAnsi="Arial Narrow"/>
              </w:rPr>
            </w:pPr>
            <w:r w:rsidRPr="00B72CEA">
              <w:rPr>
                <w:rFonts w:ascii="Arial Narrow" w:hAnsi="Arial Narrow"/>
              </w:rPr>
              <w:t>196,250</w:t>
            </w:r>
          </w:p>
        </w:tc>
        <w:tc>
          <w:tcPr>
            <w:tcW w:w="1890" w:type="dxa"/>
          </w:tcPr>
          <w:p w:rsidR="00E07F98" w:rsidRPr="00B72CEA" w:rsidRDefault="00E07F98" w:rsidP="00CD3CAD">
            <w:pPr>
              <w:jc w:val="center"/>
              <w:rPr>
                <w:rFonts w:ascii="Arial Narrow" w:hAnsi="Arial Narrow"/>
              </w:rPr>
            </w:pPr>
            <w:r w:rsidRPr="00B72CEA">
              <w:rPr>
                <w:rFonts w:ascii="Arial Narrow" w:hAnsi="Arial Narrow"/>
              </w:rPr>
              <w:t>265,806</w:t>
            </w:r>
          </w:p>
        </w:tc>
        <w:tc>
          <w:tcPr>
            <w:tcW w:w="1278" w:type="dxa"/>
          </w:tcPr>
          <w:p w:rsidR="00E07F98" w:rsidRPr="00B72CEA" w:rsidRDefault="0004363C" w:rsidP="00CD3CAD">
            <w:pPr>
              <w:jc w:val="center"/>
              <w:rPr>
                <w:rFonts w:ascii="Arial Narrow" w:hAnsi="Arial Narrow"/>
              </w:rPr>
            </w:pPr>
            <w:r w:rsidRPr="00B72CEA">
              <w:rPr>
                <w:rFonts w:ascii="Arial Narrow" w:hAnsi="Arial Narrow"/>
              </w:rPr>
              <w:t>35.4%</w:t>
            </w:r>
          </w:p>
        </w:tc>
      </w:tr>
      <w:tr w:rsidR="00E07F98" w:rsidRPr="00B72CEA" w:rsidTr="00E07F98">
        <w:tc>
          <w:tcPr>
            <w:tcW w:w="4338" w:type="dxa"/>
          </w:tcPr>
          <w:p w:rsidR="00E07F98" w:rsidRPr="00B72CEA" w:rsidRDefault="00E07F98" w:rsidP="00CD3CAD">
            <w:pPr>
              <w:jc w:val="center"/>
              <w:rPr>
                <w:rFonts w:ascii="Arial Narrow" w:hAnsi="Arial Narrow"/>
                <w:b/>
                <w:u w:val="single"/>
              </w:rPr>
            </w:pPr>
            <w:r w:rsidRPr="00B72CEA">
              <w:rPr>
                <w:rFonts w:ascii="Arial Narrow" w:hAnsi="Arial Narrow"/>
                <w:b/>
                <w:u w:val="single"/>
              </w:rPr>
              <w:t>TOTAL LIABILITIES &amp; SHAREHOLDERS FUNDS</w:t>
            </w:r>
          </w:p>
        </w:tc>
        <w:tc>
          <w:tcPr>
            <w:tcW w:w="2070" w:type="dxa"/>
          </w:tcPr>
          <w:p w:rsidR="00E07F98" w:rsidRPr="00B72CEA" w:rsidRDefault="00E07F98" w:rsidP="00CD3CAD">
            <w:pPr>
              <w:jc w:val="center"/>
              <w:rPr>
                <w:rFonts w:ascii="Arial Narrow" w:hAnsi="Arial Narrow"/>
                <w:b/>
                <w:u w:val="single"/>
              </w:rPr>
            </w:pPr>
            <w:r w:rsidRPr="00B72CEA">
              <w:rPr>
                <w:rFonts w:ascii="Arial Narrow" w:hAnsi="Arial Narrow"/>
                <w:b/>
                <w:u w:val="single"/>
              </w:rPr>
              <w:t>1,353,499</w:t>
            </w:r>
          </w:p>
        </w:tc>
        <w:tc>
          <w:tcPr>
            <w:tcW w:w="1890" w:type="dxa"/>
          </w:tcPr>
          <w:p w:rsidR="00E07F98" w:rsidRPr="00B72CEA" w:rsidRDefault="00E07F98" w:rsidP="00CD3CAD">
            <w:pPr>
              <w:jc w:val="center"/>
              <w:rPr>
                <w:rFonts w:ascii="Arial Narrow" w:hAnsi="Arial Narrow"/>
                <w:b/>
                <w:u w:val="single"/>
              </w:rPr>
            </w:pPr>
            <w:r w:rsidRPr="00B72CEA">
              <w:rPr>
                <w:rFonts w:ascii="Arial Narrow" w:hAnsi="Arial Narrow"/>
                <w:b/>
                <w:u w:val="single"/>
              </w:rPr>
              <w:t>1,678,112</w:t>
            </w:r>
          </w:p>
        </w:tc>
        <w:tc>
          <w:tcPr>
            <w:tcW w:w="1278" w:type="dxa"/>
          </w:tcPr>
          <w:p w:rsidR="00E07F98" w:rsidRPr="00B72CEA" w:rsidRDefault="0004363C" w:rsidP="00CD3CAD">
            <w:pPr>
              <w:jc w:val="center"/>
              <w:rPr>
                <w:rFonts w:ascii="Arial Narrow" w:hAnsi="Arial Narrow"/>
                <w:b/>
                <w:u w:val="single"/>
              </w:rPr>
            </w:pPr>
            <w:r w:rsidRPr="00B72CEA">
              <w:rPr>
                <w:rFonts w:ascii="Arial Narrow" w:hAnsi="Arial Narrow"/>
                <w:b/>
                <w:u w:val="single"/>
              </w:rPr>
              <w:t>24.0%</w:t>
            </w:r>
          </w:p>
        </w:tc>
      </w:tr>
    </w:tbl>
    <w:p w:rsidR="00CD3CAD" w:rsidRPr="00B72CEA" w:rsidRDefault="0004363C" w:rsidP="0004363C">
      <w:pPr>
        <w:rPr>
          <w:rFonts w:ascii="Arial Narrow" w:hAnsi="Arial Narrow"/>
        </w:rPr>
      </w:pPr>
      <w:r w:rsidRPr="00B72CEA">
        <w:rPr>
          <w:rFonts w:ascii="Arial Narrow" w:hAnsi="Arial Narrow"/>
          <w:b/>
          <w:u w:val="single"/>
        </w:rPr>
        <w:t>Source</w:t>
      </w:r>
      <w:r w:rsidRPr="00B72CEA">
        <w:rPr>
          <w:rFonts w:ascii="Arial Narrow" w:hAnsi="Arial Narrow"/>
        </w:rPr>
        <w:t>: CBK Bank supervision report, 2010</w:t>
      </w:r>
    </w:p>
    <w:p w:rsidR="0004363C" w:rsidRDefault="00026BF9" w:rsidP="00026BF9">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An </w:t>
      </w:r>
      <w:r w:rsidRPr="00B72CEA">
        <w:rPr>
          <w:rFonts w:ascii="Arial Narrow" w:eastAsia="Minion-Regular" w:hAnsi="Arial Narrow" w:cs="Minion-Bold"/>
          <w:b/>
          <w:bCs/>
        </w:rPr>
        <w:t xml:space="preserve">asset </w:t>
      </w:r>
      <w:r w:rsidRPr="00B72CEA">
        <w:rPr>
          <w:rFonts w:ascii="Arial Narrow" w:eastAsia="Minion-Regular" w:hAnsi="Arial Narrow" w:cs="Minion-Regular"/>
        </w:rPr>
        <w:t xml:space="preserve">is something of value that an individual or a firm owns. A </w:t>
      </w:r>
      <w:r w:rsidRPr="00B72CEA">
        <w:rPr>
          <w:rFonts w:ascii="Arial Narrow" w:eastAsia="Minion-Regular" w:hAnsi="Arial Narrow" w:cs="Minion-Bold"/>
          <w:b/>
          <w:bCs/>
        </w:rPr>
        <w:t xml:space="preserve">liability </w:t>
      </w:r>
      <w:r w:rsidRPr="00B72CEA">
        <w:rPr>
          <w:rFonts w:ascii="Arial Narrow" w:eastAsia="Minion-Regular" w:hAnsi="Arial Narrow" w:cs="Minion-Regular"/>
        </w:rPr>
        <w:t xml:space="preserve">is something that an individual or a firm owes, or, in other words, a claim on an individual or a firm. </w:t>
      </w:r>
      <w:r w:rsidRPr="00B72CEA">
        <w:rPr>
          <w:rFonts w:ascii="Arial Narrow" w:eastAsia="Minion-Regular" w:hAnsi="Arial Narrow" w:cs="Minion-Italic"/>
          <w:i/>
          <w:iCs/>
        </w:rPr>
        <w:t xml:space="preserve">Shareholders’ equity </w:t>
      </w:r>
      <w:r w:rsidRPr="00B72CEA">
        <w:rPr>
          <w:rFonts w:ascii="Arial Narrow" w:eastAsia="Minion-Regular" w:hAnsi="Arial Narrow" w:cs="Minion-Regular"/>
        </w:rPr>
        <w:t xml:space="preserve">is the difference between the value of a firm’s assets and the value of its liabilities. Shareholders’ equity represents the amount the owners of the firm would be left with if the firm were to be closed, its assets sold, and its liabilities paid off. For a public firm, the owners are the shareholders. Shareholders’ equity is also referred to as the firm’s </w:t>
      </w:r>
      <w:r w:rsidRPr="00B72CEA">
        <w:rPr>
          <w:rFonts w:ascii="Arial Narrow" w:eastAsia="Minion-Regular" w:hAnsi="Arial Narrow" w:cs="Minion-Italic"/>
          <w:i/>
          <w:iCs/>
        </w:rPr>
        <w:t>net worth</w:t>
      </w:r>
      <w:r w:rsidRPr="00B72CEA">
        <w:rPr>
          <w:rFonts w:ascii="Arial Narrow" w:eastAsia="Minion-Regular" w:hAnsi="Arial Narrow" w:cs="Minion-Regular"/>
        </w:rPr>
        <w:t xml:space="preserve">. In banking, shareholders’ equity is usually called </w:t>
      </w:r>
      <w:r w:rsidRPr="00B72CEA">
        <w:rPr>
          <w:rFonts w:ascii="Arial Narrow" w:eastAsia="Minion-Regular" w:hAnsi="Arial Narrow" w:cs="Minion-Bold"/>
          <w:b/>
          <w:bCs/>
        </w:rPr>
        <w:t>bank capital</w:t>
      </w:r>
      <w:r w:rsidRPr="00B72CEA">
        <w:rPr>
          <w:rFonts w:ascii="Arial Narrow" w:eastAsia="Minion-Regular" w:hAnsi="Arial Narrow" w:cs="Minion-Regular"/>
        </w:rPr>
        <w:t>. Bank capital is the funds contributed by the shareholders through their purchases of the bank’s shares of stock plus the bank’s accumulated, retained profits. The accounting equation tells us that the left side of a firm’s balance sheet must always have the same value as the right side. We can think of a bank’s liabilities and its capital as the sources of its funds, and we can think of a bank’s assets as the uses of its funds.</w:t>
      </w:r>
    </w:p>
    <w:p w:rsidR="00D51E67" w:rsidRPr="00B72CEA" w:rsidRDefault="00D51E67" w:rsidP="00026BF9">
      <w:pPr>
        <w:autoSpaceDE w:val="0"/>
        <w:autoSpaceDN w:val="0"/>
        <w:adjustRightInd w:val="0"/>
        <w:spacing w:after="0" w:line="240" w:lineRule="auto"/>
        <w:rPr>
          <w:rFonts w:ascii="Arial Narrow" w:eastAsia="Minion-Regular" w:hAnsi="Arial Narrow" w:cs="Minion-Regular"/>
        </w:rPr>
      </w:pPr>
    </w:p>
    <w:p w:rsidR="00026BF9" w:rsidRPr="00B72CEA" w:rsidRDefault="00026BF9" w:rsidP="00B72CEA">
      <w:pPr>
        <w:pStyle w:val="ListParagraph"/>
        <w:numPr>
          <w:ilvl w:val="0"/>
          <w:numId w:val="3"/>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lastRenderedPageBreak/>
        <w:t>Bank Liabilities</w:t>
      </w:r>
    </w:p>
    <w:p w:rsidR="00026BF9" w:rsidRPr="00B72CEA" w:rsidRDefault="00026BF9" w:rsidP="00026BF9">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The most important bank liabilities are the funds a bank acquires from savers (deposits). The bank uses the funds to makes investments or loans to borrowers. Banks offer a variety of deposit accounts because savers have different needs. Bank deposits offer households and firms certain advantages over other ways in which they might hold their funds. For example, compared with holding cash, deposits offer greater safety against theft and </w:t>
      </w:r>
      <w:proofErr w:type="gramStart"/>
      <w:r w:rsidRPr="00B72CEA">
        <w:rPr>
          <w:rFonts w:ascii="Arial Narrow" w:eastAsia="Minion-Regular" w:hAnsi="Arial Narrow" w:cs="Minion-Regular"/>
        </w:rPr>
        <w:t>may</w:t>
      </w:r>
      <w:proofErr w:type="gramEnd"/>
      <w:r w:rsidRPr="00B72CEA">
        <w:rPr>
          <w:rFonts w:ascii="Arial Narrow" w:eastAsia="Minion-Regular" w:hAnsi="Arial Narrow" w:cs="Minion-Regular"/>
        </w:rPr>
        <w:t xml:space="preserve"> also pay interest. Compared with financial assets such as Treasury bills, deposits are more liquid. Deposits against which checks can be written offer a convenient way to make payments.</w:t>
      </w:r>
    </w:p>
    <w:p w:rsidR="00026BF9" w:rsidRPr="00B72CEA" w:rsidRDefault="00026BF9" w:rsidP="00026BF9">
      <w:pPr>
        <w:autoSpaceDE w:val="0"/>
        <w:autoSpaceDN w:val="0"/>
        <w:adjustRightInd w:val="0"/>
        <w:spacing w:after="0" w:line="240" w:lineRule="auto"/>
        <w:rPr>
          <w:rFonts w:ascii="Arial Narrow" w:eastAsia="Minion-Regular" w:hAnsi="Arial Narrow" w:cs="Minion-Regular"/>
        </w:rPr>
      </w:pPr>
    </w:p>
    <w:p w:rsidR="00026BF9" w:rsidRPr="00607E6F" w:rsidRDefault="00026BF9" w:rsidP="00026BF9">
      <w:pPr>
        <w:pStyle w:val="ListParagraph"/>
        <w:numPr>
          <w:ilvl w:val="0"/>
          <w:numId w:val="4"/>
        </w:numPr>
        <w:autoSpaceDE w:val="0"/>
        <w:autoSpaceDN w:val="0"/>
        <w:adjustRightInd w:val="0"/>
        <w:spacing w:after="0" w:line="240" w:lineRule="auto"/>
        <w:rPr>
          <w:rFonts w:ascii="Arial Narrow" w:eastAsia="Minion-Regular" w:hAnsi="Arial Narrow" w:cs="Minion-Regular"/>
        </w:rPr>
      </w:pPr>
      <w:r w:rsidRPr="00B72CEA">
        <w:rPr>
          <w:rFonts w:ascii="Arial Narrow" w:hAnsi="Arial Narrow" w:cs="Syntax-Black"/>
          <w:b/>
          <w:bCs/>
        </w:rPr>
        <w:t xml:space="preserve">Checkable Deposits </w:t>
      </w:r>
      <w:r w:rsidRPr="00B72CEA">
        <w:rPr>
          <w:rFonts w:ascii="Arial Narrow" w:eastAsia="Minion-Regular" w:hAnsi="Arial Narrow" w:cs="Minion-Regular"/>
        </w:rPr>
        <w:t xml:space="preserve">Banks offer savers </w:t>
      </w:r>
      <w:r w:rsidRPr="00B72CEA">
        <w:rPr>
          <w:rFonts w:ascii="Arial Narrow" w:hAnsi="Arial Narrow" w:cs="Minion-Bold"/>
          <w:b/>
          <w:bCs/>
        </w:rPr>
        <w:t>checkable deposits</w:t>
      </w:r>
      <w:r w:rsidRPr="00B72CEA">
        <w:rPr>
          <w:rFonts w:ascii="Arial Narrow" w:eastAsia="Minion-Regular" w:hAnsi="Arial Narrow" w:cs="Minion-Regular"/>
        </w:rPr>
        <w:t xml:space="preserve">, which are accounts against which depositors can write checks. Checkable deposits are also called </w:t>
      </w:r>
      <w:r w:rsidRPr="00B72CEA">
        <w:rPr>
          <w:rFonts w:ascii="Arial Narrow" w:hAnsi="Arial Narrow" w:cs="Minion-Italic"/>
          <w:i/>
          <w:iCs/>
        </w:rPr>
        <w:t>transaction</w:t>
      </w:r>
      <w:r w:rsidRPr="00B72CEA">
        <w:rPr>
          <w:rFonts w:ascii="Arial Narrow" w:eastAsia="Minion-Regular" w:hAnsi="Arial Narrow" w:cs="Minion-Regular"/>
        </w:rPr>
        <w:t xml:space="preserve"> </w:t>
      </w:r>
      <w:r w:rsidRPr="00B72CEA">
        <w:rPr>
          <w:rFonts w:ascii="Arial Narrow" w:hAnsi="Arial Narrow" w:cs="Minion-Italic"/>
          <w:i/>
          <w:iCs/>
        </w:rPr>
        <w:t xml:space="preserve">deposits. </w:t>
      </w:r>
      <w:r w:rsidRPr="00B72CEA">
        <w:rPr>
          <w:rFonts w:ascii="Arial Narrow" w:eastAsia="Minion-Regular" w:hAnsi="Arial Narrow" w:cs="Minion-Regular"/>
        </w:rPr>
        <w:t xml:space="preserve">Checkable deposits come in many varieties, which are determined partly by banking regulations and partly by the desire of bank managers to tailor the checking accounts they offer to meet the needs of households and firms. </w:t>
      </w:r>
      <w:r w:rsidRPr="00B72CEA">
        <w:rPr>
          <w:rFonts w:ascii="Arial Narrow" w:hAnsi="Arial Narrow" w:cs="Syntax-Black"/>
          <w:b/>
          <w:bCs/>
        </w:rPr>
        <w:t xml:space="preserve">Non-transaction Deposits </w:t>
      </w:r>
      <w:r w:rsidRPr="00B72CEA">
        <w:rPr>
          <w:rFonts w:ascii="Arial Narrow" w:eastAsia="Minion-Regular" w:hAnsi="Arial Narrow" w:cs="Minion-Regular"/>
        </w:rPr>
        <w:t xml:space="preserve">Savers use only some of their deposits for day-to-day transactions. Banks offer </w:t>
      </w:r>
      <w:r w:rsidRPr="00B72CEA">
        <w:rPr>
          <w:rFonts w:ascii="Arial Narrow" w:hAnsi="Arial Narrow" w:cs="Minion-Italic"/>
          <w:i/>
          <w:iCs/>
        </w:rPr>
        <w:t xml:space="preserve">non-transaction deposits </w:t>
      </w:r>
      <w:r w:rsidRPr="00B72CEA">
        <w:rPr>
          <w:rFonts w:ascii="Arial Narrow" w:eastAsia="Minion-Regular" w:hAnsi="Arial Narrow" w:cs="Minion-Regular"/>
        </w:rPr>
        <w:t xml:space="preserve">for savers who are willing to sacrifice immediate access to their funds in exchange for higher interest payments. The most important types of non-transaction deposits are savings accounts, money market deposit accounts (MMDAs), and fixed/ </w:t>
      </w:r>
      <w:r w:rsidRPr="00B72CEA">
        <w:rPr>
          <w:rFonts w:ascii="Arial Narrow" w:hAnsi="Arial Narrow" w:cs="Minion-Italic"/>
          <w:i/>
          <w:iCs/>
        </w:rPr>
        <w:t>time deposits</w:t>
      </w:r>
      <w:r w:rsidRPr="00B72CEA">
        <w:rPr>
          <w:rFonts w:ascii="Arial Narrow" w:eastAsia="Minion-Regular" w:hAnsi="Arial Narrow" w:cs="Minion-Regular"/>
        </w:rPr>
        <w:t xml:space="preserve">, or certificates of deposit (CDs).With savings accounts— which at one time were generally called </w:t>
      </w:r>
      <w:r w:rsidRPr="00B72CEA">
        <w:rPr>
          <w:rFonts w:ascii="Arial Narrow" w:hAnsi="Arial Narrow" w:cs="Minion-Italic"/>
          <w:i/>
          <w:iCs/>
        </w:rPr>
        <w:t>passbook accounts</w:t>
      </w:r>
      <w:r w:rsidRPr="00B72CEA">
        <w:rPr>
          <w:rFonts w:ascii="Arial Narrow" w:eastAsia="Minion-Regular" w:hAnsi="Arial Narrow" w:cs="Minion-Regular"/>
        </w:rPr>
        <w:t>—depositors must give the bank notice for a withdrawal.</w:t>
      </w:r>
    </w:p>
    <w:p w:rsidR="00C149D8" w:rsidRPr="00607E6F" w:rsidRDefault="00026BF9" w:rsidP="00823E9F">
      <w:pPr>
        <w:pStyle w:val="ListParagraph"/>
        <w:numPr>
          <w:ilvl w:val="0"/>
          <w:numId w:val="4"/>
        </w:numPr>
        <w:autoSpaceDE w:val="0"/>
        <w:autoSpaceDN w:val="0"/>
        <w:adjustRightInd w:val="0"/>
        <w:spacing w:after="0" w:line="240" w:lineRule="auto"/>
        <w:rPr>
          <w:rFonts w:ascii="Arial Narrow" w:eastAsia="Minion-Regular" w:hAnsi="Arial Narrow" w:cs="Minion-Regular"/>
        </w:rPr>
      </w:pPr>
      <w:r w:rsidRPr="00B72CEA">
        <w:rPr>
          <w:rFonts w:ascii="Arial Narrow" w:hAnsi="Arial Narrow" w:cs="Syntax-Black"/>
          <w:b/>
          <w:bCs/>
        </w:rPr>
        <w:t xml:space="preserve">Borrowings </w:t>
      </w:r>
      <w:r w:rsidRPr="00B72CEA">
        <w:rPr>
          <w:rFonts w:ascii="Arial Narrow" w:eastAsia="Minion-Regular" w:hAnsi="Arial Narrow" w:cs="Minion-Regular"/>
        </w:rPr>
        <w:t>Banks often have more opportunities to make loans than they can finance with funds they attract from depositors. To take advantage of these opportunities, banks raise funds by borrowing. A bank can earn a profit from this borrowing if the</w:t>
      </w:r>
      <w:r w:rsidR="00823E9F" w:rsidRPr="00B72CEA">
        <w:rPr>
          <w:rFonts w:ascii="Arial Narrow" w:eastAsia="Minion-Regular" w:hAnsi="Arial Narrow" w:cs="Minion-Regular"/>
        </w:rPr>
        <w:t xml:space="preserve"> interest rate it pays to borrow funds is lower than the interest it earns by lending the funds to businesses and consumers. Borrowings include short-term loans from a bank’s foreign branches or other subsidiaries or affiliates, repurchase agreements, and </w:t>
      </w:r>
      <w:r w:rsidR="00823E9F" w:rsidRPr="00B72CEA">
        <w:rPr>
          <w:rFonts w:ascii="Arial Narrow" w:eastAsia="Minion-Regular" w:hAnsi="Arial Narrow" w:cs="Minion-Italic"/>
          <w:i/>
          <w:iCs/>
        </w:rPr>
        <w:t xml:space="preserve">discount loans </w:t>
      </w:r>
      <w:r w:rsidR="00823E9F" w:rsidRPr="00B72CEA">
        <w:rPr>
          <w:rFonts w:ascii="Arial Narrow" w:eastAsia="Minion-Regular" w:hAnsi="Arial Narrow" w:cs="Minion-Regular"/>
        </w:rPr>
        <w:t xml:space="preserve">from the central bank. The interbank market is the market in which banks make short-term loans—often just overnight—to other banks. The interest rate on these interbank loans is called the interbank </w:t>
      </w:r>
      <w:r w:rsidR="00823E9F" w:rsidRPr="00B72CEA">
        <w:rPr>
          <w:rFonts w:ascii="Arial Narrow" w:eastAsia="Minion-Regular" w:hAnsi="Arial Narrow" w:cs="Minion-Italic"/>
          <w:i/>
          <w:iCs/>
        </w:rPr>
        <w:t>rate</w:t>
      </w:r>
      <w:r w:rsidR="00823E9F" w:rsidRPr="00B72CEA">
        <w:rPr>
          <w:rFonts w:ascii="Arial Narrow" w:eastAsia="Minion-Regular" w:hAnsi="Arial Narrow" w:cs="Minion-Regular"/>
        </w:rPr>
        <w:t xml:space="preserve">. With </w:t>
      </w:r>
      <w:r w:rsidR="00823E9F" w:rsidRPr="00B72CEA">
        <w:rPr>
          <w:rFonts w:ascii="Arial Narrow" w:eastAsia="Minion-Regular" w:hAnsi="Arial Narrow" w:cs="Minion-Italic"/>
          <w:i/>
          <w:iCs/>
        </w:rPr>
        <w:t>repurchase agreements—</w:t>
      </w:r>
      <w:r w:rsidR="00823E9F" w:rsidRPr="00B72CEA">
        <w:rPr>
          <w:rFonts w:ascii="Arial Narrow" w:eastAsia="Minion-Regular" w:hAnsi="Arial Narrow" w:cs="Minion-Regular"/>
        </w:rPr>
        <w:t xml:space="preserve">otherwise known as “repos,” or RPs—banks sell securities, such as Treasury bills, and agree to repurchase them, typically the next day. Banks use repos to borrow funds from business firms or other banks, using the underlying securities as collateral. A corporation or another bank that buys the securities earns interest without any significant loss of liquidity. Repos are typically between large banks or corporations, so the degree of </w:t>
      </w:r>
      <w:r w:rsidR="00823E9F" w:rsidRPr="00B72CEA">
        <w:rPr>
          <w:rFonts w:ascii="Arial Narrow" w:eastAsia="Minion-Regular" w:hAnsi="Arial Narrow" w:cs="Minion-Italic"/>
          <w:i/>
          <w:iCs/>
        </w:rPr>
        <w:t>counterparty risk</w:t>
      </w:r>
      <w:r w:rsidR="00823E9F" w:rsidRPr="00B72CEA">
        <w:rPr>
          <w:rFonts w:ascii="Arial Narrow" w:eastAsia="Minion-Regular" w:hAnsi="Arial Narrow" w:cs="Minion-Regular"/>
        </w:rPr>
        <w:t xml:space="preserve">, or the risk that the other party to the transaction will default on its obligation, had been considered to be small. But during the financial crisis of 2008, it became clear that even a large firm might be quickly forced into bankruptcy, leaving the counterparties to its repos to suffer significant losses or a delay in accessing their funds, or both. </w:t>
      </w:r>
    </w:p>
    <w:p w:rsidR="00C149D8" w:rsidRPr="00B72CEA" w:rsidRDefault="00C149D8" w:rsidP="00B72CEA">
      <w:pPr>
        <w:pStyle w:val="ListParagraph"/>
        <w:numPr>
          <w:ilvl w:val="0"/>
          <w:numId w:val="3"/>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Bank Assets</w:t>
      </w:r>
    </w:p>
    <w:p w:rsidR="00C149D8" w:rsidRPr="00B72CEA" w:rsidRDefault="00C149D8" w:rsidP="00C149D8">
      <w:pPr>
        <w:autoSpaceDE w:val="0"/>
        <w:autoSpaceDN w:val="0"/>
        <w:adjustRightInd w:val="0"/>
        <w:spacing w:after="0" w:line="240" w:lineRule="auto"/>
        <w:rPr>
          <w:rFonts w:ascii="Arial Narrow" w:eastAsia="Minion-Regular" w:hAnsi="Arial Narrow" w:cs="Minion-Regular"/>
        </w:rPr>
      </w:pPr>
      <w:r w:rsidRPr="00B72CEA">
        <w:rPr>
          <w:rFonts w:ascii="Arial Narrow" w:hAnsi="Arial Narrow" w:cs="Minion-Italic"/>
          <w:i/>
          <w:iCs/>
        </w:rPr>
        <w:t xml:space="preserve">Bank assets </w:t>
      </w:r>
      <w:r w:rsidRPr="00B72CEA">
        <w:rPr>
          <w:rFonts w:ascii="Arial Narrow" w:eastAsia="Minion-Regular" w:hAnsi="Arial Narrow" w:cs="Minion-Regular"/>
        </w:rPr>
        <w:t>are acquired by banks with the funds they receive from depositors, with funds they borrow, with funds they acquired initially from their shareholders, and with profits they retain from their operations. A bank’s managers build a portfolio of assets that reflect both the demand for loans by the bank’s customers and the bank’s need to balance returns against risk, liquidity, and information costs. We now discuss the key bank assets.</w:t>
      </w:r>
    </w:p>
    <w:p w:rsidR="00C149D8" w:rsidRPr="00B72CEA" w:rsidRDefault="00C149D8" w:rsidP="00B72CEA">
      <w:pPr>
        <w:pStyle w:val="ListParagraph"/>
        <w:numPr>
          <w:ilvl w:val="0"/>
          <w:numId w:val="5"/>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 xml:space="preserve">Reserves and Other Cash Assets </w:t>
      </w:r>
    </w:p>
    <w:p w:rsidR="00C149D8" w:rsidRPr="00B72CEA" w:rsidRDefault="00C149D8" w:rsidP="00B72CEA">
      <w:pPr>
        <w:autoSpaceDE w:val="0"/>
        <w:autoSpaceDN w:val="0"/>
        <w:adjustRightInd w:val="0"/>
        <w:spacing w:after="0" w:line="240" w:lineRule="auto"/>
        <w:ind w:left="720"/>
        <w:rPr>
          <w:rFonts w:ascii="Arial Narrow" w:eastAsia="Minion-Regular" w:hAnsi="Arial Narrow" w:cs="Minion-Regular"/>
        </w:rPr>
      </w:pPr>
      <w:r w:rsidRPr="00B72CEA">
        <w:rPr>
          <w:rFonts w:ascii="Arial Narrow" w:eastAsia="Minion-Regular" w:hAnsi="Arial Narrow" w:cs="Minion-Regular"/>
        </w:rPr>
        <w:t xml:space="preserve">The most liquid asset that banks hold is </w:t>
      </w:r>
      <w:r w:rsidRPr="00B72CEA">
        <w:rPr>
          <w:rFonts w:ascii="Arial Narrow" w:hAnsi="Arial Narrow" w:cs="Minion-Bold"/>
          <w:b/>
          <w:bCs/>
        </w:rPr>
        <w:t>reserves</w:t>
      </w:r>
      <w:r w:rsidRPr="00B72CEA">
        <w:rPr>
          <w:rFonts w:ascii="Arial Narrow" w:eastAsia="Minion-Regular" w:hAnsi="Arial Narrow" w:cs="Minion-Regular"/>
        </w:rPr>
        <w:t xml:space="preserve">, which consist of </w:t>
      </w:r>
      <w:r w:rsidRPr="00B72CEA">
        <w:rPr>
          <w:rFonts w:ascii="Arial Narrow" w:hAnsi="Arial Narrow" w:cs="Minion-Bold"/>
          <w:b/>
          <w:bCs/>
        </w:rPr>
        <w:t>vault cash</w:t>
      </w:r>
      <w:r w:rsidRPr="00B72CEA">
        <w:rPr>
          <w:rFonts w:ascii="Arial Narrow" w:eastAsia="Minion-Regular" w:hAnsi="Arial Narrow" w:cs="Minion-Regular"/>
        </w:rPr>
        <w:t xml:space="preserve">—cash on hand in the bank (including ATMs) or in deposits at other banks—and deposits banks have with the Central bank. The CBK mandates that banks hold a percentage of their demand deposits and NOW accounts as </w:t>
      </w:r>
      <w:r w:rsidRPr="00B72CEA">
        <w:rPr>
          <w:rFonts w:ascii="Arial Narrow" w:hAnsi="Arial Narrow" w:cs="Minion-Bold"/>
          <w:b/>
          <w:bCs/>
        </w:rPr>
        <w:t>required reserves</w:t>
      </w:r>
      <w:r w:rsidRPr="00B72CEA">
        <w:rPr>
          <w:rFonts w:ascii="Arial Narrow" w:eastAsia="Minion-Regular" w:hAnsi="Arial Narrow" w:cs="Minion-Regular"/>
        </w:rPr>
        <w:t xml:space="preserve">. Reserves that banks hold over and above those that are required are called </w:t>
      </w:r>
      <w:r w:rsidRPr="00B72CEA">
        <w:rPr>
          <w:rFonts w:ascii="Arial Narrow" w:hAnsi="Arial Narrow" w:cs="Minion-Bold"/>
          <w:b/>
          <w:bCs/>
        </w:rPr>
        <w:t>excess reserves</w:t>
      </w:r>
      <w:r w:rsidRPr="00B72CEA">
        <w:rPr>
          <w:rFonts w:ascii="Arial Narrow" w:eastAsia="Minion-Regular" w:hAnsi="Arial Narrow" w:cs="Minion-Regular"/>
        </w:rPr>
        <w:t>. Banks had long complained that the CBK’s failure to pay interest on the banks’</w:t>
      </w:r>
      <w:r w:rsidRPr="00B72CEA">
        <w:rPr>
          <w:rFonts w:ascii="Arial Narrow" w:hAnsi="Arial Narrow" w:cs="Minion-Bold"/>
          <w:b/>
          <w:bCs/>
        </w:rPr>
        <w:t xml:space="preserve"> </w:t>
      </w:r>
      <w:r w:rsidRPr="00B72CEA">
        <w:rPr>
          <w:rFonts w:ascii="Arial Narrow" w:eastAsia="Minion-Regular" w:hAnsi="Arial Narrow" w:cs="Minion-Regular"/>
        </w:rPr>
        <w:t>reserve deposits amounted to a tax because, at least with respect to required reserves,</w:t>
      </w:r>
      <w:r w:rsidRPr="00B72CEA">
        <w:rPr>
          <w:rFonts w:ascii="Arial Narrow" w:hAnsi="Arial Narrow" w:cs="Minion-Bold"/>
          <w:b/>
          <w:bCs/>
        </w:rPr>
        <w:t xml:space="preserve"> </w:t>
      </w:r>
      <w:r w:rsidRPr="00B72CEA">
        <w:rPr>
          <w:rFonts w:ascii="Arial Narrow" w:eastAsia="Minion-Regular" w:hAnsi="Arial Narrow" w:cs="Minion-Regular"/>
        </w:rPr>
        <w:t>banks earned no interest on funds they could otherwise have used to make loans or</w:t>
      </w:r>
      <w:r w:rsidRPr="00B72CEA">
        <w:rPr>
          <w:rFonts w:ascii="Arial Narrow" w:hAnsi="Arial Narrow" w:cs="Minion-Bold"/>
          <w:b/>
          <w:bCs/>
        </w:rPr>
        <w:t xml:space="preserve"> </w:t>
      </w:r>
      <w:r w:rsidRPr="00B72CEA">
        <w:rPr>
          <w:rFonts w:ascii="Arial Narrow" w:eastAsia="Minion-Regular" w:hAnsi="Arial Narrow" w:cs="Minion-Regular"/>
        </w:rPr>
        <w:t xml:space="preserve">purchase securities. </w:t>
      </w:r>
    </w:p>
    <w:p w:rsidR="00C149D8" w:rsidRPr="00B72CEA" w:rsidRDefault="00C149D8" w:rsidP="00C149D8">
      <w:pPr>
        <w:autoSpaceDE w:val="0"/>
        <w:autoSpaceDN w:val="0"/>
        <w:adjustRightInd w:val="0"/>
        <w:spacing w:after="0" w:line="240" w:lineRule="auto"/>
        <w:rPr>
          <w:rFonts w:ascii="Arial Narrow" w:eastAsia="Minion-Regular" w:hAnsi="Arial Narrow" w:cs="Minion-Regular"/>
        </w:rPr>
      </w:pPr>
    </w:p>
    <w:p w:rsidR="00C149D8" w:rsidRPr="00B72CEA" w:rsidRDefault="00C149D8" w:rsidP="00B72CEA">
      <w:pPr>
        <w:pStyle w:val="ListParagraph"/>
        <w:numPr>
          <w:ilvl w:val="0"/>
          <w:numId w:val="5"/>
        </w:numPr>
        <w:autoSpaceDE w:val="0"/>
        <w:autoSpaceDN w:val="0"/>
        <w:adjustRightInd w:val="0"/>
        <w:spacing w:after="0" w:line="240" w:lineRule="auto"/>
        <w:rPr>
          <w:rFonts w:ascii="Arial Narrow" w:hAnsi="Arial Narrow" w:cs="Minion-Italic"/>
          <w:i/>
          <w:iCs/>
        </w:rPr>
      </w:pPr>
      <w:r w:rsidRPr="00B72CEA">
        <w:rPr>
          <w:rFonts w:ascii="Arial Narrow" w:hAnsi="Arial Narrow" w:cs="Syntax-Black"/>
          <w:b/>
          <w:bCs/>
        </w:rPr>
        <w:t xml:space="preserve">Securities </w:t>
      </w:r>
      <w:r w:rsidRPr="00B72CEA">
        <w:rPr>
          <w:rFonts w:ascii="Arial Narrow" w:hAnsi="Arial Narrow" w:cs="Minion-Italic"/>
          <w:i/>
          <w:iCs/>
        </w:rPr>
        <w:t xml:space="preserve">Marketable securities </w:t>
      </w:r>
    </w:p>
    <w:p w:rsidR="00C149D8" w:rsidRPr="00B72CEA" w:rsidRDefault="00387F66" w:rsidP="00B72CEA">
      <w:pPr>
        <w:autoSpaceDE w:val="0"/>
        <w:autoSpaceDN w:val="0"/>
        <w:adjustRightInd w:val="0"/>
        <w:spacing w:after="0" w:line="240" w:lineRule="auto"/>
        <w:ind w:left="720"/>
        <w:rPr>
          <w:rFonts w:ascii="Arial Narrow" w:eastAsia="Minion-Regular" w:hAnsi="Arial Narrow" w:cs="Minion-Regular"/>
        </w:rPr>
      </w:pPr>
      <w:r w:rsidRPr="00B72CEA">
        <w:rPr>
          <w:rFonts w:ascii="Arial Narrow" w:eastAsia="Minion-Regular" w:hAnsi="Arial Narrow" w:cs="Minion-Regular"/>
        </w:rPr>
        <w:t xml:space="preserve">These </w:t>
      </w:r>
      <w:r w:rsidR="00C149D8" w:rsidRPr="00B72CEA">
        <w:rPr>
          <w:rFonts w:ascii="Arial Narrow" w:eastAsia="Minion-Regular" w:hAnsi="Arial Narrow" w:cs="Minion-Regular"/>
        </w:rPr>
        <w:t xml:space="preserve">are liquid assets that banks trade in financial markets. Banks are allowed to hold securities issued by the </w:t>
      </w:r>
      <w:r w:rsidRPr="00B72CEA">
        <w:rPr>
          <w:rFonts w:ascii="Arial Narrow" w:eastAsia="Minion-Regular" w:hAnsi="Arial Narrow" w:cs="Minion-Regular"/>
        </w:rPr>
        <w:t xml:space="preserve">Government </w:t>
      </w:r>
      <w:r w:rsidR="00C149D8" w:rsidRPr="00B72CEA">
        <w:rPr>
          <w:rFonts w:ascii="Arial Narrow" w:eastAsia="Minion-Regular" w:hAnsi="Arial Narrow" w:cs="Minion-Regular"/>
        </w:rPr>
        <w:t xml:space="preserve">and other government agencies, corporate bonds that received investment-grade ratings when they were first issued, and some limited amounts of municipal bonds, which are bonds issued by state and local governments. Because of their liquidity, bank holdings of </w:t>
      </w:r>
      <w:r w:rsidRPr="00B72CEA">
        <w:rPr>
          <w:rFonts w:ascii="Arial Narrow" w:eastAsia="Minion-Regular" w:hAnsi="Arial Narrow" w:cs="Minion-Regular"/>
        </w:rPr>
        <w:t>Government</w:t>
      </w:r>
      <w:r w:rsidR="00C149D8" w:rsidRPr="00B72CEA">
        <w:rPr>
          <w:rFonts w:ascii="Arial Narrow" w:eastAsia="Minion-Regular" w:hAnsi="Arial Narrow" w:cs="Minion-Regular"/>
        </w:rPr>
        <w:t xml:space="preserve"> Treasury securities are sometimes called </w:t>
      </w:r>
      <w:r w:rsidR="00C149D8" w:rsidRPr="00B72CEA">
        <w:rPr>
          <w:rFonts w:ascii="Arial Narrow" w:hAnsi="Arial Narrow" w:cs="Minion-Italic"/>
          <w:i/>
          <w:iCs/>
        </w:rPr>
        <w:t>secondary reserves</w:t>
      </w:r>
      <w:r w:rsidR="00C149D8" w:rsidRPr="00B72CEA">
        <w:rPr>
          <w:rFonts w:ascii="Arial Narrow" w:eastAsia="Minion-Regular" w:hAnsi="Arial Narrow" w:cs="Minion-Regular"/>
        </w:rPr>
        <w:t xml:space="preserve">. </w:t>
      </w:r>
    </w:p>
    <w:p w:rsidR="00387F66" w:rsidRPr="00B72CEA" w:rsidRDefault="00387F66" w:rsidP="00C149D8">
      <w:pPr>
        <w:autoSpaceDE w:val="0"/>
        <w:autoSpaceDN w:val="0"/>
        <w:adjustRightInd w:val="0"/>
        <w:spacing w:after="0" w:line="240" w:lineRule="auto"/>
        <w:rPr>
          <w:rFonts w:ascii="Arial Narrow" w:eastAsia="Minion-Regular" w:hAnsi="Arial Narrow" w:cs="Minion-Regular"/>
        </w:rPr>
      </w:pPr>
    </w:p>
    <w:p w:rsidR="00387F66" w:rsidRPr="00B72CEA" w:rsidRDefault="00387F66" w:rsidP="00B72CEA">
      <w:pPr>
        <w:pStyle w:val="ListParagraph"/>
        <w:numPr>
          <w:ilvl w:val="0"/>
          <w:numId w:val="5"/>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 xml:space="preserve">Loans </w:t>
      </w:r>
    </w:p>
    <w:p w:rsidR="00387F66" w:rsidRPr="00B72CEA" w:rsidRDefault="00387F66" w:rsidP="00EC52CA">
      <w:pPr>
        <w:autoSpaceDE w:val="0"/>
        <w:autoSpaceDN w:val="0"/>
        <w:adjustRightInd w:val="0"/>
        <w:spacing w:after="0" w:line="240" w:lineRule="auto"/>
        <w:ind w:left="720"/>
        <w:rPr>
          <w:rFonts w:ascii="Arial Narrow" w:eastAsia="Minion-Regular" w:hAnsi="Arial Narrow" w:cs="Minion-Regular"/>
        </w:rPr>
      </w:pPr>
      <w:r w:rsidRPr="00B72CEA">
        <w:rPr>
          <w:rFonts w:ascii="Arial Narrow" w:eastAsia="Minion-Regular" w:hAnsi="Arial Narrow" w:cs="Minion-Regular"/>
        </w:rPr>
        <w:t xml:space="preserve">The largest category of bank assets is loans. Loans are illiquid relative to marketable securities and entail greater default risk and higher information costs. As a result, the interest rates on loans are higher than those on marketable securities. Most bank loans fall into three categories: (1) loans to businesses—called commercial and industrial, or C&amp;I, loans; (2) consumer loans, made to households primarily to buy automobiles, furniture, and other goods; and (3) real estate loans, which include mortgage loans and any other loans backed with real estate as collateral. Mortgage loans made to purchase homes are called </w:t>
      </w:r>
      <w:r w:rsidRPr="00B72CEA">
        <w:rPr>
          <w:rFonts w:ascii="Arial Narrow" w:hAnsi="Arial Narrow" w:cs="Minion-Italic"/>
          <w:i/>
          <w:iCs/>
        </w:rPr>
        <w:t>residential mortgages</w:t>
      </w:r>
      <w:r w:rsidRPr="00B72CEA">
        <w:rPr>
          <w:rFonts w:ascii="Arial Narrow" w:eastAsia="Minion-Regular" w:hAnsi="Arial Narrow" w:cs="Minion-Regular"/>
        </w:rPr>
        <w:t xml:space="preserve">, while mortgages made to purchase stores, offices, factories, and other commercial buildings are called </w:t>
      </w:r>
      <w:r w:rsidRPr="00B72CEA">
        <w:rPr>
          <w:rFonts w:ascii="Arial Narrow" w:hAnsi="Arial Narrow" w:cs="Minion-Italic"/>
          <w:i/>
          <w:iCs/>
        </w:rPr>
        <w:t>commercial mortgages</w:t>
      </w:r>
      <w:r w:rsidRPr="00B72CEA">
        <w:rPr>
          <w:rFonts w:ascii="Arial Narrow" w:eastAsia="Minion-Regular" w:hAnsi="Arial Narrow" w:cs="Minion-Regular"/>
        </w:rPr>
        <w:t>.</w:t>
      </w:r>
    </w:p>
    <w:p w:rsidR="00DF605B" w:rsidRPr="00DF605B" w:rsidRDefault="00387F66" w:rsidP="00DF605B">
      <w:pPr>
        <w:pStyle w:val="ListParagraph"/>
        <w:numPr>
          <w:ilvl w:val="0"/>
          <w:numId w:val="5"/>
        </w:numPr>
        <w:autoSpaceDE w:val="0"/>
        <w:autoSpaceDN w:val="0"/>
        <w:adjustRightInd w:val="0"/>
        <w:spacing w:after="0" w:line="240" w:lineRule="auto"/>
        <w:rPr>
          <w:rFonts w:ascii="Arial Narrow" w:hAnsi="Arial Narrow" w:cs="Syntax-Black"/>
          <w:b/>
          <w:bCs/>
        </w:rPr>
      </w:pPr>
      <w:r w:rsidRPr="00DF605B">
        <w:rPr>
          <w:rFonts w:ascii="Arial Narrow" w:hAnsi="Arial Narrow" w:cs="Syntax-Black"/>
          <w:b/>
          <w:bCs/>
        </w:rPr>
        <w:t xml:space="preserve">Other Assets </w:t>
      </w:r>
    </w:p>
    <w:p w:rsidR="00387F66" w:rsidRPr="00607E6F" w:rsidRDefault="00387F66" w:rsidP="00607E6F">
      <w:pPr>
        <w:autoSpaceDE w:val="0"/>
        <w:autoSpaceDN w:val="0"/>
        <w:adjustRightInd w:val="0"/>
        <w:spacing w:after="0" w:line="240" w:lineRule="auto"/>
        <w:ind w:left="720"/>
        <w:rPr>
          <w:rFonts w:ascii="Arial Narrow" w:eastAsia="Minion-Regular" w:hAnsi="Arial Narrow" w:cs="Minion-Regular"/>
        </w:rPr>
      </w:pPr>
      <w:r w:rsidRPr="00B72CEA">
        <w:rPr>
          <w:rFonts w:ascii="Arial Narrow" w:eastAsia="Minion-Regular" w:hAnsi="Arial Narrow" w:cs="Minion-Regular"/>
        </w:rPr>
        <w:t>Other assets include banks’ physical assets, such as computer equipment and buildings. This category also includes collateral received from borrowers who have defaulted on loans. Following the bursting of the housing bubble, many banks ended up owning significant numbers of houses and residential lots as borrowers and developers defaulted on their mortgages.</w:t>
      </w:r>
    </w:p>
    <w:p w:rsidR="00387F66" w:rsidRPr="00DF605B" w:rsidRDefault="00387F66" w:rsidP="00DF605B">
      <w:pPr>
        <w:pStyle w:val="ListParagraph"/>
        <w:numPr>
          <w:ilvl w:val="0"/>
          <w:numId w:val="3"/>
        </w:numPr>
        <w:autoSpaceDE w:val="0"/>
        <w:autoSpaceDN w:val="0"/>
        <w:adjustRightInd w:val="0"/>
        <w:spacing w:after="0" w:line="240" w:lineRule="auto"/>
        <w:rPr>
          <w:rFonts w:ascii="Arial Narrow" w:hAnsi="Arial Narrow" w:cs="Syntax-Black"/>
          <w:b/>
          <w:bCs/>
        </w:rPr>
      </w:pPr>
      <w:r w:rsidRPr="00DF605B">
        <w:rPr>
          <w:rFonts w:ascii="Arial Narrow" w:hAnsi="Arial Narrow" w:cs="Syntax-Black"/>
          <w:b/>
          <w:bCs/>
        </w:rPr>
        <w:t>Bank Capital</w:t>
      </w:r>
    </w:p>
    <w:p w:rsidR="00387F66" w:rsidRPr="00B72CEA" w:rsidRDefault="00387F66" w:rsidP="00387F66">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Bank capital, also called shareholders’ equity, or </w:t>
      </w:r>
      <w:r w:rsidRPr="00B72CEA">
        <w:rPr>
          <w:rFonts w:ascii="Arial Narrow" w:hAnsi="Arial Narrow" w:cs="Minion-Italic"/>
          <w:i/>
          <w:iCs/>
        </w:rPr>
        <w:t>bank net worth</w:t>
      </w:r>
      <w:r w:rsidRPr="00B72CEA">
        <w:rPr>
          <w:rFonts w:ascii="Arial Narrow" w:eastAsia="Minion-Regular" w:hAnsi="Arial Narrow" w:cs="Minion-Regular"/>
        </w:rPr>
        <w:t>, is the difference between the value of a bank’s assets and the value of its liabilities.  A bank’s capital equals the funds contributed by the bank’s shareholders through their purchases of stock the bank has issued plus accumulated retained profits. Note that as the value of a bank’s assets or liabilities changes, so does the value of the bank’s capital.</w:t>
      </w:r>
    </w:p>
    <w:p w:rsidR="00387F66" w:rsidRPr="00B72CEA" w:rsidRDefault="00387F66" w:rsidP="00387F66">
      <w:pPr>
        <w:autoSpaceDE w:val="0"/>
        <w:autoSpaceDN w:val="0"/>
        <w:adjustRightInd w:val="0"/>
        <w:spacing w:after="0" w:line="240" w:lineRule="auto"/>
        <w:rPr>
          <w:rFonts w:ascii="Arial Narrow" w:eastAsia="Minion-Regular" w:hAnsi="Arial Narrow" w:cs="Minion-Regular"/>
        </w:rPr>
      </w:pPr>
    </w:p>
    <w:p w:rsidR="00387F66" w:rsidRPr="00B72CEA" w:rsidRDefault="00387F66" w:rsidP="00387F66">
      <w:p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Bank Capital and Bank Profits</w:t>
      </w:r>
    </w:p>
    <w:p w:rsidR="004114E9" w:rsidRPr="00B72CEA" w:rsidRDefault="00387F66" w:rsidP="00387F66">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As with any other business, a bank’s profits are the difference between its revenues and its costs. A bank’s revenues are earned primarily from interest on its securities and loans and from fees it charges for services such as credit cards, servicing deposit accounts, and carrying out foreign exchange transactions. A bank’s costs are the interest it pays to its depositors, the interest it pays on loans or other debt, and its costs of providing its services. A bank’s </w:t>
      </w:r>
      <w:r w:rsidRPr="00B72CEA">
        <w:rPr>
          <w:rFonts w:ascii="Arial Narrow" w:hAnsi="Arial Narrow" w:cs="Minion-Bold"/>
          <w:b/>
          <w:bCs/>
        </w:rPr>
        <w:t xml:space="preserve">net interest margin </w:t>
      </w:r>
      <w:r w:rsidRPr="00B72CEA">
        <w:rPr>
          <w:rFonts w:ascii="Arial Narrow" w:eastAsia="Minion-Regular" w:hAnsi="Arial Narrow" w:cs="Minion-Regular"/>
        </w:rPr>
        <w:t>is the difference between the interest it receives on its securities and loans and the interest it pays on deposits and debt, divided by the total value of its earning assets.</w:t>
      </w:r>
    </w:p>
    <w:p w:rsidR="004114E9" w:rsidRPr="00B72CEA" w:rsidRDefault="004114E9" w:rsidP="00387F66">
      <w:pPr>
        <w:autoSpaceDE w:val="0"/>
        <w:autoSpaceDN w:val="0"/>
        <w:adjustRightInd w:val="0"/>
        <w:spacing w:after="0" w:line="240" w:lineRule="auto"/>
        <w:rPr>
          <w:rFonts w:ascii="Arial Narrow" w:eastAsia="Minion-Regular" w:hAnsi="Arial Narrow" w:cs="Minion-Regular"/>
        </w:rPr>
      </w:pPr>
    </w:p>
    <w:p w:rsidR="004114E9" w:rsidRPr="00B72CEA" w:rsidRDefault="004114E9" w:rsidP="00387F66">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 Net Interest Margin= </w:t>
      </w:r>
      <m:oMath>
        <m:f>
          <m:fPr>
            <m:ctrlPr>
              <w:rPr>
                <w:rFonts w:ascii="Cambria Math" w:eastAsia="Minion-Regular" w:hAnsi="Arial Narrow" w:cs="Minion-Regular"/>
                <w:i/>
              </w:rPr>
            </m:ctrlPr>
          </m:fPr>
          <m:num>
            <m:r>
              <w:rPr>
                <w:rFonts w:ascii="Cambria Math" w:eastAsia="Minion-Regular" w:hAnsi="Arial Narrow" w:cs="Minion-Regular"/>
              </w:rPr>
              <m:t xml:space="preserve"> </m:t>
            </m:r>
            <m:r>
              <w:rPr>
                <w:rFonts w:ascii="Cambria Math" w:eastAsia="Minion-Regular" w:hAnsi="Cambria Math" w:cs="Minion-Regular"/>
              </w:rPr>
              <m:t>Interest</m:t>
            </m:r>
            <m:r>
              <w:rPr>
                <w:rFonts w:ascii="Cambria Math" w:eastAsia="Minion-Regular" w:hAnsi="Arial Narrow" w:cs="Minion-Regular"/>
              </w:rPr>
              <m:t xml:space="preserve"> </m:t>
            </m:r>
            <m:r>
              <w:rPr>
                <w:rFonts w:ascii="Cambria Math" w:eastAsia="Minion-Regular" w:hAnsi="Cambria Math" w:cs="Minion-Regular"/>
              </w:rPr>
              <m:t>recieved</m:t>
            </m:r>
            <m:r>
              <w:rPr>
                <w:rFonts w:ascii="Cambria Math" w:eastAsia="Minion-Regular" w:hAnsi="Arial Narrow" w:cs="Minion-Regular"/>
              </w:rPr>
              <m:t xml:space="preserve"> </m:t>
            </m:r>
            <m:r>
              <w:rPr>
                <w:rFonts w:ascii="Cambria Math" w:eastAsia="Minion-Regular" w:hAnsi="Cambria Math" w:cs="Minion-Regular"/>
              </w:rPr>
              <m:t>from</m:t>
            </m:r>
            <m:r>
              <w:rPr>
                <w:rFonts w:ascii="Cambria Math" w:eastAsia="Minion-Regular" w:hAnsi="Arial Narrow" w:cs="Minion-Regular"/>
              </w:rPr>
              <m:t xml:space="preserve"> </m:t>
            </m:r>
            <m:r>
              <w:rPr>
                <w:rFonts w:ascii="Cambria Math" w:eastAsia="Minion-Regular" w:hAnsi="Cambria Math" w:cs="Minion-Regular"/>
              </w:rPr>
              <m:t>securities</m:t>
            </m:r>
            <m:r>
              <w:rPr>
                <w:rFonts w:ascii="Cambria Math" w:eastAsia="Minion-Regular" w:hAnsi="Arial Narrow" w:cs="Minion-Regular"/>
              </w:rPr>
              <m:t xml:space="preserve">, </m:t>
            </m:r>
            <m:r>
              <w:rPr>
                <w:rFonts w:ascii="Cambria Math" w:eastAsia="Minion-Regular" w:hAnsi="Cambria Math" w:cs="Minion-Regular"/>
              </w:rPr>
              <m:t>loans</m:t>
            </m:r>
            <m:r>
              <w:rPr>
                <w:rFonts w:ascii="Cambria Math" w:eastAsia="Minion-Regular" w:hAnsi="Arial Narrow" w:cs="Minion-Regular"/>
              </w:rPr>
              <m:t xml:space="preserve"> </m:t>
            </m:r>
            <m:r>
              <w:rPr>
                <w:rFonts w:ascii="Cambria Math" w:eastAsia="Minion-Regular" w:hAnsi="Cambria Math" w:cs="Minion-Regular"/>
              </w:rPr>
              <m:t>e</m:t>
            </m:r>
            <m:r>
              <w:rPr>
                <w:rFonts w:ascii="Cambria Math" w:eastAsia="Minion-Regular" w:hAnsi="Arial Narrow" w:cs="Minion-Regular"/>
              </w:rPr>
              <m:t>.</m:t>
            </m:r>
            <m:r>
              <w:rPr>
                <w:rFonts w:ascii="Cambria Math" w:eastAsia="Minion-Regular" w:hAnsi="Cambria Math" w:cs="Minion-Regular"/>
              </w:rPr>
              <m:t>t</m:t>
            </m:r>
            <m:r>
              <w:rPr>
                <w:rFonts w:ascii="Cambria Math" w:eastAsia="Minion-Regular" w:hAnsi="Arial Narrow" w:cs="Minion-Regular"/>
              </w:rPr>
              <m:t>.</m:t>
            </m:r>
            <m:r>
              <w:rPr>
                <w:rFonts w:ascii="Cambria Math" w:eastAsia="Minion-Regular" w:hAnsi="Cambria Math" w:cs="Minion-Regular"/>
              </w:rPr>
              <m:t>c</m:t>
            </m:r>
            <m:r>
              <w:rPr>
                <w:rFonts w:ascii="Cambria Math" w:eastAsia="Minion-Regular" w:hAnsi="Arial Narrow" w:cs="Minion-Regular"/>
              </w:rPr>
              <m:t>.</m:t>
            </m:r>
            <m:r>
              <w:rPr>
                <w:rFonts w:ascii="Arial Narrow" w:eastAsia="Minion-Regular" w:hAnsi="Arial Narrow" w:cs="Minion-Regular"/>
              </w:rPr>
              <m:t>-</m:t>
            </m:r>
            <m:r>
              <w:rPr>
                <w:rFonts w:ascii="Cambria Math" w:eastAsia="Minion-Regular" w:hAnsi="Cambria Math" w:cs="Minion-Regular"/>
              </w:rPr>
              <m:t>interest</m:t>
            </m:r>
            <m:r>
              <w:rPr>
                <w:rFonts w:ascii="Cambria Math" w:eastAsia="Minion-Regular" w:hAnsi="Arial Narrow" w:cs="Minion-Regular"/>
              </w:rPr>
              <m:t xml:space="preserve"> </m:t>
            </m:r>
            <m:r>
              <w:rPr>
                <w:rFonts w:ascii="Cambria Math" w:eastAsia="Minion-Regular" w:hAnsi="Cambria Math" w:cs="Minion-Regular"/>
              </w:rPr>
              <m:t>paid</m:t>
            </m:r>
            <m:r>
              <w:rPr>
                <w:rFonts w:ascii="Cambria Math" w:eastAsia="Minion-Regular" w:hAnsi="Arial Narrow" w:cs="Minion-Regular"/>
              </w:rPr>
              <m:t xml:space="preserve"> </m:t>
            </m:r>
            <m:r>
              <w:rPr>
                <w:rFonts w:ascii="Cambria Math" w:eastAsia="Minion-Regular" w:hAnsi="Cambria Math" w:cs="Minion-Regular"/>
              </w:rPr>
              <m:t>on</m:t>
            </m:r>
            <m:r>
              <w:rPr>
                <w:rFonts w:ascii="Cambria Math" w:eastAsia="Minion-Regular" w:hAnsi="Arial Narrow" w:cs="Minion-Regular"/>
              </w:rPr>
              <m:t xml:space="preserve"> </m:t>
            </m:r>
            <m:r>
              <w:rPr>
                <w:rFonts w:ascii="Cambria Math" w:eastAsia="Minion-Regular" w:hAnsi="Cambria Math" w:cs="Minion-Regular"/>
              </w:rPr>
              <m:t>deposits</m:t>
            </m:r>
            <m:r>
              <w:rPr>
                <w:rFonts w:ascii="Cambria Math" w:eastAsia="Minion-Regular" w:hAnsi="Arial Narrow" w:cs="Minion-Regular"/>
              </w:rPr>
              <m:t xml:space="preserve">, </m:t>
            </m:r>
            <m:r>
              <w:rPr>
                <w:rFonts w:ascii="Cambria Math" w:eastAsia="Minion-Regular" w:hAnsi="Cambria Math" w:cs="Minion-Regular"/>
              </w:rPr>
              <m:t>debt</m:t>
            </m:r>
          </m:num>
          <m:den>
            <m:r>
              <w:rPr>
                <w:rFonts w:ascii="Cambria Math" w:eastAsia="Minion-Regular" w:hAnsi="Cambria Math" w:cs="Minion-Regular"/>
              </w:rPr>
              <m:t>Total</m:t>
            </m:r>
            <m:r>
              <w:rPr>
                <w:rFonts w:ascii="Cambria Math" w:eastAsia="Minion-Regular" w:hAnsi="Arial Narrow" w:cs="Minion-Regular"/>
              </w:rPr>
              <m:t xml:space="preserve"> </m:t>
            </m:r>
            <m:r>
              <w:rPr>
                <w:rFonts w:ascii="Cambria Math" w:eastAsia="Minion-Regular" w:hAnsi="Cambria Math" w:cs="Minion-Regular"/>
              </w:rPr>
              <m:t>interest</m:t>
            </m:r>
            <m:r>
              <w:rPr>
                <w:rFonts w:ascii="Cambria Math" w:eastAsia="Minion-Regular" w:hAnsi="Arial Narrow" w:cs="Minion-Regular"/>
              </w:rPr>
              <m:t xml:space="preserve"> </m:t>
            </m:r>
            <m:r>
              <w:rPr>
                <w:rFonts w:ascii="Cambria Math" w:eastAsia="Minion-Regular" w:hAnsi="Cambria Math" w:cs="Minion-Regular"/>
              </w:rPr>
              <m:t>earning</m:t>
            </m:r>
            <m:r>
              <w:rPr>
                <w:rFonts w:ascii="Cambria Math" w:eastAsia="Minion-Regular" w:hAnsi="Arial Narrow" w:cs="Minion-Regular"/>
              </w:rPr>
              <m:t xml:space="preserve"> </m:t>
            </m:r>
            <m:r>
              <w:rPr>
                <w:rFonts w:ascii="Cambria Math" w:eastAsia="Minion-Regular" w:hAnsi="Cambria Math" w:cs="Minion-Regular"/>
              </w:rPr>
              <m:t>assets</m:t>
            </m:r>
          </m:den>
        </m:f>
      </m:oMath>
    </w:p>
    <w:p w:rsidR="004114E9" w:rsidRPr="00B72CEA" w:rsidRDefault="004114E9" w:rsidP="00387F66">
      <w:pPr>
        <w:autoSpaceDE w:val="0"/>
        <w:autoSpaceDN w:val="0"/>
        <w:adjustRightInd w:val="0"/>
        <w:spacing w:after="0" w:line="240" w:lineRule="auto"/>
        <w:rPr>
          <w:rFonts w:ascii="Arial Narrow" w:eastAsia="Minion-Regular" w:hAnsi="Arial Narrow" w:cs="Minion-Regular"/>
        </w:rPr>
      </w:pPr>
    </w:p>
    <w:p w:rsidR="00387F66" w:rsidRPr="00B72CEA" w:rsidRDefault="00387F66" w:rsidP="00387F66">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If we subtract the bank’s cost of providing its services from the fees it receives, divide the result by the bank’s total assets, and then add the bank’s net interest margin, we have an expression for the bank’s total profits earned per </w:t>
      </w:r>
      <w:r w:rsidR="006267CD" w:rsidRPr="00B72CEA">
        <w:rPr>
          <w:rFonts w:ascii="Arial Narrow" w:eastAsia="Minion-Regular" w:hAnsi="Arial Narrow" w:cs="Minion-Regular"/>
        </w:rPr>
        <w:t>Shilling</w:t>
      </w:r>
      <w:r w:rsidRPr="00B72CEA">
        <w:rPr>
          <w:rFonts w:ascii="Arial Narrow" w:eastAsia="Minion-Regular" w:hAnsi="Arial Narrow" w:cs="Minion-Regular"/>
        </w:rPr>
        <w:t xml:space="preserve"> of assets, which is called its </w:t>
      </w:r>
      <w:r w:rsidRPr="00B72CEA">
        <w:rPr>
          <w:rFonts w:ascii="Arial Narrow" w:hAnsi="Arial Narrow" w:cs="Minion-Bold"/>
          <w:b/>
          <w:bCs/>
        </w:rPr>
        <w:t>return on assets (ROA)</w:t>
      </w:r>
      <w:r w:rsidR="004114E9" w:rsidRPr="00B72CEA">
        <w:rPr>
          <w:rFonts w:ascii="Arial Narrow" w:eastAsia="Minion-Regular" w:hAnsi="Arial Narrow" w:cs="Minion-Regular"/>
        </w:rPr>
        <w:t>.</w:t>
      </w:r>
      <w:r w:rsidRPr="00B72CEA">
        <w:rPr>
          <w:rFonts w:ascii="Arial Narrow" w:eastAsia="Minion-Regular" w:hAnsi="Arial Narrow" w:cs="Minion-Regular"/>
        </w:rPr>
        <w:t xml:space="preserve"> </w:t>
      </w:r>
    </w:p>
    <w:p w:rsidR="006267CD" w:rsidRPr="00B72CEA" w:rsidRDefault="006267CD" w:rsidP="00387F66">
      <w:pPr>
        <w:autoSpaceDE w:val="0"/>
        <w:autoSpaceDN w:val="0"/>
        <w:adjustRightInd w:val="0"/>
        <w:spacing w:after="0" w:line="240" w:lineRule="auto"/>
        <w:rPr>
          <w:rFonts w:ascii="Arial Narrow" w:eastAsia="Minion-Regular" w:hAnsi="Arial Narrow" w:cs="Minion-Regular"/>
        </w:rPr>
      </w:pPr>
    </w:p>
    <w:p w:rsidR="004114E9" w:rsidRPr="00B72CEA" w:rsidRDefault="004114E9" w:rsidP="00387F66">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ROA= </w:t>
      </w:r>
      <m:oMath>
        <m:f>
          <m:fPr>
            <m:ctrlPr>
              <w:rPr>
                <w:rFonts w:ascii="Cambria Math" w:eastAsia="Minion-Regular" w:hAnsi="Arial Narrow" w:cs="Minion-Regular"/>
                <w:i/>
              </w:rPr>
            </m:ctrlPr>
          </m:fPr>
          <m:num>
            <m:r>
              <w:rPr>
                <w:rFonts w:ascii="Cambria Math" w:eastAsia="Minion-Regular" w:hAnsi="Cambria Math" w:cs="Minion-Regular"/>
              </w:rPr>
              <m:t>After</m:t>
            </m:r>
            <m:r>
              <w:rPr>
                <w:rFonts w:ascii="Cambria Math" w:eastAsia="Minion-Regular" w:hAnsi="Arial Narrow" w:cs="Minion-Regular"/>
              </w:rPr>
              <m:t xml:space="preserve"> </m:t>
            </m:r>
            <m:r>
              <w:rPr>
                <w:rFonts w:ascii="Cambria Math" w:eastAsia="Minion-Regular" w:hAnsi="Cambria Math" w:cs="Minion-Regular"/>
              </w:rPr>
              <m:t>tax</m:t>
            </m:r>
            <m:r>
              <w:rPr>
                <w:rFonts w:ascii="Cambria Math" w:eastAsia="Minion-Regular" w:hAnsi="Arial Narrow" w:cs="Minion-Regular"/>
              </w:rPr>
              <m:t xml:space="preserve"> </m:t>
            </m:r>
            <m:r>
              <w:rPr>
                <w:rFonts w:ascii="Cambria Math" w:eastAsia="Minion-Regular" w:hAnsi="Cambria Math" w:cs="Minion-Regular"/>
              </w:rPr>
              <m:t>profits</m:t>
            </m:r>
          </m:num>
          <m:den>
            <m:r>
              <w:rPr>
                <w:rFonts w:ascii="Cambria Math" w:eastAsia="Minion-Regular" w:hAnsi="Cambria Math" w:cs="Minion-Regular"/>
              </w:rPr>
              <m:t>Bank</m:t>
            </m:r>
            <m:r>
              <w:rPr>
                <w:rFonts w:ascii="Cambria Math" w:eastAsia="Minion-Regular" w:hAnsi="Arial Narrow" w:cs="Minion-Regular"/>
              </w:rPr>
              <m:t xml:space="preserve"> </m:t>
            </m:r>
            <m:r>
              <w:rPr>
                <w:rFonts w:ascii="Cambria Math" w:eastAsia="Minion-Regular" w:hAnsi="Cambria Math" w:cs="Minion-Regular"/>
              </w:rPr>
              <m:t>assets</m:t>
            </m:r>
          </m:den>
        </m:f>
      </m:oMath>
    </w:p>
    <w:p w:rsidR="004114E9" w:rsidRPr="00B72CEA" w:rsidRDefault="004114E9" w:rsidP="00387F66">
      <w:pPr>
        <w:autoSpaceDE w:val="0"/>
        <w:autoSpaceDN w:val="0"/>
        <w:adjustRightInd w:val="0"/>
        <w:spacing w:after="0" w:line="240" w:lineRule="auto"/>
        <w:rPr>
          <w:rFonts w:ascii="Arial Narrow" w:eastAsia="Minion-Regular" w:hAnsi="Arial Narrow" w:cs="Minion-Regular"/>
        </w:rPr>
      </w:pPr>
    </w:p>
    <w:p w:rsidR="004114E9" w:rsidRPr="00B72CEA" w:rsidRDefault="004114E9" w:rsidP="004114E9">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A bank’s shareholders own the bank’s capital and are interested in the profits the bank’s managers are able to earn on their investment. So, shareholders often judge bank managers not on the basis of ROA but on the basis of </w:t>
      </w:r>
      <w:r w:rsidRPr="00B72CEA">
        <w:rPr>
          <w:rFonts w:ascii="Arial Narrow" w:eastAsia="Minion-Regular" w:hAnsi="Arial Narrow" w:cs="Minion-Bold"/>
          <w:b/>
          <w:bCs/>
        </w:rPr>
        <w:t>return on equity (ROE)</w:t>
      </w:r>
      <w:r w:rsidRPr="00B72CEA">
        <w:rPr>
          <w:rFonts w:ascii="Arial Narrow" w:eastAsia="Minion-Regular" w:hAnsi="Arial Narrow" w:cs="Minion-Regular"/>
        </w:rPr>
        <w:t xml:space="preserve">. Return on equity is after-tax profit per </w:t>
      </w:r>
      <w:r w:rsidR="006267CD" w:rsidRPr="00B72CEA">
        <w:rPr>
          <w:rFonts w:ascii="Arial Narrow" w:eastAsia="Minion-Regular" w:hAnsi="Arial Narrow" w:cs="Minion-Regular"/>
        </w:rPr>
        <w:t>Shilling</w:t>
      </w:r>
      <w:r w:rsidRPr="00B72CEA">
        <w:rPr>
          <w:rFonts w:ascii="Arial Narrow" w:eastAsia="Minion-Regular" w:hAnsi="Arial Narrow" w:cs="Minion-Regular"/>
        </w:rPr>
        <w:t xml:space="preserve"> of equity, or bank capital:</w:t>
      </w:r>
    </w:p>
    <w:p w:rsidR="004114E9" w:rsidRPr="00B72CEA" w:rsidRDefault="004114E9" w:rsidP="004114E9">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ROE=</w:t>
      </w:r>
      <m:oMath>
        <m:f>
          <m:fPr>
            <m:ctrlPr>
              <w:rPr>
                <w:rFonts w:ascii="Cambria Math" w:eastAsia="Minion-Regular" w:hAnsi="Arial Narrow" w:cs="Minion-Regular"/>
                <w:i/>
              </w:rPr>
            </m:ctrlPr>
          </m:fPr>
          <m:num>
            <m:r>
              <w:rPr>
                <w:rFonts w:ascii="Cambria Math" w:eastAsia="Minion-Regular" w:hAnsi="Cambria Math" w:cs="Minion-Regular"/>
              </w:rPr>
              <m:t>After</m:t>
            </m:r>
            <m:r>
              <w:rPr>
                <w:rFonts w:ascii="Cambria Math" w:eastAsia="Minion-Regular" w:hAnsi="Arial Narrow" w:cs="Minion-Regular"/>
              </w:rPr>
              <m:t xml:space="preserve"> </m:t>
            </m:r>
            <m:r>
              <w:rPr>
                <w:rFonts w:ascii="Cambria Math" w:eastAsia="Minion-Regular" w:hAnsi="Cambria Math" w:cs="Minion-Regular"/>
              </w:rPr>
              <m:t>tax</m:t>
            </m:r>
            <m:r>
              <w:rPr>
                <w:rFonts w:ascii="Cambria Math" w:eastAsia="Minion-Regular" w:hAnsi="Arial Narrow" w:cs="Minion-Regular"/>
              </w:rPr>
              <m:t xml:space="preserve"> </m:t>
            </m:r>
            <m:r>
              <w:rPr>
                <w:rFonts w:ascii="Cambria Math" w:eastAsia="Minion-Regular" w:hAnsi="Cambria Math" w:cs="Minion-Regular"/>
              </w:rPr>
              <m:t>profits</m:t>
            </m:r>
          </m:num>
          <m:den>
            <m:r>
              <w:rPr>
                <w:rFonts w:ascii="Cambria Math" w:eastAsia="Minion-Regular" w:hAnsi="Cambria Math" w:cs="Minion-Regular"/>
              </w:rPr>
              <m:t>Bank</m:t>
            </m:r>
            <m:r>
              <w:rPr>
                <w:rFonts w:ascii="Cambria Math" w:eastAsia="Minion-Regular" w:hAnsi="Arial Narrow" w:cs="Minion-Regular"/>
              </w:rPr>
              <m:t xml:space="preserve"> </m:t>
            </m:r>
            <m:r>
              <w:rPr>
                <w:rFonts w:ascii="Cambria Math" w:eastAsia="Minion-Regular" w:hAnsi="Cambria Math" w:cs="Minion-Regular"/>
              </w:rPr>
              <m:t>Capital</m:t>
            </m:r>
          </m:den>
        </m:f>
      </m:oMath>
    </w:p>
    <w:p w:rsidR="00760C3E" w:rsidRPr="00B72CEA" w:rsidRDefault="00760C3E" w:rsidP="004114E9">
      <w:pPr>
        <w:autoSpaceDE w:val="0"/>
        <w:autoSpaceDN w:val="0"/>
        <w:adjustRightInd w:val="0"/>
        <w:spacing w:after="0" w:line="240" w:lineRule="auto"/>
        <w:rPr>
          <w:rFonts w:ascii="Arial Narrow" w:hAnsi="Arial Narrow" w:cs="Syntax-Bold"/>
          <w:b/>
          <w:bCs/>
        </w:rPr>
      </w:pPr>
    </w:p>
    <w:p w:rsidR="00760C3E" w:rsidRPr="00B72CEA" w:rsidRDefault="004114E9" w:rsidP="004114E9">
      <w:pPr>
        <w:autoSpaceDE w:val="0"/>
        <w:autoSpaceDN w:val="0"/>
        <w:adjustRightInd w:val="0"/>
        <w:spacing w:after="0" w:line="240" w:lineRule="auto"/>
        <w:rPr>
          <w:rFonts w:ascii="Arial Narrow" w:hAnsi="Arial Narrow" w:cs="Syntax-Bold"/>
          <w:b/>
          <w:bCs/>
        </w:rPr>
      </w:pPr>
      <w:r w:rsidRPr="00B72CEA">
        <w:rPr>
          <w:rFonts w:ascii="Arial Narrow" w:hAnsi="Arial Narrow" w:cs="Syntax-Bold"/>
          <w:b/>
          <w:bCs/>
        </w:rPr>
        <w:t>Leverage</w:t>
      </w:r>
    </w:p>
    <w:p w:rsidR="004114E9" w:rsidRPr="00B72CEA" w:rsidRDefault="004114E9" w:rsidP="004114E9">
      <w:pPr>
        <w:autoSpaceDE w:val="0"/>
        <w:autoSpaceDN w:val="0"/>
        <w:adjustRightInd w:val="0"/>
        <w:spacing w:after="0" w:line="240" w:lineRule="auto"/>
        <w:rPr>
          <w:rFonts w:ascii="Arial Narrow" w:hAnsi="Arial Narrow" w:cs="Syntax-Bold"/>
          <w:b/>
          <w:bCs/>
        </w:rPr>
      </w:pPr>
      <w:r w:rsidRPr="00B72CEA">
        <w:rPr>
          <w:rFonts w:ascii="Arial Narrow" w:hAnsi="Arial Narrow" w:cs="Syntax-Bold"/>
          <w:b/>
          <w:bCs/>
        </w:rPr>
        <w:t xml:space="preserve"> </w:t>
      </w:r>
      <w:r w:rsidRPr="00B72CEA">
        <w:rPr>
          <w:rFonts w:ascii="Arial Narrow" w:eastAsia="Syntax-Roman" w:hAnsi="Arial Narrow" w:cs="Syntax-Roman"/>
        </w:rPr>
        <w:t xml:space="preserve">A measure of how much debt an investor assumes in making an investment. </w:t>
      </w:r>
      <w:r w:rsidRPr="00B72CEA">
        <w:rPr>
          <w:rFonts w:ascii="Arial Narrow" w:hAnsi="Arial Narrow" w:cs="Syntax-Bold"/>
          <w:b/>
          <w:bCs/>
        </w:rPr>
        <w:t xml:space="preserve">Bank leverage </w:t>
      </w:r>
      <w:r w:rsidRPr="00B72CEA">
        <w:rPr>
          <w:rFonts w:ascii="Arial Narrow" w:eastAsia="Syntax-Roman" w:hAnsi="Arial Narrow" w:cs="Syntax-Roman"/>
        </w:rPr>
        <w:t>The ratio of the value of a bank’s assets to the value of its capital, the inverse of which (capital to assets) is called a bank’s leverage ratio.</w:t>
      </w:r>
    </w:p>
    <w:p w:rsidR="004114E9" w:rsidRPr="00B72CEA" w:rsidRDefault="004114E9" w:rsidP="004114E9">
      <w:pPr>
        <w:autoSpaceDE w:val="0"/>
        <w:autoSpaceDN w:val="0"/>
        <w:adjustRightInd w:val="0"/>
        <w:spacing w:after="0" w:line="240" w:lineRule="auto"/>
        <w:rPr>
          <w:rFonts w:ascii="Arial Narrow" w:eastAsia="Syntax-Roman" w:hAnsi="Arial Narrow" w:cs="Syntax-Roman"/>
        </w:rPr>
      </w:pPr>
    </w:p>
    <w:p w:rsidR="004114E9" w:rsidRPr="00B72CEA" w:rsidRDefault="004114E9" w:rsidP="004114E9">
      <w:pPr>
        <w:autoSpaceDE w:val="0"/>
        <w:autoSpaceDN w:val="0"/>
        <w:adjustRightInd w:val="0"/>
        <w:spacing w:after="0" w:line="240" w:lineRule="auto"/>
        <w:rPr>
          <w:rFonts w:ascii="Arial Narrow" w:eastAsia="Syntax-Roman" w:hAnsi="Arial Narrow" w:cs="Syntax-Roman"/>
        </w:rPr>
      </w:pPr>
      <w:r w:rsidRPr="00B72CEA">
        <w:rPr>
          <w:rFonts w:ascii="Arial Narrow" w:eastAsia="Syntax-Roman" w:hAnsi="Arial Narrow" w:cs="Syntax-Roman"/>
        </w:rPr>
        <w:t xml:space="preserve">Bank Leverage= </w:t>
      </w:r>
      <m:oMath>
        <m:f>
          <m:fPr>
            <m:ctrlPr>
              <w:rPr>
                <w:rFonts w:ascii="Cambria Math" w:eastAsia="Minion-Regular" w:hAnsi="Arial Narrow" w:cs="Minion-Regular"/>
                <w:i/>
              </w:rPr>
            </m:ctrlPr>
          </m:fPr>
          <m:num>
            <m:r>
              <w:rPr>
                <w:rFonts w:ascii="Cambria Math" w:eastAsia="Minion-Regular" w:hAnsi="Cambria Math" w:cs="Minion-Regular"/>
              </w:rPr>
              <m:t>Tot</m:t>
            </m:r>
            <m:r>
              <w:rPr>
                <w:rFonts w:ascii="Cambria Math" w:eastAsia="Minion-Regular" w:hAnsi="Cambria Math" w:cs="Minion-Regular"/>
              </w:rPr>
              <m:t>al</m:t>
            </m:r>
            <m:r>
              <w:rPr>
                <w:rFonts w:ascii="Cambria Math" w:eastAsia="Minion-Regular" w:hAnsi="Arial Narrow" w:cs="Minion-Regular"/>
              </w:rPr>
              <m:t xml:space="preserve"> </m:t>
            </m:r>
            <m:r>
              <w:rPr>
                <w:rFonts w:ascii="Cambria Math" w:eastAsia="Minion-Regular" w:hAnsi="Cambria Math" w:cs="Minion-Regular"/>
              </w:rPr>
              <m:t>bank</m:t>
            </m:r>
            <m:r>
              <w:rPr>
                <w:rFonts w:ascii="Cambria Math" w:eastAsia="Minion-Regular" w:hAnsi="Arial Narrow" w:cs="Minion-Regular"/>
              </w:rPr>
              <m:t xml:space="preserve"> </m:t>
            </m:r>
            <m:r>
              <w:rPr>
                <w:rFonts w:ascii="Cambria Math" w:eastAsia="Minion-Regular" w:hAnsi="Cambria Math" w:cs="Minion-Regular"/>
              </w:rPr>
              <m:t>assets</m:t>
            </m:r>
          </m:num>
          <m:den>
            <m:r>
              <w:rPr>
                <w:rFonts w:ascii="Cambria Math" w:eastAsia="Minion-Regular" w:hAnsi="Cambria Math" w:cs="Minion-Regular"/>
              </w:rPr>
              <m:t>Bank</m:t>
            </m:r>
            <m:r>
              <w:rPr>
                <w:rFonts w:ascii="Cambria Math" w:eastAsia="Minion-Regular" w:hAnsi="Arial Narrow" w:cs="Minion-Regular"/>
              </w:rPr>
              <m:t xml:space="preserve"> </m:t>
            </m:r>
            <m:r>
              <w:rPr>
                <w:rFonts w:ascii="Cambria Math" w:eastAsia="Minion-Regular" w:hAnsi="Cambria Math" w:cs="Minion-Regular"/>
              </w:rPr>
              <m:t>Capital</m:t>
            </m:r>
          </m:den>
        </m:f>
      </m:oMath>
    </w:p>
    <w:p w:rsidR="004114E9" w:rsidRPr="00B72CEA" w:rsidRDefault="004114E9" w:rsidP="004114E9">
      <w:pPr>
        <w:autoSpaceDE w:val="0"/>
        <w:autoSpaceDN w:val="0"/>
        <w:adjustRightInd w:val="0"/>
        <w:spacing w:after="0" w:line="240" w:lineRule="auto"/>
        <w:rPr>
          <w:rFonts w:ascii="Arial Narrow" w:eastAsia="Syntax-Roman" w:hAnsi="Arial Narrow" w:cs="Syntax-Roman"/>
        </w:rPr>
      </w:pPr>
    </w:p>
    <w:p w:rsidR="004114E9" w:rsidRPr="00B72CEA" w:rsidRDefault="004114E9" w:rsidP="004114E9">
      <w:pPr>
        <w:autoSpaceDE w:val="0"/>
        <w:autoSpaceDN w:val="0"/>
        <w:adjustRightInd w:val="0"/>
        <w:spacing w:after="0" w:line="240" w:lineRule="auto"/>
        <w:rPr>
          <w:rFonts w:ascii="Arial Narrow" w:eastAsia="Syntax-Roman" w:hAnsi="Arial Narrow" w:cs="Syntax-Roman"/>
        </w:rPr>
      </w:pPr>
    </w:p>
    <w:p w:rsidR="004114E9" w:rsidRPr="00B72CEA" w:rsidRDefault="004114E9" w:rsidP="004114E9">
      <w:pPr>
        <w:autoSpaceDE w:val="0"/>
        <w:autoSpaceDN w:val="0"/>
        <w:adjustRightInd w:val="0"/>
        <w:spacing w:after="0" w:line="240" w:lineRule="auto"/>
        <w:rPr>
          <w:rFonts w:ascii="Arial Narrow" w:eastAsia="Syntax-Roman" w:hAnsi="Arial Narrow" w:cs="Syntax-Roman"/>
        </w:rPr>
      </w:pPr>
      <w:r w:rsidRPr="00B72CEA">
        <w:rPr>
          <w:rFonts w:ascii="Arial Narrow" w:eastAsia="Syntax-Roman" w:hAnsi="Arial Narrow" w:cs="Syntax-Roman"/>
        </w:rPr>
        <w:t xml:space="preserve">Leverage ratio= </w:t>
      </w:r>
      <m:oMath>
        <m:f>
          <m:fPr>
            <m:ctrlPr>
              <w:rPr>
                <w:rFonts w:ascii="Cambria Math" w:eastAsia="Minion-Regular" w:hAnsi="Arial Narrow" w:cs="Minion-Regular"/>
                <w:i/>
              </w:rPr>
            </m:ctrlPr>
          </m:fPr>
          <m:num>
            <m:r>
              <w:rPr>
                <w:rFonts w:ascii="Cambria Math" w:eastAsia="Minion-Regular" w:hAnsi="Cambria Math" w:cs="Minion-Regular"/>
              </w:rPr>
              <m:t>Bank</m:t>
            </m:r>
            <m:r>
              <w:rPr>
                <w:rFonts w:ascii="Cambria Math" w:eastAsia="Minion-Regular" w:hAnsi="Arial Narrow" w:cs="Minion-Regular"/>
              </w:rPr>
              <m:t xml:space="preserve"> </m:t>
            </m:r>
            <m:r>
              <w:rPr>
                <w:rFonts w:ascii="Cambria Math" w:eastAsia="Minion-Regular" w:hAnsi="Cambria Math" w:cs="Minion-Regular"/>
              </w:rPr>
              <m:t>capital</m:t>
            </m:r>
          </m:num>
          <m:den>
            <m:r>
              <w:rPr>
                <w:rFonts w:ascii="Cambria Math" w:eastAsia="Minion-Regular" w:hAnsi="Cambria Math" w:cs="Minion-Regular"/>
              </w:rPr>
              <m:t>Total</m:t>
            </m:r>
            <m:r>
              <w:rPr>
                <w:rFonts w:ascii="Cambria Math" w:eastAsia="Minion-Regular" w:hAnsi="Arial Narrow" w:cs="Minion-Regular"/>
              </w:rPr>
              <m:t xml:space="preserve"> </m:t>
            </m:r>
            <m:r>
              <w:rPr>
                <w:rFonts w:ascii="Cambria Math" w:eastAsia="Minion-Regular" w:hAnsi="Cambria Math" w:cs="Minion-Regular"/>
              </w:rPr>
              <m:t>Bank</m:t>
            </m:r>
            <m:r>
              <w:rPr>
                <w:rFonts w:ascii="Cambria Math" w:eastAsia="Minion-Regular" w:hAnsi="Arial Narrow" w:cs="Minion-Regular"/>
              </w:rPr>
              <m:t xml:space="preserve"> </m:t>
            </m:r>
            <m:r>
              <w:rPr>
                <w:rFonts w:ascii="Cambria Math" w:eastAsia="Minion-Regular" w:hAnsi="Cambria Math" w:cs="Minion-Regular"/>
              </w:rPr>
              <m:t>assets</m:t>
            </m:r>
          </m:den>
        </m:f>
      </m:oMath>
    </w:p>
    <w:p w:rsidR="00760C3E" w:rsidRPr="00B72CEA" w:rsidRDefault="00760C3E" w:rsidP="004114E9">
      <w:pPr>
        <w:autoSpaceDE w:val="0"/>
        <w:autoSpaceDN w:val="0"/>
        <w:adjustRightInd w:val="0"/>
        <w:spacing w:after="0" w:line="240" w:lineRule="auto"/>
        <w:rPr>
          <w:rFonts w:ascii="Arial Narrow" w:eastAsia="Syntax-Roman" w:hAnsi="Arial Narrow" w:cs="Syntax-Roman"/>
        </w:rPr>
      </w:pPr>
    </w:p>
    <w:p w:rsidR="00760C3E" w:rsidRPr="00B72CEA" w:rsidRDefault="00760C3E" w:rsidP="00760C3E">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In two respects, moral hazard can contribute to high bank leverage. First, bank managers are typically compensated at least partly on the basis of their ability to provide shareholders with a high ROE. Particularly if managers do not themselves own significant amounts of stock in the bank, they may have an incentive to take on more risk than shareholders would prefer. Second, deposit protection has increased moral hazard by reducing the incentive depositors have to monitor the behavior of bank managers. To deal with this risk, government regulations called </w:t>
      </w:r>
      <w:r w:rsidRPr="00B72CEA">
        <w:rPr>
          <w:rFonts w:ascii="Arial Narrow" w:eastAsia="Minion-Regular" w:hAnsi="Arial Narrow" w:cs="Minion-Regular"/>
          <w:i/>
        </w:rPr>
        <w:t xml:space="preserve">minimum </w:t>
      </w:r>
      <w:r w:rsidRPr="00B72CEA">
        <w:rPr>
          <w:rFonts w:ascii="Arial Narrow" w:eastAsia="Minion-Regular" w:hAnsi="Arial Narrow" w:cs="Minion-Italic"/>
          <w:i/>
          <w:iCs/>
        </w:rPr>
        <w:t xml:space="preserve">capital requirements </w:t>
      </w:r>
      <w:r w:rsidRPr="00B72CEA">
        <w:rPr>
          <w:rFonts w:ascii="Arial Narrow" w:eastAsia="Minion-Regular" w:hAnsi="Arial Narrow" w:cs="Minion-Regular"/>
        </w:rPr>
        <w:t xml:space="preserve">have placed limits on the value of the assets commercial banks can acquire relative to their capital. A commercial bank, for example, is required to maintain a minimum core </w:t>
      </w:r>
      <w:r w:rsidR="00A9478C" w:rsidRPr="00B72CEA">
        <w:rPr>
          <w:rStyle w:val="FootnoteReference"/>
          <w:rFonts w:ascii="Arial Narrow" w:eastAsia="Minion-Regular" w:hAnsi="Arial Narrow" w:cs="Minion-Regular"/>
        </w:rPr>
        <w:footnoteReference w:id="1"/>
      </w:r>
      <w:r w:rsidRPr="00B72CEA">
        <w:rPr>
          <w:rFonts w:ascii="Arial Narrow" w:eastAsia="Minion-Regular" w:hAnsi="Arial Narrow" w:cs="Minion-Regular"/>
        </w:rPr>
        <w:t>capital of Ksh. 1 billion by 31</w:t>
      </w:r>
      <w:r w:rsidRPr="00B72CEA">
        <w:rPr>
          <w:rFonts w:ascii="Arial Narrow" w:eastAsia="Minion-Regular" w:hAnsi="Arial Narrow" w:cs="Minion-Regular"/>
          <w:vertAlign w:val="superscript"/>
        </w:rPr>
        <w:t>st</w:t>
      </w:r>
      <w:r w:rsidRPr="00B72CEA">
        <w:rPr>
          <w:rFonts w:ascii="Arial Narrow" w:eastAsia="Minion-Regular" w:hAnsi="Arial Narrow" w:cs="Minion-Regular"/>
        </w:rPr>
        <w:t xml:space="preserve"> December 2012.</w:t>
      </w:r>
      <w:r w:rsidR="00BB3E99" w:rsidRPr="00B72CEA">
        <w:rPr>
          <w:rFonts w:ascii="Arial Narrow" w:eastAsia="Minion-Regular" w:hAnsi="Arial Narrow" w:cs="Minion-Regular"/>
        </w:rPr>
        <w:t xml:space="preserve"> The total capital (Core capital + Supplementary</w:t>
      </w:r>
      <w:r w:rsidR="00A9478C" w:rsidRPr="00B72CEA">
        <w:rPr>
          <w:rStyle w:val="FootnoteReference"/>
          <w:rFonts w:ascii="Arial Narrow" w:eastAsia="Minion-Regular" w:hAnsi="Arial Narrow" w:cs="Minion-Regular"/>
        </w:rPr>
        <w:footnoteReference w:id="2"/>
      </w:r>
      <w:r w:rsidR="00BB3E99" w:rsidRPr="00B72CEA">
        <w:rPr>
          <w:rFonts w:ascii="Arial Narrow" w:eastAsia="Minion-Regular" w:hAnsi="Arial Narrow" w:cs="Minion-Regular"/>
        </w:rPr>
        <w:t xml:space="preserve"> capital) must be at least 8% of the risk adjusted assets.</w:t>
      </w:r>
      <w:r w:rsidR="00CE5AA3">
        <w:rPr>
          <w:rFonts w:ascii="Arial Narrow" w:eastAsia="Minion-Regular" w:hAnsi="Arial Narrow" w:cs="Minion-Regular"/>
        </w:rPr>
        <w:t xml:space="preserve"> The </w:t>
      </w:r>
      <w:r w:rsidR="00CE5AA3" w:rsidRPr="00CE5AA3">
        <w:rPr>
          <w:rFonts w:ascii="Arial Narrow" w:eastAsia="Minion-Regular" w:hAnsi="Arial Narrow" w:cs="Minion-Regular"/>
          <w:u w:val="single"/>
        </w:rPr>
        <w:t>BASEL ACCORDS</w:t>
      </w:r>
      <w:r w:rsidR="00CE5AA3">
        <w:rPr>
          <w:rFonts w:ascii="Arial Narrow" w:eastAsia="Minion-Regular" w:hAnsi="Arial Narrow" w:cs="Minion-Regular"/>
        </w:rPr>
        <w:t xml:space="preserve"> are international agreements that specify minimum capital for banks.</w:t>
      </w:r>
    </w:p>
    <w:p w:rsidR="00A9478C" w:rsidRPr="00B72CEA" w:rsidRDefault="00A9478C" w:rsidP="00760C3E">
      <w:pPr>
        <w:autoSpaceDE w:val="0"/>
        <w:autoSpaceDN w:val="0"/>
        <w:adjustRightInd w:val="0"/>
        <w:spacing w:after="0" w:line="240" w:lineRule="auto"/>
        <w:rPr>
          <w:rFonts w:ascii="Arial Narrow" w:eastAsia="Minion-Regular" w:hAnsi="Arial Narrow" w:cs="Minion-Regular"/>
        </w:rPr>
      </w:pPr>
    </w:p>
    <w:p w:rsidR="00A9478C" w:rsidRPr="00B72CEA" w:rsidRDefault="00A9478C" w:rsidP="00760C3E">
      <w:pPr>
        <w:autoSpaceDE w:val="0"/>
        <w:autoSpaceDN w:val="0"/>
        <w:adjustRightInd w:val="0"/>
        <w:spacing w:after="0" w:line="240" w:lineRule="auto"/>
        <w:rPr>
          <w:rFonts w:ascii="Arial Narrow" w:eastAsia="Minion-Regular" w:hAnsi="Arial Narrow" w:cs="Minion-Regular"/>
          <w:b/>
          <w:u w:val="single"/>
        </w:rPr>
      </w:pPr>
      <w:r w:rsidRPr="00B72CEA">
        <w:rPr>
          <w:rFonts w:ascii="Arial Narrow" w:eastAsia="Minion-Regular" w:hAnsi="Arial Narrow" w:cs="Minion-Regular"/>
          <w:b/>
          <w:u w:val="single"/>
        </w:rPr>
        <w:t>MANAGING BANK RISK</w:t>
      </w:r>
    </w:p>
    <w:p w:rsidR="00A9478C" w:rsidRPr="00B72CEA" w:rsidRDefault="00A9478C" w:rsidP="00A9478C">
      <w:p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Managing Bank Risk</w:t>
      </w:r>
    </w:p>
    <w:p w:rsidR="00A9478C" w:rsidRPr="00B72CEA" w:rsidRDefault="00A9478C" w:rsidP="00A9478C">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In addition to risks that banks may face from inadequate capital relative to their assets, banks face several other types of risk. In this section, we examine how banks deal with the following three types of risks: liquidity risk, credit risk, and interest-rate risk.</w:t>
      </w:r>
    </w:p>
    <w:p w:rsidR="00A9478C" w:rsidRPr="00B72CEA" w:rsidRDefault="00A9478C" w:rsidP="00A9478C">
      <w:pPr>
        <w:autoSpaceDE w:val="0"/>
        <w:autoSpaceDN w:val="0"/>
        <w:adjustRightInd w:val="0"/>
        <w:spacing w:after="0" w:line="240" w:lineRule="auto"/>
        <w:rPr>
          <w:rFonts w:ascii="Arial Narrow" w:hAnsi="Arial Narrow" w:cs="Syntax-Black"/>
          <w:b/>
          <w:bCs/>
        </w:rPr>
      </w:pPr>
    </w:p>
    <w:p w:rsidR="00A9478C" w:rsidRPr="00B72CEA" w:rsidRDefault="00A9478C" w:rsidP="00921D01">
      <w:pPr>
        <w:pStyle w:val="ListParagraph"/>
        <w:numPr>
          <w:ilvl w:val="0"/>
          <w:numId w:val="1"/>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Managing Liquidity Risk</w:t>
      </w:r>
    </w:p>
    <w:p w:rsidR="00A9478C" w:rsidRPr="00B72CEA" w:rsidRDefault="00A9478C" w:rsidP="00A9478C">
      <w:pPr>
        <w:autoSpaceDE w:val="0"/>
        <w:autoSpaceDN w:val="0"/>
        <w:adjustRightInd w:val="0"/>
        <w:spacing w:after="0" w:line="240" w:lineRule="auto"/>
        <w:rPr>
          <w:rFonts w:ascii="Arial Narrow" w:eastAsia="Minion-Regular" w:hAnsi="Arial Narrow" w:cs="Minion-Regular"/>
        </w:rPr>
      </w:pPr>
      <w:r w:rsidRPr="00B72CEA">
        <w:rPr>
          <w:rFonts w:ascii="Arial Narrow" w:hAnsi="Arial Narrow" w:cs="Minion-Bold"/>
          <w:b/>
          <w:bCs/>
        </w:rPr>
        <w:t xml:space="preserve">Liquidity risk </w:t>
      </w:r>
      <w:r w:rsidRPr="00B72CEA">
        <w:rPr>
          <w:rFonts w:ascii="Arial Narrow" w:eastAsia="Minion-Regular" w:hAnsi="Arial Narrow" w:cs="Minion-Regular"/>
        </w:rPr>
        <w:t xml:space="preserve">refers to the possibility that a bank may not be able to meet its cash needs by selling assets or raising funds at a reasonable cost. For example, large deposit withdrawals might force a bank to sell relatively illiquid loans, possibly suffering losses on the sales. The challenge to banks in managing liquidity risk is to reduce their exposure to risk without sacrificing too much profitability. For example, a bank can minimize liquidity risk by holding fewer loans and securities and more reserves. Such a strategy reduces the bank’s profitability, however, because the bank earns no interest on vault cash and no interest rate on its reserve deposits with the CBK. So, rather than hold large amounts of excess reserves, banks typically reduce liquidity risk through strategies of </w:t>
      </w:r>
      <w:r w:rsidRPr="00B72CEA">
        <w:rPr>
          <w:rFonts w:ascii="Arial Narrow" w:hAnsi="Arial Narrow" w:cs="Minion-Italic"/>
          <w:i/>
          <w:iCs/>
        </w:rPr>
        <w:t xml:space="preserve">asset management </w:t>
      </w:r>
      <w:r w:rsidRPr="00B72CEA">
        <w:rPr>
          <w:rFonts w:ascii="Arial Narrow" w:eastAsia="Minion-Regular" w:hAnsi="Arial Narrow" w:cs="Minion-Regular"/>
        </w:rPr>
        <w:t xml:space="preserve">and </w:t>
      </w:r>
      <w:r w:rsidRPr="00B72CEA">
        <w:rPr>
          <w:rFonts w:ascii="Arial Narrow" w:hAnsi="Arial Narrow" w:cs="Minion-Italic"/>
          <w:i/>
          <w:iCs/>
        </w:rPr>
        <w:t>liquidity management</w:t>
      </w:r>
      <w:r w:rsidRPr="00B72CEA">
        <w:rPr>
          <w:rFonts w:ascii="Arial Narrow" w:eastAsia="Minion-Regular" w:hAnsi="Arial Narrow" w:cs="Minion-Regular"/>
        </w:rPr>
        <w:t xml:space="preserve">. Banks can practice asset management by lending funds in the interbank market, usually for one day at a time. Normally, banks can earn a higher interest rate by lending to other banks in the interbank market than they can by keeping the funds on deposit with the CBK. A second option is to use </w:t>
      </w:r>
      <w:r w:rsidRPr="00B72CEA">
        <w:rPr>
          <w:rFonts w:ascii="Arial Narrow" w:hAnsi="Arial Narrow" w:cs="Minion-Italic"/>
          <w:i/>
          <w:iCs/>
        </w:rPr>
        <w:t>reverse repurchase agreements (Reverse Repos)</w:t>
      </w:r>
      <w:r w:rsidRPr="00B72CEA">
        <w:rPr>
          <w:rFonts w:ascii="Arial Narrow" w:eastAsia="Minion-Regular" w:hAnsi="Arial Narrow" w:cs="Minion-Regular"/>
        </w:rPr>
        <w:t xml:space="preserve">, which involve a </w:t>
      </w:r>
      <w:r w:rsidR="00DD3642" w:rsidRPr="00B72CEA">
        <w:rPr>
          <w:rFonts w:ascii="Arial Narrow" w:eastAsia="Minion-Regular" w:hAnsi="Arial Narrow" w:cs="Minion-Regular"/>
        </w:rPr>
        <w:t xml:space="preserve">bank buying Government </w:t>
      </w:r>
      <w:r w:rsidRPr="00B72CEA">
        <w:rPr>
          <w:rFonts w:ascii="Arial Narrow" w:eastAsia="Minion-Regular" w:hAnsi="Arial Narrow" w:cs="Minion-Regular"/>
        </w:rPr>
        <w:t>securities owned by a business or another bank while at the same</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time agreeing to sell the securities back at a later date, often the next morning. (With a</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repurchase agreement, the bank would sell the Treasury securities and agree to buy them</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bac</w:t>
      </w:r>
      <w:r w:rsidR="00DD3642" w:rsidRPr="00B72CEA">
        <w:rPr>
          <w:rFonts w:ascii="Arial Narrow" w:eastAsia="Minion-Regular" w:hAnsi="Arial Narrow" w:cs="Minion-Regular"/>
        </w:rPr>
        <w:t>k at a later date.) The reverse repurchases</w:t>
      </w:r>
      <w:r w:rsidRPr="00B72CEA">
        <w:rPr>
          <w:rFonts w:ascii="Arial Narrow" w:eastAsia="Minion-Regular" w:hAnsi="Arial Narrow" w:cs="Minion-Regular"/>
        </w:rPr>
        <w:t xml:space="preserve"> agreement acts, in effect, as a short-term loan</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 xml:space="preserve">from the bank to a business </w:t>
      </w:r>
      <w:r w:rsidR="00DD3642" w:rsidRPr="00B72CEA">
        <w:rPr>
          <w:rFonts w:ascii="Arial Narrow" w:eastAsia="Minion-Regular" w:hAnsi="Arial Narrow" w:cs="Minion-Regular"/>
        </w:rPr>
        <w:t xml:space="preserve">or other bank with the Government </w:t>
      </w:r>
      <w:r w:rsidRPr="00B72CEA">
        <w:rPr>
          <w:rFonts w:ascii="Arial Narrow" w:eastAsia="Minion-Regular" w:hAnsi="Arial Narrow" w:cs="Minion-Regular"/>
        </w:rPr>
        <w:t>securities acting as collateral.</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 xml:space="preserve">Most banks use a combination of loans in the </w:t>
      </w:r>
      <w:r w:rsidR="00DD3642" w:rsidRPr="00B72CEA">
        <w:rPr>
          <w:rFonts w:ascii="Arial Narrow" w:eastAsia="Minion-Regular" w:hAnsi="Arial Narrow" w:cs="Minion-Regular"/>
        </w:rPr>
        <w:t>interbank</w:t>
      </w:r>
      <w:r w:rsidRPr="00B72CEA">
        <w:rPr>
          <w:rFonts w:ascii="Arial Narrow" w:eastAsia="Minion-Regular" w:hAnsi="Arial Narrow" w:cs="Minion-Regular"/>
        </w:rPr>
        <w:t xml:space="preserve"> market and reverse repurchase</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 xml:space="preserve">agreements. Because the loans in the </w:t>
      </w:r>
      <w:r w:rsidR="00DD3642" w:rsidRPr="00B72CEA">
        <w:rPr>
          <w:rFonts w:ascii="Arial Narrow" w:eastAsia="Minion-Regular" w:hAnsi="Arial Narrow" w:cs="Minion-Regular"/>
        </w:rPr>
        <w:t>interbank</w:t>
      </w:r>
      <w:r w:rsidRPr="00B72CEA">
        <w:rPr>
          <w:rFonts w:ascii="Arial Narrow" w:eastAsia="Minion-Regular" w:hAnsi="Arial Narrow" w:cs="Minion-Regular"/>
        </w:rPr>
        <w:t xml:space="preserve"> market and repurchase agreements</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are very short term, the funds can be available to meet deposit withdrawals.</w:t>
      </w:r>
    </w:p>
    <w:p w:rsidR="00607E6F" w:rsidRPr="00B72CEA" w:rsidRDefault="00A9478C" w:rsidP="00A9478C">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Banks can also meet a surge in deposit withdrawals by increasing their liabilities—borrowings—rather than by increasing their reserves. Liability management involves</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determining the best mix of borrowings needed to obtain the funds necessary to satisfy</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 xml:space="preserve">deposit withdrawals. Banks can borrow from other banks in the </w:t>
      </w:r>
      <w:r w:rsidR="00D51E67">
        <w:rPr>
          <w:rFonts w:ascii="Arial Narrow" w:eastAsia="Minion-Regular" w:hAnsi="Arial Narrow" w:cs="Minion-Regular"/>
        </w:rPr>
        <w:t>interbank</w:t>
      </w:r>
      <w:r w:rsidRPr="00B72CEA">
        <w:rPr>
          <w:rFonts w:ascii="Arial Narrow" w:eastAsia="Minion-Regular" w:hAnsi="Arial Narrow" w:cs="Minion-Regular"/>
        </w:rPr>
        <w:t xml:space="preserve"> market,</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borrow from businesses or other banks using repurchase agreements, or borrow</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 xml:space="preserve">from the </w:t>
      </w:r>
      <w:r w:rsidR="00DD3642" w:rsidRPr="00B72CEA">
        <w:rPr>
          <w:rFonts w:ascii="Arial Narrow" w:eastAsia="Minion-Regular" w:hAnsi="Arial Narrow" w:cs="Minion-Regular"/>
        </w:rPr>
        <w:t>CBK</w:t>
      </w:r>
      <w:r w:rsidRPr="00B72CEA">
        <w:rPr>
          <w:rFonts w:ascii="Arial Narrow" w:eastAsia="Minion-Regular" w:hAnsi="Arial Narrow" w:cs="Minion-Regular"/>
        </w:rPr>
        <w:t xml:space="preserve"> by taking out discount loans.</w:t>
      </w:r>
    </w:p>
    <w:p w:rsidR="00A9478C" w:rsidRPr="00B72CEA" w:rsidRDefault="00A9478C" w:rsidP="00921D01">
      <w:pPr>
        <w:pStyle w:val="ListParagraph"/>
        <w:numPr>
          <w:ilvl w:val="0"/>
          <w:numId w:val="1"/>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Managing Credit Risk</w:t>
      </w:r>
    </w:p>
    <w:p w:rsidR="00DD3642" w:rsidRPr="00B72CEA" w:rsidRDefault="00A9478C" w:rsidP="00A9478C">
      <w:pPr>
        <w:autoSpaceDE w:val="0"/>
        <w:autoSpaceDN w:val="0"/>
        <w:adjustRightInd w:val="0"/>
        <w:spacing w:after="0" w:line="240" w:lineRule="auto"/>
        <w:rPr>
          <w:rFonts w:ascii="Arial Narrow" w:eastAsia="Minion-Regular" w:hAnsi="Arial Narrow" w:cs="Minion-Regular"/>
        </w:rPr>
      </w:pPr>
      <w:r w:rsidRPr="00B72CEA">
        <w:rPr>
          <w:rFonts w:ascii="Arial Narrow" w:hAnsi="Arial Narrow" w:cs="Minion-Bold"/>
          <w:b/>
          <w:bCs/>
        </w:rPr>
        <w:t xml:space="preserve">Credit risk </w:t>
      </w:r>
      <w:r w:rsidRPr="00B72CEA">
        <w:rPr>
          <w:rFonts w:ascii="Arial Narrow" w:eastAsia="Minion-Regular" w:hAnsi="Arial Narrow" w:cs="Minion-Regular"/>
        </w:rPr>
        <w:t>is the risk that borrowers might default on their loans.</w:t>
      </w:r>
      <w:r w:rsidR="00DD3642" w:rsidRPr="00B72CEA">
        <w:rPr>
          <w:rFonts w:ascii="Arial Narrow" w:eastAsia="Minion-Regular" w:hAnsi="Arial Narrow" w:cs="Minion-Regular"/>
        </w:rPr>
        <w:t xml:space="preserve"> Credit</w:t>
      </w:r>
      <w:r w:rsidRPr="00B72CEA">
        <w:rPr>
          <w:rFonts w:ascii="Arial Narrow" w:eastAsia="Minion-Regular" w:hAnsi="Arial Narrow" w:cs="Minion-Regular"/>
        </w:rPr>
        <w:t xml:space="preserve"> risk can arise because asymmetric information often results in the problems</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 xml:space="preserve">of </w:t>
      </w:r>
      <w:r w:rsidRPr="00B72CEA">
        <w:rPr>
          <w:rFonts w:ascii="Arial Narrow" w:hAnsi="Arial Narrow" w:cs="Minion-Italic"/>
          <w:i/>
          <w:iCs/>
        </w:rPr>
        <w:t xml:space="preserve">adverse selection </w:t>
      </w:r>
      <w:r w:rsidRPr="00B72CEA">
        <w:rPr>
          <w:rFonts w:ascii="Arial Narrow" w:eastAsia="Minion-Regular" w:hAnsi="Arial Narrow" w:cs="Minion-Regular"/>
        </w:rPr>
        <w:t xml:space="preserve">and </w:t>
      </w:r>
      <w:r w:rsidRPr="00B72CEA">
        <w:rPr>
          <w:rFonts w:ascii="Arial Narrow" w:hAnsi="Arial Narrow" w:cs="Minion-Italic"/>
          <w:i/>
          <w:iCs/>
        </w:rPr>
        <w:t>moral hazard</w:t>
      </w:r>
      <w:r w:rsidRPr="00B72CEA">
        <w:rPr>
          <w:rFonts w:ascii="Arial Narrow" w:eastAsia="Minion-Regular" w:hAnsi="Arial Narrow" w:cs="Minion-Regular"/>
        </w:rPr>
        <w:t>. Because borrowers know more about their</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financial health and their true plans for using borrowed money, banks may find themselves</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 xml:space="preserve">inadvertently </w:t>
      </w:r>
      <w:r w:rsidRPr="00B72CEA">
        <w:rPr>
          <w:rFonts w:ascii="Arial Narrow" w:eastAsia="Minion-Regular" w:hAnsi="Arial Narrow" w:cs="Minion-Regular"/>
        </w:rPr>
        <w:lastRenderedPageBreak/>
        <w:t>lending to poor credit risks or to borrowers who intend to use borrowed</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funds</w:t>
      </w:r>
      <w:r w:rsidR="00DD3642" w:rsidRPr="00B72CEA">
        <w:rPr>
          <w:rFonts w:ascii="Arial Narrow" w:eastAsia="Minion-Regular" w:hAnsi="Arial Narrow" w:cs="Minion-Regular"/>
        </w:rPr>
        <w:t xml:space="preserve"> for something other than their </w:t>
      </w:r>
      <w:r w:rsidRPr="00B72CEA">
        <w:rPr>
          <w:rFonts w:ascii="Arial Narrow" w:eastAsia="Minion-Regular" w:hAnsi="Arial Narrow" w:cs="Minion-Regular"/>
        </w:rPr>
        <w:t>intended purpose.</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We now briefly consider</w:t>
      </w:r>
      <w:r w:rsidR="00DD3642" w:rsidRPr="00B72CEA">
        <w:rPr>
          <w:rFonts w:ascii="Arial Narrow" w:eastAsia="Minion-Regular" w:hAnsi="Arial Narrow" w:cs="Minion-Regular"/>
        </w:rPr>
        <w:t xml:space="preserve"> </w:t>
      </w:r>
      <w:r w:rsidRPr="00B72CEA">
        <w:rPr>
          <w:rFonts w:ascii="Arial Narrow" w:eastAsia="Minion-Regular" w:hAnsi="Arial Narrow" w:cs="Minion-Regular"/>
        </w:rPr>
        <w:t>the different methods banks can use to manage credit risk.</w:t>
      </w:r>
      <w:r w:rsidR="00DD3642" w:rsidRPr="00B72CEA">
        <w:rPr>
          <w:rFonts w:ascii="Arial Narrow" w:eastAsia="Minion-Regular" w:hAnsi="Arial Narrow" w:cs="Minion-Regular"/>
        </w:rPr>
        <w:t xml:space="preserve"> </w:t>
      </w:r>
    </w:p>
    <w:p w:rsidR="00DD3642" w:rsidRPr="00B72CEA" w:rsidRDefault="00A9478C" w:rsidP="00921D01">
      <w:pPr>
        <w:pStyle w:val="ListParagraph"/>
        <w:numPr>
          <w:ilvl w:val="0"/>
          <w:numId w:val="2"/>
        </w:numPr>
        <w:autoSpaceDE w:val="0"/>
        <w:autoSpaceDN w:val="0"/>
        <w:adjustRightInd w:val="0"/>
        <w:spacing w:after="0" w:line="240" w:lineRule="auto"/>
        <w:rPr>
          <w:rFonts w:ascii="Arial Narrow" w:eastAsia="Minion-Regular" w:hAnsi="Arial Narrow" w:cs="Minion-Regular"/>
        </w:rPr>
      </w:pPr>
      <w:r w:rsidRPr="00B72CEA">
        <w:rPr>
          <w:rFonts w:ascii="Arial Narrow" w:hAnsi="Arial Narrow" w:cs="Syntax-Black"/>
          <w:b/>
          <w:bCs/>
        </w:rPr>
        <w:t xml:space="preserve">Diversification </w:t>
      </w:r>
    </w:p>
    <w:p w:rsidR="00DD3642" w:rsidRPr="00B72CEA" w:rsidRDefault="00DD3642" w:rsidP="00A9478C">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Investors—</w:t>
      </w:r>
      <w:r w:rsidR="00A9478C" w:rsidRPr="00B72CEA">
        <w:rPr>
          <w:rFonts w:ascii="Arial Narrow" w:eastAsia="Minion-Regular" w:hAnsi="Arial Narrow" w:cs="Minion-Regular"/>
        </w:rPr>
        <w:t>whether individuals or financial</w:t>
      </w:r>
      <w:r w:rsidRPr="00B72CEA">
        <w:rPr>
          <w:rFonts w:ascii="Arial Narrow" w:eastAsia="Minion-Regular" w:hAnsi="Arial Narrow" w:cs="Minion-Regular"/>
        </w:rPr>
        <w:t xml:space="preserve"> </w:t>
      </w:r>
      <w:r w:rsidR="00A9478C" w:rsidRPr="00B72CEA">
        <w:rPr>
          <w:rFonts w:ascii="Arial Narrow" w:eastAsia="Minion-Regular" w:hAnsi="Arial Narrow" w:cs="Minion-Regular"/>
        </w:rPr>
        <w:t>firms—can reduce their exposure to risk by diversifying their holdings. If banks lend</w:t>
      </w:r>
      <w:r w:rsidRPr="00B72CEA">
        <w:rPr>
          <w:rFonts w:ascii="Arial Narrow" w:eastAsia="Minion-Regular" w:hAnsi="Arial Narrow" w:cs="Minion-Regular"/>
        </w:rPr>
        <w:t xml:space="preserve"> </w:t>
      </w:r>
      <w:r w:rsidR="00A9478C" w:rsidRPr="00B72CEA">
        <w:rPr>
          <w:rFonts w:ascii="Arial Narrow" w:eastAsia="Minion-Regular" w:hAnsi="Arial Narrow" w:cs="Minion-Regular"/>
        </w:rPr>
        <w:t>too much to one borrower, to borrowers in one region, or to borrowers in one industry,</w:t>
      </w:r>
      <w:r w:rsidRPr="00B72CEA">
        <w:rPr>
          <w:rFonts w:ascii="Arial Narrow" w:eastAsia="Minion-Regular" w:hAnsi="Arial Narrow" w:cs="Minion-Regular"/>
        </w:rPr>
        <w:t xml:space="preserve"> </w:t>
      </w:r>
      <w:r w:rsidR="00A9478C" w:rsidRPr="00B72CEA">
        <w:rPr>
          <w:rFonts w:ascii="Arial Narrow" w:eastAsia="Minion-Regular" w:hAnsi="Arial Narrow" w:cs="Minion-Regular"/>
        </w:rPr>
        <w:t>they are exposed to greater risks from those loans. For example, a bank that had</w:t>
      </w:r>
      <w:r w:rsidRPr="00B72CEA">
        <w:rPr>
          <w:rFonts w:ascii="Arial Narrow" w:eastAsia="Minion-Regular" w:hAnsi="Arial Narrow" w:cs="Minion-Regular"/>
        </w:rPr>
        <w:t xml:space="preserve"> </w:t>
      </w:r>
      <w:r w:rsidR="00A9478C" w:rsidRPr="00B72CEA">
        <w:rPr>
          <w:rFonts w:ascii="Arial Narrow" w:eastAsia="Minion-Regular" w:hAnsi="Arial Narrow" w:cs="Minion-Regular"/>
        </w:rPr>
        <w:t>granted most of its loans to consumers an</w:t>
      </w:r>
      <w:r w:rsidRPr="00B72CEA">
        <w:rPr>
          <w:rFonts w:ascii="Arial Narrow" w:eastAsia="Minion-Regular" w:hAnsi="Arial Narrow" w:cs="Minion-Regular"/>
        </w:rPr>
        <w:t>d business in Tokyo w</w:t>
      </w:r>
      <w:r w:rsidR="00A9478C" w:rsidRPr="00B72CEA">
        <w:rPr>
          <w:rFonts w:ascii="Arial Narrow" w:eastAsia="Minion-Regular" w:hAnsi="Arial Narrow" w:cs="Minion-Regular"/>
        </w:rPr>
        <w:t>ould have suffered</w:t>
      </w:r>
      <w:r w:rsidRPr="00B72CEA">
        <w:rPr>
          <w:rFonts w:ascii="Arial Narrow" w:eastAsia="Minion-Regular" w:hAnsi="Arial Narrow" w:cs="Minion-Regular"/>
        </w:rPr>
        <w:t xml:space="preserve"> </w:t>
      </w:r>
      <w:r w:rsidR="00A9478C" w:rsidRPr="00B72CEA">
        <w:rPr>
          <w:rFonts w:ascii="Arial Narrow" w:eastAsia="Minion-Regular" w:hAnsi="Arial Narrow" w:cs="Minion-Regular"/>
        </w:rPr>
        <w:t xml:space="preserve">serious losses on those loans following </w:t>
      </w:r>
      <w:r w:rsidRPr="00B72CEA">
        <w:rPr>
          <w:rFonts w:ascii="Arial Narrow" w:eastAsia="Minion-Regular" w:hAnsi="Arial Narrow" w:cs="Minion-Regular"/>
        </w:rPr>
        <w:t>the earthquake and nuclear disaster in 2011</w:t>
      </w:r>
      <w:r w:rsidR="00A9478C" w:rsidRPr="00B72CEA">
        <w:rPr>
          <w:rFonts w:ascii="Arial Narrow" w:eastAsia="Minion-Regular" w:hAnsi="Arial Narrow" w:cs="Minion-Regular"/>
        </w:rPr>
        <w:t>. By diversifying</w:t>
      </w:r>
      <w:r w:rsidRPr="00B72CEA">
        <w:rPr>
          <w:rFonts w:ascii="Arial Narrow" w:eastAsia="Minion-Regular" w:hAnsi="Arial Narrow" w:cs="Minion-Regular"/>
        </w:rPr>
        <w:t xml:space="preserve"> </w:t>
      </w:r>
      <w:r w:rsidR="00A9478C" w:rsidRPr="00B72CEA">
        <w:rPr>
          <w:rFonts w:ascii="Arial Narrow" w:eastAsia="Minion-Regular" w:hAnsi="Arial Narrow" w:cs="Minion-Regular"/>
        </w:rPr>
        <w:t>across borrowers, regions, and industries, banks can reduce their credit risk.</w:t>
      </w:r>
    </w:p>
    <w:p w:rsidR="00DD3642" w:rsidRPr="00B72CEA" w:rsidRDefault="00DD3642" w:rsidP="00921D01">
      <w:pPr>
        <w:pStyle w:val="ListParagraph"/>
        <w:numPr>
          <w:ilvl w:val="0"/>
          <w:numId w:val="2"/>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 xml:space="preserve">Credit-Risk Analysis </w:t>
      </w:r>
    </w:p>
    <w:p w:rsidR="00DD3642" w:rsidRPr="00B72CEA" w:rsidRDefault="00DD3642" w:rsidP="00DD3642">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In performing </w:t>
      </w:r>
      <w:r w:rsidRPr="00B72CEA">
        <w:rPr>
          <w:rFonts w:ascii="Arial Narrow" w:hAnsi="Arial Narrow" w:cs="Minion-Bold"/>
          <w:b/>
          <w:bCs/>
        </w:rPr>
        <w:t>credit-risk analysis</w:t>
      </w:r>
      <w:r w:rsidRPr="00B72CEA">
        <w:rPr>
          <w:rFonts w:ascii="Arial Narrow" w:eastAsia="Minion-Regular" w:hAnsi="Arial Narrow" w:cs="Minion-Regular"/>
        </w:rPr>
        <w:t xml:space="preserve">, bank loan officers screen loan applicants to eliminate potentially bad risks and to obtain a pool of creditworthy borrowers. Individual borrowers usually must give the loan officer information about their employment, income, and net worth. Business borrowers supply information about their current and projected profits and net worth. Banks often use </w:t>
      </w:r>
      <w:r w:rsidRPr="00B72CEA">
        <w:rPr>
          <w:rFonts w:ascii="Arial Narrow" w:hAnsi="Arial Narrow" w:cs="Minion-Italic"/>
          <w:i/>
          <w:iCs/>
        </w:rPr>
        <w:t>credit-scoring</w:t>
      </w:r>
      <w:r w:rsidRPr="00B72CEA">
        <w:rPr>
          <w:rFonts w:ascii="Arial Narrow" w:eastAsia="Minion-Regular" w:hAnsi="Arial Narrow" w:cs="Minion-Regular"/>
        </w:rPr>
        <w:t xml:space="preserve"> </w:t>
      </w:r>
      <w:r w:rsidRPr="00B72CEA">
        <w:rPr>
          <w:rFonts w:ascii="Arial Narrow" w:hAnsi="Arial Narrow" w:cs="Minion-Italic"/>
          <w:i/>
          <w:iCs/>
        </w:rPr>
        <w:t xml:space="preserve">systems </w:t>
      </w:r>
      <w:r w:rsidRPr="00B72CEA">
        <w:rPr>
          <w:rFonts w:ascii="Arial Narrow" w:eastAsia="Minion-Regular" w:hAnsi="Arial Narrow" w:cs="Minion-Regular"/>
        </w:rPr>
        <w:t xml:space="preserve">to predict statistically whether a borrower is likely to default. For example, individuals who change jobs frequently are more likely to default than are people with more stable job histories. Loan officers not only collect information before granting a loan, they also monitor the borrower during the term of the loan. Historically, loan rates to businesses were based on the </w:t>
      </w:r>
      <w:r w:rsidRPr="00B72CEA">
        <w:rPr>
          <w:rFonts w:ascii="Arial Narrow" w:hAnsi="Arial Narrow" w:cs="Minion-Bold"/>
          <w:b/>
          <w:bCs/>
        </w:rPr>
        <w:t>prime rate</w:t>
      </w:r>
      <w:r w:rsidRPr="00B72CEA">
        <w:rPr>
          <w:rFonts w:ascii="Arial Narrow" w:eastAsia="Minion-Regular" w:hAnsi="Arial Narrow" w:cs="Minion-Regular"/>
        </w:rPr>
        <w:t xml:space="preserve">, which was the interest rate charged on six-month loans to borrowers with the lowest expected default risk—so-called </w:t>
      </w:r>
      <w:r w:rsidRPr="00B72CEA">
        <w:rPr>
          <w:rFonts w:ascii="Arial Narrow" w:hAnsi="Arial Narrow" w:cs="Minion-Italic"/>
          <w:i/>
          <w:iCs/>
        </w:rPr>
        <w:t>high-quality borrowers</w:t>
      </w:r>
      <w:r w:rsidRPr="00B72CEA">
        <w:rPr>
          <w:rFonts w:ascii="Arial Narrow" w:eastAsia="Minion-Regular" w:hAnsi="Arial Narrow" w:cs="Minion-Regular"/>
        </w:rPr>
        <w:t>. Other loans carried interest rates greater than the prime rate, according to their credit risk. Higher-risk loans had higher interest rates. Today, however, banks charge most large- to medium-sized businesses interest rates that reflect changing market interest rates instead of the stated prime rate, which is typically charged only to smaller borrowers.</w:t>
      </w:r>
    </w:p>
    <w:p w:rsidR="00DD3642" w:rsidRPr="00B72CEA" w:rsidRDefault="00DD3642" w:rsidP="00921D01">
      <w:pPr>
        <w:pStyle w:val="ListParagraph"/>
        <w:numPr>
          <w:ilvl w:val="0"/>
          <w:numId w:val="2"/>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 xml:space="preserve">Collateral </w:t>
      </w:r>
    </w:p>
    <w:p w:rsidR="00DD3642" w:rsidRPr="00B72CEA" w:rsidRDefault="00DD3642" w:rsidP="00DD3642">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To combat problems of adverse selection, banks also generally require that a borrower put up collateral</w:t>
      </w:r>
      <w:r w:rsidRPr="00B72CEA">
        <w:rPr>
          <w:rFonts w:ascii="Arial Narrow" w:hAnsi="Arial Narrow" w:cs="Minion-Bold"/>
          <w:b/>
          <w:bCs/>
        </w:rPr>
        <w:t xml:space="preserve">, </w:t>
      </w:r>
      <w:r w:rsidRPr="00B72CEA">
        <w:rPr>
          <w:rFonts w:ascii="Arial Narrow" w:eastAsia="Minion-Regular" w:hAnsi="Arial Narrow" w:cs="Minion-Regular"/>
        </w:rPr>
        <w:t xml:space="preserve">or assets pledged to the bank in the event that the borrower defaults. For example, an entrepreneur who needs a bank loan to start a new business will likely be asked by the bank to pledge some of her financial assets or her house as collateral. In addition, the bank might require the entrepreneur to maintain a </w:t>
      </w:r>
      <w:r w:rsidRPr="00B72CEA">
        <w:rPr>
          <w:rFonts w:ascii="Arial Narrow" w:hAnsi="Arial Narrow" w:cs="Minion-Italic"/>
          <w:i/>
          <w:iCs/>
        </w:rPr>
        <w:t>compensating balance</w:t>
      </w:r>
      <w:r w:rsidRPr="00B72CEA">
        <w:rPr>
          <w:rFonts w:ascii="Arial Narrow" w:eastAsia="Minion-Regular" w:hAnsi="Arial Narrow" w:cs="Minion-Regular"/>
        </w:rPr>
        <w:t>, a required minimum amount that the business taking out the loan must maintain in a checking account with the lending bank.</w:t>
      </w:r>
    </w:p>
    <w:p w:rsidR="00DD3642" w:rsidRPr="00B72CEA" w:rsidRDefault="00DD3642" w:rsidP="00921D01">
      <w:pPr>
        <w:pStyle w:val="ListParagraph"/>
        <w:numPr>
          <w:ilvl w:val="0"/>
          <w:numId w:val="2"/>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 xml:space="preserve">Credit Rationing </w:t>
      </w:r>
    </w:p>
    <w:p w:rsidR="00DD3642" w:rsidRPr="00B72CEA" w:rsidRDefault="00DD3642" w:rsidP="00DD3642">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In some circumstances, banks minimize the costs of adverse selection and moral hazard through</w:t>
      </w:r>
      <w:r w:rsidR="00921D01" w:rsidRPr="00B72CEA">
        <w:rPr>
          <w:rFonts w:ascii="Arial Narrow" w:eastAsia="Minion-Regular" w:hAnsi="Arial Narrow" w:cs="Minion-Regular"/>
        </w:rPr>
        <w:t xml:space="preserve"> </w:t>
      </w:r>
      <w:r w:rsidRPr="00B72CEA">
        <w:rPr>
          <w:rFonts w:ascii="Arial Narrow" w:hAnsi="Arial Narrow" w:cs="Minion-Italic"/>
          <w:i/>
          <w:iCs/>
        </w:rPr>
        <w:t>credit rationing</w:t>
      </w:r>
      <w:r w:rsidRPr="00B72CEA">
        <w:rPr>
          <w:rFonts w:ascii="Arial Narrow" w:eastAsia="Minion-Regular" w:hAnsi="Arial Narrow" w:cs="Minion-Regular"/>
        </w:rPr>
        <w:t xml:space="preserve">. </w:t>
      </w:r>
      <w:r w:rsidR="00921D01" w:rsidRPr="00B72CEA">
        <w:rPr>
          <w:rFonts w:ascii="Arial Narrow" w:eastAsia="Minion-Regular" w:hAnsi="Arial Narrow" w:cs="Minion-Regular"/>
        </w:rPr>
        <w:t xml:space="preserve"> </w:t>
      </w:r>
      <w:r w:rsidRPr="00B72CEA">
        <w:rPr>
          <w:rFonts w:ascii="Arial Narrow" w:eastAsia="Minion-Regular" w:hAnsi="Arial Narrow" w:cs="Minion-Regular"/>
        </w:rPr>
        <w:t xml:space="preserve">In </w:t>
      </w:r>
      <w:r w:rsidRPr="00B72CEA">
        <w:rPr>
          <w:rFonts w:ascii="Arial Narrow" w:hAnsi="Arial Narrow" w:cs="Minion-Bold"/>
          <w:b/>
          <w:bCs/>
        </w:rPr>
        <w:t>credit rationing</w:t>
      </w:r>
      <w:r w:rsidRPr="00B72CEA">
        <w:rPr>
          <w:rFonts w:ascii="Arial Narrow" w:eastAsia="Minion-Regular" w:hAnsi="Arial Narrow" w:cs="Minion-Regular"/>
        </w:rPr>
        <w:t>, the bank either</w:t>
      </w:r>
      <w:r w:rsidRPr="00B72CEA">
        <w:rPr>
          <w:rFonts w:ascii="Arial Narrow" w:hAnsi="Arial Narrow" w:cs="Syntax-Black"/>
          <w:b/>
          <w:bCs/>
        </w:rPr>
        <w:t xml:space="preserve"> </w:t>
      </w:r>
      <w:r w:rsidRPr="00B72CEA">
        <w:rPr>
          <w:rFonts w:ascii="Arial Narrow" w:eastAsia="Minion-Regular" w:hAnsi="Arial Narrow" w:cs="Minion-Regular"/>
        </w:rPr>
        <w:t>grants a borrower’s loan application but limits the size of the loan or simply declines</w:t>
      </w:r>
      <w:r w:rsidRPr="00B72CEA">
        <w:rPr>
          <w:rFonts w:ascii="Arial Narrow" w:hAnsi="Arial Narrow" w:cs="Syntax-Black"/>
          <w:b/>
          <w:bCs/>
        </w:rPr>
        <w:t xml:space="preserve"> </w:t>
      </w:r>
      <w:r w:rsidRPr="00B72CEA">
        <w:rPr>
          <w:rFonts w:ascii="Arial Narrow" w:eastAsia="Minion-Regular" w:hAnsi="Arial Narrow" w:cs="Minion-Regular"/>
        </w:rPr>
        <w:t>to lend any amount to the borrower at the current interest rate. The first type of credit</w:t>
      </w:r>
      <w:r w:rsidRPr="00B72CEA">
        <w:rPr>
          <w:rFonts w:ascii="Arial Narrow" w:hAnsi="Arial Narrow" w:cs="Syntax-Black"/>
          <w:b/>
          <w:bCs/>
        </w:rPr>
        <w:t xml:space="preserve"> </w:t>
      </w:r>
      <w:r w:rsidRPr="00B72CEA">
        <w:rPr>
          <w:rFonts w:ascii="Arial Narrow" w:eastAsia="Minion-Regular" w:hAnsi="Arial Narrow" w:cs="Minion-Regular"/>
        </w:rPr>
        <w:t>rationing occurs in response to possible moral hazard. Limiting the size of bank loans</w:t>
      </w:r>
      <w:r w:rsidRPr="00B72CEA">
        <w:rPr>
          <w:rFonts w:ascii="Arial Narrow" w:hAnsi="Arial Narrow" w:cs="Syntax-Black"/>
          <w:b/>
          <w:bCs/>
        </w:rPr>
        <w:t xml:space="preserve"> </w:t>
      </w:r>
      <w:r w:rsidRPr="00B72CEA">
        <w:rPr>
          <w:rFonts w:ascii="Arial Narrow" w:eastAsia="Minion-Regular" w:hAnsi="Arial Narrow" w:cs="Minion-Regular"/>
        </w:rPr>
        <w:t>reduces costs of moral hazard by increasing the chance that the borrower will repay the</w:t>
      </w:r>
      <w:r w:rsidRPr="00B72CEA">
        <w:rPr>
          <w:rFonts w:ascii="Arial Narrow" w:hAnsi="Arial Narrow" w:cs="Syntax-Black"/>
          <w:b/>
          <w:bCs/>
        </w:rPr>
        <w:t xml:space="preserve"> </w:t>
      </w:r>
      <w:r w:rsidRPr="00B72CEA">
        <w:rPr>
          <w:rFonts w:ascii="Arial Narrow" w:eastAsia="Minion-Regular" w:hAnsi="Arial Narrow" w:cs="Minion-Regular"/>
        </w:rPr>
        <w:t>loan to maintain a sound credit rating. Banks place credit limits on the MasterCard</w:t>
      </w:r>
      <w:r w:rsidRPr="00B72CEA">
        <w:rPr>
          <w:rFonts w:ascii="Arial Narrow" w:hAnsi="Arial Narrow" w:cs="Syntax-Black"/>
          <w:b/>
          <w:bCs/>
        </w:rPr>
        <w:t xml:space="preserve"> </w:t>
      </w:r>
      <w:r w:rsidRPr="00B72CEA">
        <w:rPr>
          <w:rFonts w:ascii="Arial Narrow" w:eastAsia="Minion-Regular" w:hAnsi="Arial Narrow" w:cs="Minion-Regular"/>
        </w:rPr>
        <w:t xml:space="preserve">and Visa cards they issue for the same reason. With a credit limit of </w:t>
      </w:r>
      <w:r w:rsidR="00961A61">
        <w:rPr>
          <w:rFonts w:ascii="Arial Narrow" w:eastAsia="Minion-Regular" w:hAnsi="Arial Narrow" w:cs="Minion-Regular"/>
        </w:rPr>
        <w:t>Ksh.</w:t>
      </w:r>
      <w:r w:rsidRPr="00B72CEA">
        <w:rPr>
          <w:rFonts w:ascii="Arial Narrow" w:eastAsia="Minion-Regular" w:hAnsi="Arial Narrow" w:cs="Minion-Regular"/>
        </w:rPr>
        <w:t>2</w:t>
      </w:r>
      <w:proofErr w:type="gramStart"/>
      <w:r w:rsidRPr="00B72CEA">
        <w:rPr>
          <w:rFonts w:ascii="Arial Narrow" w:eastAsia="Minion-Regular" w:hAnsi="Arial Narrow" w:cs="Minion-Regular"/>
        </w:rPr>
        <w:t>,500</w:t>
      </w:r>
      <w:proofErr w:type="gramEnd"/>
      <w:r w:rsidRPr="00B72CEA">
        <w:rPr>
          <w:rFonts w:ascii="Arial Narrow" w:eastAsia="Minion-Regular" w:hAnsi="Arial Narrow" w:cs="Minion-Regular"/>
        </w:rPr>
        <w:t xml:space="preserve"> on your</w:t>
      </w:r>
      <w:r w:rsidRPr="00B72CEA">
        <w:rPr>
          <w:rFonts w:ascii="Arial Narrow" w:hAnsi="Arial Narrow" w:cs="Syntax-Black"/>
          <w:b/>
          <w:bCs/>
        </w:rPr>
        <w:t xml:space="preserve"> </w:t>
      </w:r>
      <w:r w:rsidRPr="00B72CEA">
        <w:rPr>
          <w:rFonts w:ascii="Arial Narrow" w:eastAsia="Minion-Regular" w:hAnsi="Arial Narrow" w:cs="Minion-Regular"/>
        </w:rPr>
        <w:t>credit card, you are likely to repay the bank so that you can borrow again in the future.</w:t>
      </w:r>
      <w:r w:rsidRPr="00B72CEA">
        <w:rPr>
          <w:rFonts w:ascii="Arial Narrow" w:hAnsi="Arial Narrow" w:cs="Syntax-Black"/>
          <w:b/>
          <w:bCs/>
        </w:rPr>
        <w:t xml:space="preserve"> </w:t>
      </w:r>
      <w:r w:rsidRPr="00B72CEA">
        <w:rPr>
          <w:rFonts w:ascii="Arial Narrow" w:eastAsia="Minion-Regular" w:hAnsi="Arial Narrow" w:cs="Minion-Regular"/>
        </w:rPr>
        <w:t xml:space="preserve">If the bank were willing to give you a </w:t>
      </w:r>
      <w:r w:rsidR="00961A61">
        <w:rPr>
          <w:rFonts w:ascii="Arial Narrow" w:eastAsia="Minion-Regular" w:hAnsi="Arial Narrow" w:cs="Minion-Regular"/>
        </w:rPr>
        <w:t>Ksh.</w:t>
      </w:r>
      <w:r w:rsidRPr="00B72CEA">
        <w:rPr>
          <w:rFonts w:ascii="Arial Narrow" w:eastAsia="Minion-Regular" w:hAnsi="Arial Narrow" w:cs="Minion-Regular"/>
        </w:rPr>
        <w:t>2.5 million credit limit, you might be tempted</w:t>
      </w:r>
      <w:r w:rsidRPr="00B72CEA">
        <w:rPr>
          <w:rFonts w:ascii="Arial Narrow" w:hAnsi="Arial Narrow" w:cs="Syntax-Black"/>
          <w:b/>
          <w:bCs/>
        </w:rPr>
        <w:t xml:space="preserve"> </w:t>
      </w:r>
      <w:r w:rsidRPr="00B72CEA">
        <w:rPr>
          <w:rFonts w:ascii="Arial Narrow" w:eastAsia="Minion-Regular" w:hAnsi="Arial Narrow" w:cs="Minion-Regular"/>
        </w:rPr>
        <w:t>to spend more money than you could repay. So, limiting the size of borrowers’ loans to</w:t>
      </w:r>
      <w:r w:rsidRPr="00B72CEA">
        <w:rPr>
          <w:rFonts w:ascii="Arial Narrow" w:hAnsi="Arial Narrow" w:cs="Syntax-Black"/>
          <w:b/>
          <w:bCs/>
        </w:rPr>
        <w:t xml:space="preserve"> </w:t>
      </w:r>
      <w:r w:rsidRPr="00B72CEA">
        <w:rPr>
          <w:rFonts w:ascii="Arial Narrow" w:eastAsia="Minion-Regular" w:hAnsi="Arial Narrow" w:cs="Minion-Regular"/>
        </w:rPr>
        <w:t>amounts less than borrowers demand at the current interest rate is both rational and</w:t>
      </w:r>
      <w:r w:rsidRPr="00B72CEA">
        <w:rPr>
          <w:rFonts w:ascii="Arial Narrow" w:hAnsi="Arial Narrow" w:cs="Syntax-Black"/>
          <w:b/>
          <w:bCs/>
        </w:rPr>
        <w:t xml:space="preserve"> </w:t>
      </w:r>
      <w:r w:rsidRPr="00B72CEA">
        <w:rPr>
          <w:rFonts w:ascii="Arial Narrow" w:eastAsia="Minion-Regular" w:hAnsi="Arial Narrow" w:cs="Minion-Regular"/>
        </w:rPr>
        <w:t>profit maximizing for banks.</w:t>
      </w:r>
    </w:p>
    <w:p w:rsidR="00DD3642" w:rsidRPr="00B72CEA" w:rsidRDefault="00DD3642" w:rsidP="00DD3642">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The second type of credit rationing occurs in response to the adverse selection problem that arises when borrowers have little or no collateral to offer banks. What if a bank tries to raise the interest rate it charges to compensate itself for the higher default risk such borrowers represent? If the bank cannot distinguish the low-risk borrowers</w:t>
      </w:r>
    </w:p>
    <w:p w:rsidR="00921D01" w:rsidRPr="00B72CEA" w:rsidRDefault="00DD3642" w:rsidP="00DD3642">
      <w:pPr>
        <w:autoSpaceDE w:val="0"/>
        <w:autoSpaceDN w:val="0"/>
        <w:adjustRightInd w:val="0"/>
        <w:spacing w:after="0" w:line="240" w:lineRule="auto"/>
        <w:rPr>
          <w:rFonts w:ascii="Arial Narrow" w:eastAsia="Minion-Regular" w:hAnsi="Arial Narrow" w:cs="Minion-Regular"/>
        </w:rPr>
      </w:pPr>
      <w:proofErr w:type="gramStart"/>
      <w:r w:rsidRPr="00B72CEA">
        <w:rPr>
          <w:rFonts w:ascii="Arial Narrow" w:eastAsia="Minion-Regular" w:hAnsi="Arial Narrow" w:cs="Minion-Regular"/>
        </w:rPr>
        <w:t>in</w:t>
      </w:r>
      <w:proofErr w:type="gramEnd"/>
      <w:r w:rsidRPr="00B72CEA">
        <w:rPr>
          <w:rFonts w:ascii="Arial Narrow" w:eastAsia="Minion-Regular" w:hAnsi="Arial Narrow" w:cs="Minion-Regular"/>
        </w:rPr>
        <w:t xml:space="preserve"> this group from the high-risk borrowers, it runs the risk of having the low</w:t>
      </w:r>
      <w:r w:rsidR="00921D01" w:rsidRPr="00B72CEA">
        <w:rPr>
          <w:rFonts w:ascii="Arial Narrow" w:eastAsia="Minion-Regular" w:hAnsi="Arial Narrow" w:cs="Minion-Regular"/>
        </w:rPr>
        <w:t xml:space="preserve"> risk </w:t>
      </w:r>
      <w:r w:rsidRPr="00B72CEA">
        <w:rPr>
          <w:rFonts w:ascii="Arial Narrow" w:eastAsia="Minion-Regular" w:hAnsi="Arial Narrow" w:cs="Minion-Regular"/>
        </w:rPr>
        <w:t>borrowers drop out of the loan pool because of the h</w:t>
      </w:r>
      <w:r w:rsidR="00921D01" w:rsidRPr="00B72CEA">
        <w:rPr>
          <w:rFonts w:ascii="Arial Narrow" w:eastAsia="Minion-Regular" w:hAnsi="Arial Narrow" w:cs="Minion-Regular"/>
        </w:rPr>
        <w:t xml:space="preserve">igh interest rate, leaving only </w:t>
      </w:r>
      <w:r w:rsidRPr="00B72CEA">
        <w:rPr>
          <w:rFonts w:ascii="Arial Narrow" w:eastAsia="Minion-Regular" w:hAnsi="Arial Narrow" w:cs="Minion-Regular"/>
        </w:rPr>
        <w:t>the high-risk borrowers. So, keeping the interest rate at the lower level and</w:t>
      </w:r>
      <w:r w:rsidR="00921D01" w:rsidRPr="00B72CEA">
        <w:rPr>
          <w:rFonts w:ascii="Arial Narrow" w:eastAsia="Minion-Regular" w:hAnsi="Arial Narrow" w:cs="Minion-Regular"/>
        </w:rPr>
        <w:t xml:space="preserve"> denying </w:t>
      </w:r>
      <w:r w:rsidRPr="00B72CEA">
        <w:rPr>
          <w:rFonts w:ascii="Arial Narrow" w:eastAsia="Minion-Regular" w:hAnsi="Arial Narrow" w:cs="Minion-Regular"/>
        </w:rPr>
        <w:t xml:space="preserve">loans altogether </w:t>
      </w:r>
      <w:proofErr w:type="gramStart"/>
      <w:r w:rsidRPr="00B72CEA">
        <w:rPr>
          <w:rFonts w:ascii="Arial Narrow" w:eastAsia="Minion-Regular" w:hAnsi="Arial Narrow" w:cs="Minion-Regular"/>
        </w:rPr>
        <w:t>to</w:t>
      </w:r>
      <w:proofErr w:type="gramEnd"/>
      <w:r w:rsidRPr="00B72CEA">
        <w:rPr>
          <w:rFonts w:ascii="Arial Narrow" w:eastAsia="Minion-Regular" w:hAnsi="Arial Narrow" w:cs="Minion-Regular"/>
        </w:rPr>
        <w:t xml:space="preserve"> some borrowers can be in the bank’s best interest.</w:t>
      </w:r>
    </w:p>
    <w:p w:rsidR="00921D01" w:rsidRPr="00B72CEA" w:rsidRDefault="00DD3642" w:rsidP="00921D01">
      <w:pPr>
        <w:pStyle w:val="ListParagraph"/>
        <w:numPr>
          <w:ilvl w:val="0"/>
          <w:numId w:val="2"/>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 xml:space="preserve">Monitoring and Restrictive Covenants </w:t>
      </w:r>
    </w:p>
    <w:p w:rsidR="00921D01" w:rsidRPr="00B72CEA" w:rsidRDefault="00DD3642" w:rsidP="00921D01">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To reduce the costs of moral hazard, banks</w:t>
      </w:r>
      <w:r w:rsidR="00921D01" w:rsidRPr="00B72CEA">
        <w:rPr>
          <w:rFonts w:ascii="Arial Narrow" w:eastAsia="Minion-Regular" w:hAnsi="Arial Narrow" w:cs="Minion-Regular"/>
        </w:rPr>
        <w:t xml:space="preserve"> </w:t>
      </w:r>
      <w:r w:rsidRPr="00B72CEA">
        <w:rPr>
          <w:rFonts w:ascii="Arial Narrow" w:eastAsia="Minion-Regular" w:hAnsi="Arial Narrow" w:cs="Minion-Regular"/>
        </w:rPr>
        <w:t>monitor borrowers to make sure they don’t use the funds borrowed to pursue unauthorized,</w:t>
      </w:r>
      <w:r w:rsidR="00921D01" w:rsidRPr="00B72CEA">
        <w:rPr>
          <w:rFonts w:ascii="Arial Narrow" w:eastAsia="Minion-Regular" w:hAnsi="Arial Narrow" w:cs="Minion-Regular"/>
        </w:rPr>
        <w:t xml:space="preserve"> </w:t>
      </w:r>
      <w:r w:rsidRPr="00B72CEA">
        <w:rPr>
          <w:rFonts w:ascii="Arial Narrow" w:eastAsia="Minion-Regular" w:hAnsi="Arial Narrow" w:cs="Minion-Regular"/>
        </w:rPr>
        <w:t xml:space="preserve">risky activities. Banks keep track of whether borrowers are obeying </w:t>
      </w:r>
      <w:r w:rsidRPr="00B72CEA">
        <w:rPr>
          <w:rFonts w:ascii="Arial Narrow" w:hAnsi="Arial Narrow" w:cs="Minion-Italic"/>
          <w:i/>
          <w:iCs/>
        </w:rPr>
        <w:t>restrictive</w:t>
      </w:r>
      <w:r w:rsidR="00921D01" w:rsidRPr="00B72CEA">
        <w:rPr>
          <w:rFonts w:ascii="Arial Narrow" w:eastAsia="Minion-Regular" w:hAnsi="Arial Narrow" w:cs="Minion-Regular"/>
        </w:rPr>
        <w:t xml:space="preserve"> </w:t>
      </w:r>
      <w:r w:rsidR="00921D01" w:rsidRPr="00B72CEA">
        <w:rPr>
          <w:rFonts w:ascii="Arial Narrow" w:hAnsi="Arial Narrow" w:cs="Minion-Italic"/>
          <w:i/>
          <w:iCs/>
        </w:rPr>
        <w:t>covenants</w:t>
      </w:r>
      <w:r w:rsidRPr="00B72CEA">
        <w:rPr>
          <w:rFonts w:ascii="Arial Narrow" w:eastAsia="Minion-Regular" w:hAnsi="Arial Narrow" w:cs="Minion-Regular"/>
        </w:rPr>
        <w:t xml:space="preserve"> or explicit provisions in the loan agreement that prohibit the borrower from</w:t>
      </w:r>
      <w:r w:rsidR="00921D01" w:rsidRPr="00B72CEA">
        <w:rPr>
          <w:rFonts w:ascii="Arial Narrow" w:eastAsia="Minion-Regular" w:hAnsi="Arial Narrow" w:cs="Minion-Regular"/>
        </w:rPr>
        <w:t xml:space="preserve"> </w:t>
      </w:r>
      <w:r w:rsidRPr="00B72CEA">
        <w:rPr>
          <w:rFonts w:ascii="Arial Narrow" w:eastAsia="Minion-Regular" w:hAnsi="Arial Narrow" w:cs="Minion-Regular"/>
        </w:rPr>
        <w:t xml:space="preserve">engaging in certain activities. </w:t>
      </w:r>
      <w:proofErr w:type="gramStart"/>
      <w:r w:rsidRPr="00B72CEA">
        <w:rPr>
          <w:rFonts w:ascii="Arial Narrow" w:eastAsia="Minion-Regular" w:hAnsi="Arial Narrow" w:cs="Minion-Regular"/>
        </w:rPr>
        <w:t>A business</w:t>
      </w:r>
      <w:proofErr w:type="gramEnd"/>
      <w:r w:rsidRPr="00B72CEA">
        <w:rPr>
          <w:rFonts w:ascii="Arial Narrow" w:eastAsia="Minion-Regular" w:hAnsi="Arial Narrow" w:cs="Minion-Regular"/>
        </w:rPr>
        <w:t xml:space="preserve"> borrowing money to pay for new equipment</w:t>
      </w:r>
      <w:r w:rsidR="00921D01" w:rsidRPr="00B72CEA">
        <w:rPr>
          <w:rFonts w:ascii="Arial Narrow" w:eastAsia="Minion-Regular" w:hAnsi="Arial Narrow" w:cs="Minion-Regular"/>
        </w:rPr>
        <w:t xml:space="preserve"> might be explicitly barred from using the money to meet its payroll obligations or to finance inventories.</w:t>
      </w:r>
    </w:p>
    <w:p w:rsidR="00921D01" w:rsidRPr="00B72CEA" w:rsidRDefault="00921D01" w:rsidP="00921D01">
      <w:pPr>
        <w:pStyle w:val="ListParagraph"/>
        <w:numPr>
          <w:ilvl w:val="0"/>
          <w:numId w:val="2"/>
        </w:numPr>
        <w:autoSpaceDE w:val="0"/>
        <w:autoSpaceDN w:val="0"/>
        <w:adjustRightInd w:val="0"/>
        <w:spacing w:after="0" w:line="240" w:lineRule="auto"/>
        <w:rPr>
          <w:rFonts w:ascii="Arial Narrow" w:eastAsia="Minion-Regular" w:hAnsi="Arial Narrow" w:cs="Syntax-Black"/>
          <w:b/>
          <w:bCs/>
        </w:rPr>
      </w:pPr>
      <w:r w:rsidRPr="00B72CEA">
        <w:rPr>
          <w:rFonts w:ascii="Arial Narrow" w:eastAsia="Minion-Regular" w:hAnsi="Arial Narrow" w:cs="Syntax-Black"/>
          <w:b/>
          <w:bCs/>
        </w:rPr>
        <w:t xml:space="preserve">Long-Term Business Relationships </w:t>
      </w:r>
    </w:p>
    <w:p w:rsidR="00DD3642" w:rsidRPr="00B72CEA" w:rsidRDefault="00921D01" w:rsidP="00921D01">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The ability of banks to assess credit risks on the basis of private information on borrowers is called </w:t>
      </w:r>
      <w:r w:rsidRPr="00B72CEA">
        <w:rPr>
          <w:rFonts w:ascii="Arial Narrow" w:eastAsia="Minion-Regular" w:hAnsi="Arial Narrow" w:cs="Minion-Italic"/>
          <w:i/>
          <w:iCs/>
        </w:rPr>
        <w:t>relationship banking</w:t>
      </w:r>
      <w:r w:rsidRPr="00B72CEA">
        <w:rPr>
          <w:rFonts w:ascii="Arial Narrow" w:eastAsia="Minion-Regular" w:hAnsi="Arial Narrow" w:cs="Minion-Regular"/>
        </w:rPr>
        <w:t>. One of the best ways for a bank to gather information about a</w:t>
      </w:r>
      <w:r w:rsidRPr="00B72CEA">
        <w:rPr>
          <w:rFonts w:ascii="Arial Narrow" w:eastAsia="Minion-Regular" w:hAnsi="Arial Narrow" w:cs="Syntax-Black"/>
          <w:b/>
          <w:bCs/>
        </w:rPr>
        <w:t xml:space="preserve"> </w:t>
      </w:r>
      <w:r w:rsidRPr="00B72CEA">
        <w:rPr>
          <w:rFonts w:ascii="Arial Narrow" w:eastAsia="Minion-Regular" w:hAnsi="Arial Narrow" w:cs="Minion-Regular"/>
        </w:rPr>
        <w:t>borrower’s prospects or to monitor a borrower’s activities is for the bank to have a</w:t>
      </w:r>
      <w:r w:rsidRPr="00B72CEA">
        <w:rPr>
          <w:rFonts w:ascii="Arial Narrow" w:eastAsia="Minion-Regular" w:hAnsi="Arial Narrow" w:cs="Syntax-Black"/>
          <w:b/>
          <w:bCs/>
        </w:rPr>
        <w:t xml:space="preserve"> </w:t>
      </w:r>
      <w:r w:rsidRPr="00B72CEA">
        <w:rPr>
          <w:rFonts w:ascii="Arial Narrow" w:eastAsia="Minion-Regular" w:hAnsi="Arial Narrow" w:cs="Minion-Regular"/>
        </w:rPr>
        <w:t xml:space="preserve">long-term business relationship with the borrower. By observing the </w:t>
      </w:r>
      <w:r w:rsidRPr="00B72CEA">
        <w:rPr>
          <w:rFonts w:ascii="Arial Narrow" w:eastAsia="Minion-Regular" w:hAnsi="Arial Narrow" w:cs="Minion-Regular"/>
        </w:rPr>
        <w:lastRenderedPageBreak/>
        <w:t>borrower over</w:t>
      </w:r>
      <w:r w:rsidRPr="00B72CEA">
        <w:rPr>
          <w:rFonts w:ascii="Arial Narrow" w:eastAsia="Minion-Regular" w:hAnsi="Arial Narrow" w:cs="Syntax-Black"/>
          <w:b/>
          <w:bCs/>
        </w:rPr>
        <w:t xml:space="preserve"> </w:t>
      </w:r>
      <w:r w:rsidRPr="00B72CEA">
        <w:rPr>
          <w:rFonts w:ascii="Arial Narrow" w:eastAsia="Minion-Regular" w:hAnsi="Arial Narrow" w:cs="Minion-Regular"/>
        </w:rPr>
        <w:t>time—through the borrower’s checking account activity and loan repayments—the</w:t>
      </w:r>
      <w:r w:rsidRPr="00B72CEA">
        <w:rPr>
          <w:rFonts w:ascii="Arial Narrow" w:eastAsia="Minion-Regular" w:hAnsi="Arial Narrow" w:cs="Syntax-Black"/>
          <w:b/>
          <w:bCs/>
        </w:rPr>
        <w:t xml:space="preserve"> </w:t>
      </w:r>
      <w:r w:rsidRPr="00B72CEA">
        <w:rPr>
          <w:rFonts w:ascii="Arial Narrow" w:eastAsia="Minion-Regular" w:hAnsi="Arial Narrow" w:cs="Minion-Regular"/>
        </w:rPr>
        <w:t>bank can significantly reduce problems of asymmetric information by reducing its</w:t>
      </w:r>
      <w:r w:rsidRPr="00B72CEA">
        <w:rPr>
          <w:rFonts w:ascii="Arial Narrow" w:eastAsia="Minion-Regular" w:hAnsi="Arial Narrow" w:cs="Syntax-Black"/>
          <w:b/>
          <w:bCs/>
        </w:rPr>
        <w:t xml:space="preserve"> </w:t>
      </w:r>
      <w:r w:rsidRPr="00B72CEA">
        <w:rPr>
          <w:rFonts w:ascii="Arial Narrow" w:eastAsia="Minion-Regular" w:hAnsi="Arial Narrow" w:cs="Minion-Regular"/>
        </w:rPr>
        <w:t>information gathering and monitoring costs. Borrowers also gain from long-term relationships</w:t>
      </w:r>
      <w:r w:rsidRPr="00B72CEA">
        <w:rPr>
          <w:rFonts w:ascii="Arial Narrow" w:eastAsia="Minion-Regular" w:hAnsi="Arial Narrow" w:cs="Syntax-Black"/>
          <w:b/>
          <w:bCs/>
        </w:rPr>
        <w:t xml:space="preserve"> </w:t>
      </w:r>
      <w:r w:rsidRPr="00B72CEA">
        <w:rPr>
          <w:rFonts w:ascii="Arial Narrow" w:eastAsia="Minion-Regular" w:hAnsi="Arial Narrow" w:cs="Minion-Regular"/>
        </w:rPr>
        <w:t>with banks. The customer can obtain credit at a lower interest rate or with</w:t>
      </w:r>
      <w:r w:rsidRPr="00B72CEA">
        <w:rPr>
          <w:rFonts w:ascii="Arial Narrow" w:eastAsia="Minion-Regular" w:hAnsi="Arial Narrow" w:cs="Syntax-Black"/>
          <w:b/>
          <w:bCs/>
        </w:rPr>
        <w:t xml:space="preserve"> </w:t>
      </w:r>
      <w:r w:rsidRPr="00B72CEA">
        <w:rPr>
          <w:rFonts w:ascii="Arial Narrow" w:eastAsia="Minion-Regular" w:hAnsi="Arial Narrow" w:cs="Minion-Regular"/>
        </w:rPr>
        <w:t>fewer restrictions because the bank avoids costly information-gathering tasks.</w:t>
      </w:r>
    </w:p>
    <w:p w:rsidR="00C534CC" w:rsidRPr="00B72CEA" w:rsidRDefault="00C534CC" w:rsidP="00921D01">
      <w:pPr>
        <w:autoSpaceDE w:val="0"/>
        <w:autoSpaceDN w:val="0"/>
        <w:adjustRightInd w:val="0"/>
        <w:spacing w:after="0" w:line="240" w:lineRule="auto"/>
        <w:rPr>
          <w:rFonts w:ascii="Arial Narrow" w:eastAsia="Minion-Regular" w:hAnsi="Arial Narrow" w:cs="Minion-Regular"/>
        </w:rPr>
      </w:pPr>
    </w:p>
    <w:p w:rsidR="00C534CC" w:rsidRPr="00B72CEA" w:rsidRDefault="00C534CC" w:rsidP="00B51B67">
      <w:pPr>
        <w:pStyle w:val="ListParagraph"/>
        <w:numPr>
          <w:ilvl w:val="0"/>
          <w:numId w:val="1"/>
        </w:numPr>
        <w:autoSpaceDE w:val="0"/>
        <w:autoSpaceDN w:val="0"/>
        <w:adjustRightInd w:val="0"/>
        <w:spacing w:after="0" w:line="240" w:lineRule="auto"/>
        <w:rPr>
          <w:rFonts w:ascii="Arial Narrow" w:hAnsi="Arial Narrow" w:cs="Syntax-Black"/>
          <w:b/>
          <w:bCs/>
        </w:rPr>
      </w:pPr>
      <w:r w:rsidRPr="00B72CEA">
        <w:rPr>
          <w:rFonts w:ascii="Arial Narrow" w:hAnsi="Arial Narrow" w:cs="Syntax-Black"/>
          <w:b/>
          <w:bCs/>
        </w:rPr>
        <w:t>Managing Interest-Rate Risk</w:t>
      </w:r>
    </w:p>
    <w:p w:rsidR="00C534CC" w:rsidRPr="00B72CEA" w:rsidRDefault="00C534CC" w:rsidP="00C534CC">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Banks experience </w:t>
      </w:r>
      <w:r w:rsidRPr="00B72CEA">
        <w:rPr>
          <w:rFonts w:ascii="Arial Narrow" w:hAnsi="Arial Narrow" w:cs="Minion-Bold"/>
          <w:b/>
          <w:bCs/>
        </w:rPr>
        <w:t xml:space="preserve">interest-rate risk </w:t>
      </w:r>
      <w:r w:rsidRPr="00B72CEA">
        <w:rPr>
          <w:rFonts w:ascii="Arial Narrow" w:eastAsia="Minion-Regular" w:hAnsi="Arial Narrow" w:cs="Minion-Regular"/>
        </w:rPr>
        <w:t xml:space="preserve">if changes in market interest rates cause bank profits or bank capital to fluctuate. The effect of a change in market interest rates on the value of a bank’s assets and liabilities is similar to the effect of a change in interest rates on bond prices. That is, a rise in the market interest rate will lower the present value of a bank’s assets and liabilities, and a fall in the market interest rate will raise the present value of a bank’s assets and liabilities. The effect of a change in interest rates on a bank’s assets and liabilities depends in part on whether the assets or liabilities are </w:t>
      </w:r>
      <w:r w:rsidRPr="00B72CEA">
        <w:rPr>
          <w:rFonts w:ascii="Arial Narrow" w:hAnsi="Arial Narrow" w:cs="Minion-Italic"/>
          <w:i/>
          <w:iCs/>
        </w:rPr>
        <w:t>variable rate</w:t>
      </w:r>
      <w:r w:rsidRPr="00B72CEA">
        <w:rPr>
          <w:rFonts w:ascii="Arial Narrow" w:eastAsia="Minion-Regular" w:hAnsi="Arial Narrow" w:cs="Minion-Regular"/>
        </w:rPr>
        <w:t xml:space="preserve"> or </w:t>
      </w:r>
      <w:r w:rsidRPr="00B72CEA">
        <w:rPr>
          <w:rFonts w:ascii="Arial Narrow" w:hAnsi="Arial Narrow" w:cs="Minion-Italic"/>
          <w:i/>
          <w:iCs/>
        </w:rPr>
        <w:t>fixed rate</w:t>
      </w:r>
      <w:r w:rsidRPr="00B72CEA">
        <w:rPr>
          <w:rFonts w:ascii="Arial Narrow" w:eastAsia="Minion-Regular" w:hAnsi="Arial Narrow" w:cs="Minion-Regular"/>
        </w:rPr>
        <w:t>. The interest rate on a variable-rate asset or liability changes at least once per year, while the interest rate on a fixed-rate asset or liability changes less often.</w:t>
      </w:r>
    </w:p>
    <w:p w:rsidR="00C534CC" w:rsidRPr="00B72CEA" w:rsidRDefault="00C534CC" w:rsidP="00C534CC">
      <w:pPr>
        <w:autoSpaceDE w:val="0"/>
        <w:autoSpaceDN w:val="0"/>
        <w:adjustRightInd w:val="0"/>
        <w:spacing w:after="0" w:line="240" w:lineRule="auto"/>
        <w:rPr>
          <w:rFonts w:ascii="Arial Narrow" w:eastAsia="Minion-Regular" w:hAnsi="Arial Narrow" w:cs="Minion-Regular"/>
        </w:rPr>
      </w:pPr>
    </w:p>
    <w:p w:rsidR="00B51B67" w:rsidRPr="00B72CEA" w:rsidRDefault="00B51B67" w:rsidP="00C534CC">
      <w:pPr>
        <w:autoSpaceDE w:val="0"/>
        <w:autoSpaceDN w:val="0"/>
        <w:adjustRightInd w:val="0"/>
        <w:spacing w:after="0" w:line="240" w:lineRule="auto"/>
        <w:rPr>
          <w:rFonts w:ascii="Arial Narrow" w:eastAsia="Minion-Regular" w:hAnsi="Arial Narrow" w:cs="Minion-Regular"/>
        </w:rPr>
      </w:pPr>
      <w:r w:rsidRPr="00B72CEA">
        <w:rPr>
          <w:rFonts w:ascii="Arial Narrow" w:hAnsi="Arial Narrow" w:cs="Syntax-Black"/>
          <w:b/>
          <w:bCs/>
        </w:rPr>
        <w:t>Measuring Interest-Rate Risk: Gap Analysis and Duration Analysis</w:t>
      </w:r>
    </w:p>
    <w:p w:rsidR="00C534CC" w:rsidRPr="00B72CEA" w:rsidRDefault="00C534CC" w:rsidP="00C534CC">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 xml:space="preserve">Managers use </w:t>
      </w:r>
      <w:r w:rsidRPr="00B72CEA">
        <w:rPr>
          <w:rFonts w:ascii="Arial Narrow" w:eastAsia="Minion-Regular" w:hAnsi="Arial Narrow" w:cs="Minion-Italic"/>
          <w:i/>
          <w:iCs/>
        </w:rPr>
        <w:t xml:space="preserve">gap analysis </w:t>
      </w:r>
      <w:r w:rsidRPr="00B72CEA">
        <w:rPr>
          <w:rFonts w:ascii="Arial Narrow" w:eastAsia="Minion-Regular" w:hAnsi="Arial Narrow" w:cs="Minion-Regular"/>
        </w:rPr>
        <w:t xml:space="preserve">and </w:t>
      </w:r>
      <w:r w:rsidRPr="00B72CEA">
        <w:rPr>
          <w:rFonts w:ascii="Arial Narrow" w:eastAsia="Minion-Regular" w:hAnsi="Arial Narrow" w:cs="Minion-Italic"/>
          <w:i/>
          <w:iCs/>
        </w:rPr>
        <w:t xml:space="preserve">duration analysis </w:t>
      </w:r>
      <w:r w:rsidRPr="00B72CEA">
        <w:rPr>
          <w:rFonts w:ascii="Arial Narrow" w:eastAsia="Minion-Regular" w:hAnsi="Arial Narrow" w:cs="Minion-Regular"/>
        </w:rPr>
        <w:t>to measure how vulnerable their banks are to interest-rate risk</w:t>
      </w:r>
      <w:r w:rsidRPr="00B72CEA">
        <w:rPr>
          <w:rFonts w:ascii="Arial Narrow" w:eastAsia="Minion-Regular" w:hAnsi="Arial Narrow" w:cs="Minion-Italic"/>
          <w:i/>
          <w:iCs/>
        </w:rPr>
        <w:t xml:space="preserve">. </w:t>
      </w:r>
      <w:r w:rsidRPr="00B72CEA">
        <w:rPr>
          <w:rFonts w:ascii="Arial Narrow" w:eastAsia="Minion-Regular" w:hAnsi="Arial Narrow" w:cs="Minion-Bold"/>
          <w:b/>
          <w:bCs/>
        </w:rPr>
        <w:t xml:space="preserve">Gap analysis </w:t>
      </w:r>
      <w:r w:rsidRPr="00B72CEA">
        <w:rPr>
          <w:rFonts w:ascii="Arial Narrow" w:eastAsia="Minion-Regular" w:hAnsi="Arial Narrow" w:cs="Minion-Regular"/>
        </w:rPr>
        <w:t xml:space="preserve">looks at the difference, or </w:t>
      </w:r>
      <w:r w:rsidRPr="00B72CEA">
        <w:rPr>
          <w:rFonts w:ascii="Arial Narrow" w:eastAsia="Minion-Regular" w:hAnsi="Arial Narrow" w:cs="Minion-Italic"/>
          <w:i/>
          <w:iCs/>
        </w:rPr>
        <w:t>gap</w:t>
      </w:r>
      <w:r w:rsidRPr="00B72CEA">
        <w:rPr>
          <w:rFonts w:ascii="Arial Narrow" w:eastAsia="Minion-Regular" w:hAnsi="Arial Narrow" w:cs="Minion-Regular"/>
        </w:rPr>
        <w:t xml:space="preserve">, between the </w:t>
      </w:r>
      <w:r w:rsidR="006267CD" w:rsidRPr="00B72CEA">
        <w:rPr>
          <w:rFonts w:ascii="Arial Narrow" w:eastAsia="Minion-Regular" w:hAnsi="Arial Narrow" w:cs="Minion-Regular"/>
        </w:rPr>
        <w:t>Shilling</w:t>
      </w:r>
      <w:r w:rsidRPr="00B72CEA">
        <w:rPr>
          <w:rFonts w:ascii="Arial Narrow" w:eastAsia="Minion-Regular" w:hAnsi="Arial Narrow" w:cs="Minion-Regular"/>
        </w:rPr>
        <w:t xml:space="preserve"> value of a bank’s variable-rate assets and the </w:t>
      </w:r>
      <w:r w:rsidR="006267CD" w:rsidRPr="00B72CEA">
        <w:rPr>
          <w:rFonts w:ascii="Arial Narrow" w:eastAsia="Minion-Regular" w:hAnsi="Arial Narrow" w:cs="Minion-Regular"/>
        </w:rPr>
        <w:t>Shilling</w:t>
      </w:r>
      <w:r w:rsidRPr="00B72CEA">
        <w:rPr>
          <w:rFonts w:ascii="Arial Narrow" w:eastAsia="Minion-Regular" w:hAnsi="Arial Narrow" w:cs="Minion-Regular"/>
        </w:rPr>
        <w:t xml:space="preserve"> value of its variable-rate liabilities. Most banks have negative gaps because their liabilities—mainly deposits—are more likely to have variable rates than are their assets—mainly loans and securities. </w:t>
      </w:r>
    </w:p>
    <w:p w:rsidR="00C534CC" w:rsidRPr="00B72CEA" w:rsidRDefault="00C534CC" w:rsidP="00C534CC">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In practice, though, a bank manager will conduct a more sophisticated analysis that takes into account the fact that different assets and liabilities are likely to experience different changes in interest rates.</w:t>
      </w:r>
    </w:p>
    <w:p w:rsidR="00B51B67" w:rsidRPr="00B72CEA" w:rsidRDefault="00B51B67" w:rsidP="00C534CC">
      <w:pPr>
        <w:autoSpaceDE w:val="0"/>
        <w:autoSpaceDN w:val="0"/>
        <w:adjustRightInd w:val="0"/>
        <w:spacing w:after="0" w:line="240" w:lineRule="auto"/>
        <w:rPr>
          <w:rFonts w:ascii="Arial Narrow" w:eastAsia="Minion-Regular" w:hAnsi="Arial Narrow" w:cs="Minion-Regular"/>
        </w:rPr>
      </w:pPr>
    </w:p>
    <w:p w:rsidR="00D51E67" w:rsidRDefault="00C534CC" w:rsidP="00C534CC">
      <w:pPr>
        <w:autoSpaceDE w:val="0"/>
        <w:autoSpaceDN w:val="0"/>
        <w:adjustRightInd w:val="0"/>
        <w:spacing w:after="0" w:line="240" w:lineRule="auto"/>
        <w:rPr>
          <w:rFonts w:ascii="Arial Narrow" w:eastAsia="Minion-Regular" w:hAnsi="Arial Narrow" w:cs="Minion-Regular"/>
        </w:rPr>
      </w:pPr>
      <w:r w:rsidRPr="00B72CEA">
        <w:rPr>
          <w:rFonts w:ascii="Arial Narrow" w:eastAsia="Minion-Regular" w:hAnsi="Arial Narrow" w:cs="Minion-Regular"/>
        </w:rPr>
        <w:t>In addition to affecting a bank’s profits, changes in interest rates can affect a bank’s capital by changing the value of the bank’s assets and liabilities.</w:t>
      </w:r>
      <w:r w:rsidR="00B51B67" w:rsidRPr="00B72CEA">
        <w:rPr>
          <w:rFonts w:ascii="Arial Narrow" w:eastAsia="Minion-Regular" w:hAnsi="Arial Narrow" w:cs="Minion-Regular"/>
        </w:rPr>
        <w:t xml:space="preserve"> You know that the</w:t>
      </w:r>
      <w:r w:rsidRPr="00B72CEA">
        <w:rPr>
          <w:rFonts w:ascii="Arial Narrow" w:eastAsia="Minion-Regular" w:hAnsi="Arial Narrow" w:cs="Minion-Regular"/>
        </w:rPr>
        <w:t xml:space="preserve"> longer the maturity of a financial asset, the larger the change in the asset’s price</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as a result of a given change in interest rates. During the 1930s, Frederick Macaulay, an</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economist at the National Bureau of Economic Research, developed the concept of</w:t>
      </w:r>
      <w:r w:rsidR="00B51B67" w:rsidRPr="00B72CEA">
        <w:rPr>
          <w:rFonts w:ascii="Arial Narrow" w:eastAsia="Minion-Regular" w:hAnsi="Arial Narrow" w:cs="Minion-Regular"/>
        </w:rPr>
        <w:t xml:space="preserve"> </w:t>
      </w:r>
      <w:r w:rsidRPr="00B72CEA">
        <w:rPr>
          <w:rFonts w:ascii="Arial Narrow" w:eastAsia="Minion-Regular" w:hAnsi="Arial Narrow" w:cs="Minion-Italic"/>
          <w:i/>
          <w:iCs/>
        </w:rPr>
        <w:t xml:space="preserve">duration </w:t>
      </w:r>
      <w:r w:rsidRPr="00B72CEA">
        <w:rPr>
          <w:rFonts w:ascii="Arial Narrow" w:eastAsia="Minion-Regular" w:hAnsi="Arial Narrow" w:cs="Minion-Regular"/>
        </w:rPr>
        <w:t>as a more precise measure than maturity of the sensitivity of a financial asset’s</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price to changes in the interest rate.</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The longer the duration of a particular bank asset</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or bank liability, the more the value of the asset or liability will change as a result of a</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 xml:space="preserve">change in market interest rates. </w:t>
      </w:r>
      <w:r w:rsidRPr="00B72CEA">
        <w:rPr>
          <w:rFonts w:ascii="Arial Narrow" w:eastAsia="Minion-Regular" w:hAnsi="Arial Narrow" w:cs="Minion-Bold"/>
          <w:b/>
          <w:bCs/>
        </w:rPr>
        <w:t xml:space="preserve">Duration analysis </w:t>
      </w:r>
      <w:r w:rsidRPr="00B72CEA">
        <w:rPr>
          <w:rFonts w:ascii="Arial Narrow" w:eastAsia="Minion-Regular" w:hAnsi="Arial Narrow" w:cs="Minion-Regular"/>
        </w:rPr>
        <w:t>measures how sensitive a bank’s</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 xml:space="preserve">capital is to changes in market interest rates. A bank’s </w:t>
      </w:r>
      <w:r w:rsidRPr="00B72CEA">
        <w:rPr>
          <w:rFonts w:ascii="Arial Narrow" w:eastAsia="Minion-Regular" w:hAnsi="Arial Narrow" w:cs="Minion-Italic"/>
          <w:i/>
          <w:iCs/>
        </w:rPr>
        <w:t xml:space="preserve">duration gap </w:t>
      </w:r>
      <w:r w:rsidRPr="00B72CEA">
        <w:rPr>
          <w:rFonts w:ascii="Arial Narrow" w:eastAsia="Minion-Regular" w:hAnsi="Arial Narrow" w:cs="Minion-Regular"/>
        </w:rPr>
        <w:t>is the difference</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between the average duration of the bank’s assets and the average duration of the</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bank’s liabilities. If a bank has a positive duration gap, the duration of the bank’s assets</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is greater than the duration of the bank’s liabilities. In this case, an increase in market</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interest rates will reduce the value of the bank’s assets more than the value of the bank’s</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liabilities, which will decrease the bank’s capital. Banks typically have positive duration</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gaps because their assets—mainly loans and securities—have longer durations than</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their liabilities—mainly deposits.</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 xml:space="preserve">We summarize gap and duration analysis in </w:t>
      </w:r>
      <w:r w:rsidR="00B51B67" w:rsidRPr="00B72CEA">
        <w:rPr>
          <w:rFonts w:ascii="Arial Narrow" w:eastAsia="Minion-Regular" w:hAnsi="Arial Narrow" w:cs="Minion-Regular"/>
        </w:rPr>
        <w:t>the Table below</w:t>
      </w:r>
      <w:r w:rsidRPr="00B72CEA">
        <w:rPr>
          <w:rFonts w:ascii="Arial Narrow" w:eastAsia="Minion-Regular" w:hAnsi="Arial Narrow" w:cs="Minion-Regular"/>
        </w:rPr>
        <w:t>. We can conclude that</w:t>
      </w:r>
      <w:r w:rsidR="00B51B67" w:rsidRPr="00B72CEA">
        <w:rPr>
          <w:rFonts w:ascii="Arial Narrow" w:eastAsia="Minion-Regular" w:hAnsi="Arial Narrow" w:cs="Minion-Regular"/>
        </w:rPr>
        <w:t xml:space="preserve"> </w:t>
      </w:r>
      <w:r w:rsidRPr="00B72CEA">
        <w:rPr>
          <w:rFonts w:ascii="Arial Narrow" w:eastAsia="Minion-Regular" w:hAnsi="Arial Narrow" w:cs="Minion-Italic"/>
          <w:i/>
          <w:iCs/>
        </w:rPr>
        <w:t xml:space="preserve">falling </w:t>
      </w:r>
      <w:r w:rsidRPr="00B72CEA">
        <w:rPr>
          <w:rFonts w:ascii="Arial Narrow" w:eastAsia="Minion-Regular" w:hAnsi="Arial Narrow" w:cs="Minion-Regular"/>
        </w:rPr>
        <w:t xml:space="preserve">market interest rates are typically good news for banks because they will </w:t>
      </w:r>
      <w:r w:rsidRPr="00B72CEA">
        <w:rPr>
          <w:rFonts w:ascii="Arial Narrow" w:eastAsia="Minion-Regular" w:hAnsi="Arial Narrow" w:cs="Minion-Italic"/>
          <w:i/>
          <w:iCs/>
        </w:rPr>
        <w:t>increase</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 xml:space="preserve">bank profits and the value of bank capital, while </w:t>
      </w:r>
      <w:r w:rsidRPr="00B72CEA">
        <w:rPr>
          <w:rFonts w:ascii="Arial Narrow" w:eastAsia="Minion-Regular" w:hAnsi="Arial Narrow" w:cs="Minion-Italic"/>
          <w:i/>
          <w:iCs/>
        </w:rPr>
        <w:t xml:space="preserve">rising </w:t>
      </w:r>
      <w:r w:rsidRPr="00B72CEA">
        <w:rPr>
          <w:rFonts w:ascii="Arial Narrow" w:eastAsia="Minion-Regular" w:hAnsi="Arial Narrow" w:cs="Minion-Regular"/>
        </w:rPr>
        <w:t>market interest rates are bad</w:t>
      </w:r>
      <w:r w:rsidR="00B51B67" w:rsidRPr="00B72CEA">
        <w:rPr>
          <w:rFonts w:ascii="Arial Narrow" w:eastAsia="Minion-Regular" w:hAnsi="Arial Narrow" w:cs="Minion-Regular"/>
        </w:rPr>
        <w:t xml:space="preserve"> </w:t>
      </w:r>
      <w:r w:rsidRPr="00B72CEA">
        <w:rPr>
          <w:rFonts w:ascii="Arial Narrow" w:eastAsia="Minion-Regular" w:hAnsi="Arial Narrow" w:cs="Minion-Regular"/>
        </w:rPr>
        <w:t xml:space="preserve">news for banks because they will </w:t>
      </w:r>
      <w:r w:rsidRPr="00B72CEA">
        <w:rPr>
          <w:rFonts w:ascii="Arial Narrow" w:eastAsia="Minion-Regular" w:hAnsi="Arial Narrow" w:cs="Minion-Italic"/>
          <w:i/>
          <w:iCs/>
        </w:rPr>
        <w:t xml:space="preserve">decrease </w:t>
      </w:r>
      <w:r w:rsidRPr="00B72CEA">
        <w:rPr>
          <w:rFonts w:ascii="Arial Narrow" w:eastAsia="Minion-Regular" w:hAnsi="Arial Narrow" w:cs="Minion-Regular"/>
        </w:rPr>
        <w:t>bank profits and the value of bank capital.</w:t>
      </w:r>
    </w:p>
    <w:p w:rsidR="00DF605B" w:rsidRDefault="00DF605B" w:rsidP="00C534CC">
      <w:pPr>
        <w:autoSpaceDE w:val="0"/>
        <w:autoSpaceDN w:val="0"/>
        <w:adjustRightInd w:val="0"/>
        <w:spacing w:after="0" w:line="240" w:lineRule="auto"/>
        <w:rPr>
          <w:rFonts w:ascii="Arial Narrow" w:eastAsia="Minion-Regular" w:hAnsi="Arial Narrow" w:cs="Minion-Regular"/>
        </w:rPr>
      </w:pPr>
    </w:p>
    <w:tbl>
      <w:tblPr>
        <w:tblStyle w:val="TableGrid"/>
        <w:tblW w:w="0" w:type="auto"/>
        <w:tblLook w:val="04A0"/>
      </w:tblPr>
      <w:tblGrid>
        <w:gridCol w:w="1908"/>
        <w:gridCol w:w="3870"/>
        <w:gridCol w:w="3798"/>
      </w:tblGrid>
      <w:tr w:rsidR="00DF605B" w:rsidTr="00DF605B">
        <w:tc>
          <w:tcPr>
            <w:tcW w:w="1908" w:type="dxa"/>
          </w:tcPr>
          <w:p w:rsidR="00DF605B" w:rsidRDefault="00DF605B" w:rsidP="00C534CC">
            <w:pPr>
              <w:autoSpaceDE w:val="0"/>
              <w:autoSpaceDN w:val="0"/>
              <w:adjustRightInd w:val="0"/>
              <w:rPr>
                <w:rFonts w:ascii="Arial Narrow" w:eastAsia="Minion-Regular" w:hAnsi="Arial Narrow" w:cs="Minion-Regular"/>
              </w:rPr>
            </w:pPr>
            <w:r>
              <w:rPr>
                <w:rFonts w:ascii="Arial Narrow" w:eastAsia="Minion-Regular" w:hAnsi="Arial Narrow" w:cs="Minion-Regular"/>
              </w:rPr>
              <w:t>MOST BANKS HAVE</w:t>
            </w:r>
          </w:p>
        </w:tc>
        <w:tc>
          <w:tcPr>
            <w:tcW w:w="3870" w:type="dxa"/>
          </w:tcPr>
          <w:p w:rsidR="00DF605B" w:rsidRDefault="00DF605B" w:rsidP="00C534CC">
            <w:pPr>
              <w:autoSpaceDE w:val="0"/>
              <w:autoSpaceDN w:val="0"/>
              <w:adjustRightInd w:val="0"/>
              <w:rPr>
                <w:rFonts w:ascii="Arial Narrow" w:eastAsia="Minion-Regular" w:hAnsi="Arial Narrow" w:cs="Minion-Regular"/>
              </w:rPr>
            </w:pPr>
            <w:r>
              <w:rPr>
                <w:rFonts w:ascii="Arial Narrow" w:eastAsia="Minion-Regular" w:hAnsi="Arial Narrow" w:cs="Minion-Regular"/>
              </w:rPr>
              <w:t>So an increase in market interest rates will …</w:t>
            </w:r>
          </w:p>
        </w:tc>
        <w:tc>
          <w:tcPr>
            <w:tcW w:w="3798" w:type="dxa"/>
          </w:tcPr>
          <w:p w:rsidR="00DF605B" w:rsidRDefault="00DF605B" w:rsidP="00DF605B">
            <w:pPr>
              <w:autoSpaceDE w:val="0"/>
              <w:autoSpaceDN w:val="0"/>
              <w:adjustRightInd w:val="0"/>
              <w:rPr>
                <w:rFonts w:ascii="Arial Narrow" w:eastAsia="Minion-Regular" w:hAnsi="Arial Narrow" w:cs="Minion-Regular"/>
              </w:rPr>
            </w:pPr>
            <w:r>
              <w:rPr>
                <w:rFonts w:ascii="Arial Narrow" w:eastAsia="Minion-Regular" w:hAnsi="Arial Narrow" w:cs="Minion-Regular"/>
              </w:rPr>
              <w:t>And a decrease in market interest rates will</w:t>
            </w:r>
            <w:proofErr w:type="gramStart"/>
            <w:r>
              <w:rPr>
                <w:rFonts w:ascii="Arial Narrow" w:eastAsia="Minion-Regular" w:hAnsi="Arial Narrow" w:cs="Minion-Regular"/>
              </w:rPr>
              <w:t>..</w:t>
            </w:r>
            <w:proofErr w:type="gramEnd"/>
          </w:p>
        </w:tc>
      </w:tr>
      <w:tr w:rsidR="00DF605B" w:rsidTr="00DF605B">
        <w:tc>
          <w:tcPr>
            <w:tcW w:w="1908" w:type="dxa"/>
          </w:tcPr>
          <w:p w:rsidR="00DF605B" w:rsidRDefault="00DF605B" w:rsidP="00C534CC">
            <w:pPr>
              <w:autoSpaceDE w:val="0"/>
              <w:autoSpaceDN w:val="0"/>
              <w:adjustRightInd w:val="0"/>
              <w:rPr>
                <w:rFonts w:ascii="Arial Narrow" w:eastAsia="Minion-Regular" w:hAnsi="Arial Narrow" w:cs="Minion-Regular"/>
              </w:rPr>
            </w:pPr>
            <w:r>
              <w:rPr>
                <w:rFonts w:ascii="Arial Narrow" w:eastAsia="Minion-Regular" w:hAnsi="Arial Narrow" w:cs="Minion-Regular"/>
              </w:rPr>
              <w:t>A positive gap</w:t>
            </w:r>
          </w:p>
        </w:tc>
        <w:tc>
          <w:tcPr>
            <w:tcW w:w="3870" w:type="dxa"/>
          </w:tcPr>
          <w:p w:rsidR="00DF605B" w:rsidRDefault="00DF605B" w:rsidP="00C534CC">
            <w:pPr>
              <w:autoSpaceDE w:val="0"/>
              <w:autoSpaceDN w:val="0"/>
              <w:adjustRightInd w:val="0"/>
              <w:rPr>
                <w:rFonts w:ascii="Arial Narrow" w:eastAsia="Minion-Regular" w:hAnsi="Arial Narrow" w:cs="Minion-Regular"/>
              </w:rPr>
            </w:pPr>
            <w:r>
              <w:rPr>
                <w:rFonts w:ascii="Arial Narrow" w:eastAsia="Minion-Regular" w:hAnsi="Arial Narrow" w:cs="Minion-Regular"/>
              </w:rPr>
              <w:t>Decrease bank profits</w:t>
            </w:r>
          </w:p>
        </w:tc>
        <w:tc>
          <w:tcPr>
            <w:tcW w:w="3798" w:type="dxa"/>
          </w:tcPr>
          <w:p w:rsidR="00DF605B" w:rsidRDefault="00DF605B" w:rsidP="00C534CC">
            <w:pPr>
              <w:autoSpaceDE w:val="0"/>
              <w:autoSpaceDN w:val="0"/>
              <w:adjustRightInd w:val="0"/>
              <w:rPr>
                <w:rFonts w:ascii="Arial Narrow" w:eastAsia="Minion-Regular" w:hAnsi="Arial Narrow" w:cs="Minion-Regular"/>
              </w:rPr>
            </w:pPr>
            <w:r>
              <w:rPr>
                <w:rFonts w:ascii="Arial Narrow" w:eastAsia="Minion-Regular" w:hAnsi="Arial Narrow" w:cs="Minion-Regular"/>
              </w:rPr>
              <w:t>Increase bank profits</w:t>
            </w:r>
          </w:p>
        </w:tc>
      </w:tr>
      <w:tr w:rsidR="00DF605B" w:rsidTr="00DF605B">
        <w:tc>
          <w:tcPr>
            <w:tcW w:w="1908" w:type="dxa"/>
          </w:tcPr>
          <w:p w:rsidR="00DF605B" w:rsidRDefault="00DF605B" w:rsidP="00C534CC">
            <w:pPr>
              <w:autoSpaceDE w:val="0"/>
              <w:autoSpaceDN w:val="0"/>
              <w:adjustRightInd w:val="0"/>
              <w:rPr>
                <w:rFonts w:ascii="Arial Narrow" w:eastAsia="Minion-Regular" w:hAnsi="Arial Narrow" w:cs="Minion-Regular"/>
              </w:rPr>
            </w:pPr>
            <w:r>
              <w:rPr>
                <w:rFonts w:ascii="Arial Narrow" w:eastAsia="Minion-Regular" w:hAnsi="Arial Narrow" w:cs="Minion-Regular"/>
              </w:rPr>
              <w:t>A negative duration gap</w:t>
            </w:r>
          </w:p>
        </w:tc>
        <w:tc>
          <w:tcPr>
            <w:tcW w:w="3870" w:type="dxa"/>
          </w:tcPr>
          <w:p w:rsidR="00DF605B" w:rsidRDefault="00DF605B" w:rsidP="00C534CC">
            <w:pPr>
              <w:autoSpaceDE w:val="0"/>
              <w:autoSpaceDN w:val="0"/>
              <w:adjustRightInd w:val="0"/>
              <w:rPr>
                <w:rFonts w:ascii="Arial Narrow" w:eastAsia="Minion-Regular" w:hAnsi="Arial Narrow" w:cs="Minion-Regular"/>
              </w:rPr>
            </w:pPr>
            <w:r>
              <w:rPr>
                <w:rFonts w:ascii="Arial Narrow" w:eastAsia="Minion-Regular" w:hAnsi="Arial Narrow" w:cs="Minion-Regular"/>
              </w:rPr>
              <w:t>Decrease bank capital</w:t>
            </w:r>
          </w:p>
        </w:tc>
        <w:tc>
          <w:tcPr>
            <w:tcW w:w="3798" w:type="dxa"/>
          </w:tcPr>
          <w:p w:rsidR="00DF605B" w:rsidRDefault="00DF605B" w:rsidP="00C534CC">
            <w:pPr>
              <w:autoSpaceDE w:val="0"/>
              <w:autoSpaceDN w:val="0"/>
              <w:adjustRightInd w:val="0"/>
              <w:rPr>
                <w:rFonts w:ascii="Arial Narrow" w:eastAsia="Minion-Regular" w:hAnsi="Arial Narrow" w:cs="Minion-Regular"/>
              </w:rPr>
            </w:pPr>
            <w:r>
              <w:rPr>
                <w:rFonts w:ascii="Arial Narrow" w:eastAsia="Minion-Regular" w:hAnsi="Arial Narrow" w:cs="Minion-Regular"/>
              </w:rPr>
              <w:t>Increase bank capital</w:t>
            </w:r>
          </w:p>
        </w:tc>
      </w:tr>
    </w:tbl>
    <w:p w:rsidR="00DF605B" w:rsidRDefault="00DF605B" w:rsidP="00C534CC">
      <w:pPr>
        <w:autoSpaceDE w:val="0"/>
        <w:autoSpaceDN w:val="0"/>
        <w:adjustRightInd w:val="0"/>
        <w:spacing w:after="0" w:line="240" w:lineRule="auto"/>
        <w:rPr>
          <w:rFonts w:ascii="Arial Narrow" w:eastAsia="Minion-Regular" w:hAnsi="Arial Narrow" w:cs="Minion-Regular"/>
        </w:rPr>
      </w:pPr>
    </w:p>
    <w:p w:rsidR="00DF605B" w:rsidRPr="00CE5AA3" w:rsidRDefault="00DF605B" w:rsidP="00DF605B">
      <w:pPr>
        <w:autoSpaceDE w:val="0"/>
        <w:autoSpaceDN w:val="0"/>
        <w:adjustRightInd w:val="0"/>
        <w:spacing w:after="0" w:line="240" w:lineRule="auto"/>
        <w:rPr>
          <w:rFonts w:ascii="Arial Narrow" w:hAnsi="Arial Narrow" w:cs="Syntax-Black"/>
          <w:b/>
          <w:bCs/>
        </w:rPr>
      </w:pPr>
      <w:r w:rsidRPr="00CE5AA3">
        <w:rPr>
          <w:rFonts w:ascii="Arial Narrow" w:hAnsi="Arial Narrow" w:cs="Syntax-Black"/>
          <w:b/>
          <w:bCs/>
        </w:rPr>
        <w:t>Reducing Interest-Rate Risk</w:t>
      </w:r>
    </w:p>
    <w:p w:rsidR="00AE039E" w:rsidRDefault="00DF605B" w:rsidP="00DF605B">
      <w:pPr>
        <w:autoSpaceDE w:val="0"/>
        <w:autoSpaceDN w:val="0"/>
        <w:adjustRightInd w:val="0"/>
        <w:spacing w:after="0" w:line="240" w:lineRule="auto"/>
        <w:rPr>
          <w:rFonts w:ascii="Arial Narrow" w:eastAsia="Minion-Regular" w:hAnsi="Arial Narrow" w:cs="Minion-Regular"/>
        </w:rPr>
      </w:pPr>
      <w:r w:rsidRPr="00CE5AA3">
        <w:rPr>
          <w:rFonts w:ascii="Arial Narrow" w:hAnsi="Arial Narrow" w:cs="Syntax-Black"/>
          <w:b/>
          <w:bCs/>
        </w:rPr>
        <w:t xml:space="preserve"> </w:t>
      </w:r>
      <w:r w:rsidRPr="00CE5AA3">
        <w:rPr>
          <w:rFonts w:ascii="Arial Narrow" w:eastAsia="Minion-Regular" w:hAnsi="Arial Narrow" w:cs="Minion-Regular"/>
        </w:rPr>
        <w:t xml:space="preserve">Bank managers can use a variety of strategies to reduce their exposure to interest-rate risk. Banks with negative gaps can make more adjustable-rate or </w:t>
      </w:r>
      <w:r w:rsidRPr="00CE5AA3">
        <w:rPr>
          <w:rFonts w:ascii="Arial Narrow" w:hAnsi="Arial Narrow" w:cs="Minion-Italic"/>
          <w:i/>
          <w:iCs/>
        </w:rPr>
        <w:t xml:space="preserve">floating-rate </w:t>
      </w:r>
      <w:r w:rsidRPr="00CE5AA3">
        <w:rPr>
          <w:rFonts w:ascii="Arial Narrow" w:eastAsia="Minion-Regular" w:hAnsi="Arial Narrow" w:cs="Minion-Regular"/>
        </w:rPr>
        <w:t xml:space="preserve">loans. That way, if market interest rates rise and banks must pay higher interest rates on deposits, they will also receive higher interest rates on their loans. Unfortunately for banks, many loan customers are reluctant to take out adjustable-rate loans because although the loans reduce the interest-rate risk banks face, they increase the interest-rate risk borrowers’ face. For example, if you buy a house using an adjustable-rate mortgage (ARM), your monthly payments will decline when market interest rates fall but rise if market interest rates rise. Many borrowers do not want to assume this interest-rate risk, so the great majority of residential </w:t>
      </w:r>
      <w:r w:rsidRPr="00CE5AA3">
        <w:rPr>
          <w:rFonts w:ascii="Arial Narrow" w:eastAsia="Minion-Regular" w:hAnsi="Arial Narrow" w:cs="Minion-Regular"/>
        </w:rPr>
        <w:lastRenderedPageBreak/>
        <w:t xml:space="preserve">mortgage loans are granted with fixed rates. Similarly, adjustable-rate car loans are rare. Fortunately, banks are able to sell many of their long-term loans as part of the </w:t>
      </w:r>
      <w:r w:rsidRPr="00CE5AA3">
        <w:rPr>
          <w:rFonts w:ascii="Arial Narrow" w:eastAsia="Minion-Regular" w:hAnsi="Arial Narrow" w:cs="Minion-Regular"/>
          <w:u w:val="single"/>
        </w:rPr>
        <w:t>securitization</w:t>
      </w:r>
      <w:r w:rsidRPr="00CE5AA3">
        <w:rPr>
          <w:rFonts w:ascii="Arial Narrow" w:eastAsia="Minion-Regular" w:hAnsi="Arial Narrow" w:cs="Minion-Regular"/>
        </w:rPr>
        <w:t xml:space="preserve"> process that you have already discussed in BCOM 330. In addition, many bank loans are granted to businesses and are short-term, variable-rate loans where the interest-rate risk is not very large.</w:t>
      </w:r>
      <w:r w:rsidR="00CE5AA3" w:rsidRPr="00CE5AA3">
        <w:rPr>
          <w:rFonts w:ascii="Arial Narrow" w:eastAsia="Minion-Regular" w:hAnsi="Arial Narrow" w:cs="Minion-Regular"/>
        </w:rPr>
        <w:t xml:space="preserve"> B</w:t>
      </w:r>
      <w:r w:rsidRPr="00CE5AA3">
        <w:rPr>
          <w:rFonts w:ascii="Arial Narrow" w:eastAsia="Minion-Regular" w:hAnsi="Arial Narrow" w:cs="Minion-Regular"/>
        </w:rPr>
        <w:t xml:space="preserve">anks can use </w:t>
      </w:r>
      <w:r w:rsidRPr="00CE5AA3">
        <w:rPr>
          <w:rFonts w:ascii="Arial Narrow" w:hAnsi="Arial Narrow" w:cs="Minion-Italic"/>
          <w:i/>
          <w:iCs/>
        </w:rPr>
        <w:t xml:space="preserve">interest-rate swaps </w:t>
      </w:r>
      <w:r w:rsidRPr="00CE5AA3">
        <w:rPr>
          <w:rFonts w:ascii="Arial Narrow" w:eastAsia="Minion-Regular" w:hAnsi="Arial Narrow" w:cs="Minion-Regular"/>
        </w:rPr>
        <w:t xml:space="preserve">in which they agree to exchange, or swap, </w:t>
      </w:r>
      <w:proofErr w:type="gramStart"/>
      <w:r w:rsidRPr="00CE5AA3">
        <w:rPr>
          <w:rFonts w:ascii="Arial Narrow" w:eastAsia="Minion-Regular" w:hAnsi="Arial Narrow" w:cs="Minion-Regular"/>
        </w:rPr>
        <w:t xml:space="preserve">the </w:t>
      </w:r>
      <w:r w:rsidR="00602DD3">
        <w:rPr>
          <w:rFonts w:ascii="Arial Narrow" w:eastAsia="Minion-Regular" w:hAnsi="Arial Narrow" w:cs="Minion-Regular"/>
        </w:rPr>
        <w:t xml:space="preserve"> </w:t>
      </w:r>
      <w:r w:rsidRPr="00CE5AA3">
        <w:rPr>
          <w:rFonts w:ascii="Arial Narrow" w:eastAsia="Minion-Regular" w:hAnsi="Arial Narrow" w:cs="Minion-Regular"/>
        </w:rPr>
        <w:t>financial</w:t>
      </w:r>
      <w:proofErr w:type="gramEnd"/>
      <w:r w:rsidRPr="00CE5AA3">
        <w:rPr>
          <w:rFonts w:ascii="Arial Narrow" w:eastAsia="Minion-Regular" w:hAnsi="Arial Narrow" w:cs="Minion-Regular"/>
        </w:rPr>
        <w:t xml:space="preserve"> firm. Swaps allow banks to satisfy the demands of their loan customers for fixed-rate loans while still reducing exposure to interest-rate risk.</w:t>
      </w:r>
      <w:r w:rsidR="00CE5AA3" w:rsidRPr="00CE5AA3">
        <w:rPr>
          <w:rFonts w:ascii="Arial Narrow" w:eastAsia="Minion-Regular" w:hAnsi="Arial Narrow" w:cs="Minion-Regular"/>
        </w:rPr>
        <w:t xml:space="preserve"> B</w:t>
      </w:r>
      <w:r w:rsidRPr="00CE5AA3">
        <w:rPr>
          <w:rFonts w:ascii="Arial Narrow" w:eastAsia="Minion-Regular" w:hAnsi="Arial Narrow" w:cs="Minion-Regular"/>
        </w:rPr>
        <w:t xml:space="preserve">anks </w:t>
      </w:r>
      <w:r w:rsidR="00CE5AA3" w:rsidRPr="00CE5AA3">
        <w:rPr>
          <w:rFonts w:ascii="Arial Narrow" w:eastAsia="Minion-Regular" w:hAnsi="Arial Narrow" w:cs="Minion-Regular"/>
        </w:rPr>
        <w:t>can also enter into</w:t>
      </w:r>
      <w:r w:rsidRPr="00CE5AA3">
        <w:rPr>
          <w:rFonts w:ascii="Arial Narrow" w:eastAsia="Minion-Regular" w:hAnsi="Arial Narrow" w:cs="Minion-Regular"/>
        </w:rPr>
        <w:t xml:space="preserve"> futures contracts and options contracts that can help hedge interest-rate risk. </w:t>
      </w:r>
    </w:p>
    <w:tbl>
      <w:tblPr>
        <w:tblStyle w:val="TableGrid"/>
        <w:tblW w:w="0" w:type="auto"/>
        <w:tblLook w:val="04A0"/>
      </w:tblPr>
      <w:tblGrid>
        <w:gridCol w:w="2838"/>
        <w:gridCol w:w="6738"/>
      </w:tblGrid>
      <w:tr w:rsidR="00AE039E" w:rsidTr="00AE039E">
        <w:tc>
          <w:tcPr>
            <w:tcW w:w="2838" w:type="dxa"/>
          </w:tcPr>
          <w:p w:rsidR="00AE039E" w:rsidRPr="00AE039E" w:rsidRDefault="00AE039E" w:rsidP="007C342D">
            <w:pPr>
              <w:rPr>
                <w:rFonts w:ascii="Arial Narrow" w:eastAsia="Times New Roman" w:hAnsi="Arial Narrow" w:cs="Times New Roman"/>
                <w:b/>
              </w:rPr>
            </w:pPr>
            <w:r w:rsidRPr="00AE039E">
              <w:rPr>
                <w:rFonts w:ascii="Arial Narrow" w:eastAsia="Times New Roman" w:hAnsi="Arial Narrow" w:cs="Times New Roman"/>
                <w:b/>
              </w:rPr>
              <w:t>Objectives</w:t>
            </w:r>
          </w:p>
        </w:tc>
        <w:tc>
          <w:tcPr>
            <w:tcW w:w="6738" w:type="dxa"/>
          </w:tcPr>
          <w:p w:rsidR="00AE039E" w:rsidRPr="00AE039E" w:rsidRDefault="00AE039E" w:rsidP="007C342D">
            <w:pPr>
              <w:rPr>
                <w:rFonts w:ascii="Arial Narrow" w:eastAsia="Times New Roman" w:hAnsi="Arial Narrow" w:cs="Times New Roman"/>
                <w:b/>
              </w:rPr>
            </w:pPr>
            <w:r w:rsidRPr="00AE039E">
              <w:rPr>
                <w:rFonts w:ascii="Arial Narrow" w:eastAsia="Times New Roman" w:hAnsi="Arial Narrow" w:cs="Times New Roman"/>
                <w:b/>
              </w:rPr>
              <w:t>Approaches</w:t>
            </w:r>
          </w:p>
        </w:tc>
      </w:tr>
      <w:tr w:rsidR="00AE039E" w:rsidTr="00AE039E">
        <w:tc>
          <w:tcPr>
            <w:tcW w:w="2838" w:type="dxa"/>
          </w:tcPr>
          <w:p w:rsidR="00AE039E" w:rsidRPr="00AE039E" w:rsidRDefault="00AE039E" w:rsidP="007C342D">
            <w:pPr>
              <w:rPr>
                <w:rFonts w:ascii="Arial Narrow" w:eastAsia="Times New Roman" w:hAnsi="Arial Narrow" w:cs="Times New Roman"/>
              </w:rPr>
            </w:pPr>
            <w:r w:rsidRPr="00AE039E">
              <w:rPr>
                <w:rFonts w:ascii="Arial Narrow" w:eastAsia="Times New Roman" w:hAnsi="Arial Narrow" w:cs="Times New Roman"/>
              </w:rPr>
              <w:t>Reduce asset sensitivity</w:t>
            </w:r>
          </w:p>
        </w:tc>
        <w:tc>
          <w:tcPr>
            <w:tcW w:w="6738" w:type="dxa"/>
          </w:tcPr>
          <w:p w:rsidR="00AE039E" w:rsidRPr="00AE039E" w:rsidRDefault="00AE039E" w:rsidP="007C342D">
            <w:pPr>
              <w:rPr>
                <w:rFonts w:ascii="Arial Narrow" w:eastAsia="Times New Roman" w:hAnsi="Arial Narrow" w:cs="Times New Roman"/>
              </w:rPr>
            </w:pPr>
            <w:r w:rsidRPr="00AE039E">
              <w:rPr>
                <w:rFonts w:ascii="Arial Narrow" w:eastAsia="Times New Roman" w:hAnsi="Arial Narrow" w:cs="Times New Roman"/>
              </w:rPr>
              <w:t>Buy longer term maturities, Lengthen the maturities of loans</w:t>
            </w:r>
          </w:p>
          <w:p w:rsidR="00AE039E" w:rsidRPr="00AE039E" w:rsidRDefault="00AE039E" w:rsidP="007C342D">
            <w:pPr>
              <w:rPr>
                <w:rFonts w:ascii="Arial Narrow" w:eastAsia="Times New Roman" w:hAnsi="Arial Narrow" w:cs="Times New Roman"/>
              </w:rPr>
            </w:pPr>
            <w:r w:rsidRPr="00AE039E">
              <w:rPr>
                <w:rFonts w:ascii="Arial Narrow" w:eastAsia="Times New Roman" w:hAnsi="Arial Narrow" w:cs="Times New Roman"/>
              </w:rPr>
              <w:t>Move from floating rate loans to term</w:t>
            </w:r>
            <w:r w:rsidR="00C20472">
              <w:rPr>
                <w:rFonts w:ascii="Arial Narrow" w:eastAsia="Times New Roman" w:hAnsi="Arial Narrow" w:cs="Times New Roman"/>
              </w:rPr>
              <w:t>/ fixed rate</w:t>
            </w:r>
            <w:r w:rsidRPr="00AE039E">
              <w:rPr>
                <w:rFonts w:ascii="Arial Narrow" w:eastAsia="Times New Roman" w:hAnsi="Arial Narrow" w:cs="Times New Roman"/>
              </w:rPr>
              <w:t xml:space="preserve"> loans</w:t>
            </w:r>
          </w:p>
        </w:tc>
      </w:tr>
      <w:tr w:rsidR="00AE039E" w:rsidTr="00AE039E">
        <w:tc>
          <w:tcPr>
            <w:tcW w:w="2838" w:type="dxa"/>
          </w:tcPr>
          <w:p w:rsidR="00AE039E" w:rsidRPr="00AE039E" w:rsidRDefault="00AE039E" w:rsidP="007C342D">
            <w:pPr>
              <w:rPr>
                <w:rFonts w:ascii="Arial Narrow" w:eastAsia="Times New Roman" w:hAnsi="Arial Narrow" w:cs="Times New Roman"/>
              </w:rPr>
            </w:pPr>
            <w:r w:rsidRPr="00AE039E">
              <w:rPr>
                <w:rFonts w:ascii="Arial Narrow" w:eastAsia="Times New Roman" w:hAnsi="Arial Narrow" w:cs="Times New Roman"/>
              </w:rPr>
              <w:t>Increase asset sensitivity</w:t>
            </w:r>
          </w:p>
        </w:tc>
        <w:tc>
          <w:tcPr>
            <w:tcW w:w="6738" w:type="dxa"/>
          </w:tcPr>
          <w:p w:rsidR="00AE039E" w:rsidRPr="00AE039E" w:rsidRDefault="00AE039E" w:rsidP="007C342D">
            <w:pPr>
              <w:rPr>
                <w:rFonts w:ascii="Arial Narrow" w:eastAsia="Times New Roman" w:hAnsi="Arial Narrow" w:cs="Times New Roman"/>
              </w:rPr>
            </w:pPr>
            <w:r w:rsidRPr="00AE039E">
              <w:rPr>
                <w:rFonts w:ascii="Arial Narrow" w:eastAsia="Times New Roman" w:hAnsi="Arial Narrow" w:cs="Times New Roman"/>
              </w:rPr>
              <w:t>Buy short term securities, Shorten loan maturities</w:t>
            </w:r>
          </w:p>
          <w:p w:rsidR="00AE039E" w:rsidRPr="00AE039E" w:rsidRDefault="00AE039E" w:rsidP="007C342D">
            <w:pPr>
              <w:rPr>
                <w:rFonts w:ascii="Arial Narrow" w:eastAsia="Times New Roman" w:hAnsi="Arial Narrow" w:cs="Times New Roman"/>
              </w:rPr>
            </w:pPr>
            <w:r w:rsidRPr="00AE039E">
              <w:rPr>
                <w:rFonts w:ascii="Arial Narrow" w:eastAsia="Times New Roman" w:hAnsi="Arial Narrow" w:cs="Times New Roman"/>
              </w:rPr>
              <w:t>Make more loans on a floating rate basis</w:t>
            </w:r>
          </w:p>
        </w:tc>
      </w:tr>
      <w:tr w:rsidR="00AE039E" w:rsidTr="00AE039E">
        <w:tc>
          <w:tcPr>
            <w:tcW w:w="2838" w:type="dxa"/>
          </w:tcPr>
          <w:p w:rsidR="00AE039E" w:rsidRPr="00AE039E" w:rsidRDefault="00AE039E" w:rsidP="007C342D">
            <w:pPr>
              <w:rPr>
                <w:rFonts w:ascii="Arial Narrow" w:eastAsia="Times New Roman" w:hAnsi="Arial Narrow" w:cs="Times New Roman"/>
              </w:rPr>
            </w:pPr>
            <w:r w:rsidRPr="00AE039E">
              <w:rPr>
                <w:rFonts w:ascii="Arial Narrow" w:eastAsia="Times New Roman" w:hAnsi="Arial Narrow" w:cs="Times New Roman"/>
              </w:rPr>
              <w:t>Reduce liability sensitivity</w:t>
            </w:r>
          </w:p>
        </w:tc>
        <w:tc>
          <w:tcPr>
            <w:tcW w:w="6738" w:type="dxa"/>
          </w:tcPr>
          <w:p w:rsidR="00AE039E" w:rsidRPr="00AE039E" w:rsidRDefault="00AE039E" w:rsidP="007C342D">
            <w:pPr>
              <w:rPr>
                <w:rFonts w:ascii="Arial Narrow" w:eastAsia="Times New Roman" w:hAnsi="Arial Narrow" w:cs="Times New Roman"/>
              </w:rPr>
            </w:pPr>
            <w:r w:rsidRPr="00AE039E">
              <w:rPr>
                <w:rFonts w:ascii="Arial Narrow" w:eastAsia="Times New Roman" w:hAnsi="Arial Narrow" w:cs="Times New Roman"/>
              </w:rPr>
              <w:t>Pay premiums to attract longer term deposit instruments, Issue long term subordinated debt</w:t>
            </w:r>
          </w:p>
        </w:tc>
      </w:tr>
      <w:tr w:rsidR="00AE039E" w:rsidTr="00AE039E">
        <w:tc>
          <w:tcPr>
            <w:tcW w:w="2838" w:type="dxa"/>
          </w:tcPr>
          <w:p w:rsidR="00AE039E" w:rsidRPr="00AE039E" w:rsidRDefault="00AE039E" w:rsidP="007C342D">
            <w:pPr>
              <w:rPr>
                <w:rFonts w:ascii="Arial Narrow" w:eastAsia="Times New Roman" w:hAnsi="Arial Narrow" w:cs="Times New Roman"/>
              </w:rPr>
            </w:pPr>
            <w:r w:rsidRPr="00AE039E">
              <w:rPr>
                <w:rFonts w:ascii="Arial Narrow" w:eastAsia="Times New Roman" w:hAnsi="Arial Narrow" w:cs="Times New Roman"/>
              </w:rPr>
              <w:t>Increase liability sensitivity</w:t>
            </w:r>
          </w:p>
        </w:tc>
        <w:tc>
          <w:tcPr>
            <w:tcW w:w="6738" w:type="dxa"/>
          </w:tcPr>
          <w:p w:rsidR="00AE039E" w:rsidRPr="00AE039E" w:rsidRDefault="00AE039E" w:rsidP="007C342D">
            <w:pPr>
              <w:rPr>
                <w:rFonts w:ascii="Arial Narrow" w:eastAsia="Times New Roman" w:hAnsi="Arial Narrow" w:cs="Times New Roman"/>
              </w:rPr>
            </w:pPr>
            <w:r w:rsidRPr="00AE039E">
              <w:rPr>
                <w:rFonts w:ascii="Arial Narrow" w:eastAsia="Times New Roman" w:hAnsi="Arial Narrow" w:cs="Times New Roman"/>
              </w:rPr>
              <w:t>Pay premiums to attract short term deposit instruments, Borrow more via non-core purchased liabilities.</w:t>
            </w:r>
          </w:p>
        </w:tc>
      </w:tr>
    </w:tbl>
    <w:p w:rsidR="00CE5AA3" w:rsidRPr="00CE5AA3" w:rsidRDefault="00CE5AA3" w:rsidP="00DF605B">
      <w:pPr>
        <w:autoSpaceDE w:val="0"/>
        <w:autoSpaceDN w:val="0"/>
        <w:adjustRightInd w:val="0"/>
        <w:spacing w:after="0" w:line="240" w:lineRule="auto"/>
        <w:rPr>
          <w:rFonts w:ascii="Arial Narrow" w:eastAsia="Minion-Regular" w:hAnsi="Arial Narrow" w:cs="Minion-Regular"/>
        </w:rPr>
      </w:pPr>
    </w:p>
    <w:p w:rsidR="00CE5AA3" w:rsidRPr="003C7A0D" w:rsidRDefault="00CE5AA3" w:rsidP="00DF605B">
      <w:pPr>
        <w:autoSpaceDE w:val="0"/>
        <w:autoSpaceDN w:val="0"/>
        <w:adjustRightInd w:val="0"/>
        <w:spacing w:after="0" w:line="240" w:lineRule="auto"/>
        <w:rPr>
          <w:rFonts w:ascii="Arial Narrow" w:eastAsia="Minion-Regular" w:hAnsi="Arial Narrow" w:cs="Minion-Regular"/>
          <w:b/>
          <w:u w:val="single"/>
        </w:rPr>
      </w:pPr>
      <w:r w:rsidRPr="003C7A0D">
        <w:rPr>
          <w:rFonts w:ascii="Arial Narrow" w:eastAsia="Minion-Regular" w:hAnsi="Arial Narrow" w:cs="Minion-Regular"/>
          <w:b/>
          <w:u w:val="single"/>
        </w:rPr>
        <w:t>COMMERCIAL BANKING IN KENYA: STATUS AND TRENDS</w:t>
      </w:r>
    </w:p>
    <w:p w:rsidR="003C7A0D" w:rsidRPr="003C7A0D" w:rsidRDefault="00F96C31" w:rsidP="00DF605B">
      <w:pPr>
        <w:autoSpaceDE w:val="0"/>
        <w:autoSpaceDN w:val="0"/>
        <w:adjustRightInd w:val="0"/>
        <w:spacing w:after="0" w:line="240" w:lineRule="auto"/>
        <w:rPr>
          <w:rFonts w:ascii="Arial Narrow" w:eastAsia="Minion-Regular" w:hAnsi="Arial Narrow" w:cs="Minion-Regular"/>
          <w:b/>
          <w:u w:val="single"/>
        </w:rPr>
      </w:pPr>
      <w:r w:rsidRPr="003C7A0D">
        <w:rPr>
          <w:rFonts w:ascii="Arial Narrow" w:eastAsia="Minion-Regular" w:hAnsi="Arial Narrow" w:cs="Minion-Regular"/>
          <w:b/>
          <w:u w:val="single"/>
        </w:rPr>
        <w:t xml:space="preserve">The </w:t>
      </w:r>
      <w:r w:rsidR="00CE5AA3" w:rsidRPr="003C7A0D">
        <w:rPr>
          <w:rFonts w:ascii="Arial Narrow" w:eastAsia="Minion-Regular" w:hAnsi="Arial Narrow" w:cs="Minion-Regular"/>
          <w:b/>
          <w:u w:val="single"/>
        </w:rPr>
        <w:t xml:space="preserve">banking </w:t>
      </w:r>
      <w:r w:rsidRPr="003C7A0D">
        <w:rPr>
          <w:rFonts w:ascii="Arial Narrow" w:eastAsia="Minion-Regular" w:hAnsi="Arial Narrow" w:cs="Minion-Regular"/>
          <w:b/>
          <w:u w:val="single"/>
        </w:rPr>
        <w:t xml:space="preserve">sector </w:t>
      </w:r>
      <w:r w:rsidR="00CE5AA3" w:rsidRPr="003C7A0D">
        <w:rPr>
          <w:rFonts w:ascii="Arial Narrow" w:eastAsia="Minion-Regular" w:hAnsi="Arial Narrow" w:cs="Minion-Regular"/>
          <w:b/>
          <w:u w:val="single"/>
        </w:rPr>
        <w:t>in Kenya.</w:t>
      </w:r>
    </w:p>
    <w:p w:rsidR="00F96C31" w:rsidRPr="003C7A0D" w:rsidRDefault="00F96C31" w:rsidP="00DF605B">
      <w:pPr>
        <w:autoSpaceDE w:val="0"/>
        <w:autoSpaceDN w:val="0"/>
        <w:adjustRightInd w:val="0"/>
        <w:spacing w:after="0" w:line="240" w:lineRule="auto"/>
        <w:rPr>
          <w:rFonts w:ascii="Arial Narrow" w:eastAsia="Minion-Regular" w:hAnsi="Arial Narrow" w:cs="Minion-Regular"/>
          <w:b/>
          <w:u w:val="single"/>
        </w:rPr>
      </w:pPr>
      <w:r w:rsidRPr="003C7A0D">
        <w:rPr>
          <w:rFonts w:ascii="Arial Narrow" w:eastAsia="Minion-Regular" w:hAnsi="Arial Narrow" w:cs="Minion-Regular"/>
          <w:b/>
          <w:u w:val="single"/>
        </w:rPr>
        <w:t xml:space="preserve"> (Refer to </w:t>
      </w:r>
      <w:r w:rsidRPr="003C7A0D">
        <w:rPr>
          <w:rFonts w:ascii="Arial Narrow" w:eastAsia="Minion-Regular" w:hAnsi="Arial Narrow" w:cs="Minion-Regular"/>
          <w:u w:val="single"/>
        </w:rPr>
        <w:t>The CBK Bank supervision annual report</w:t>
      </w:r>
      <w:r w:rsidRPr="003C7A0D">
        <w:rPr>
          <w:rFonts w:ascii="Arial Narrow" w:eastAsia="Minion-Regular" w:hAnsi="Arial Narrow" w:cs="Minion-Regular"/>
          <w:b/>
          <w:u w:val="single"/>
        </w:rPr>
        <w:t>- available for free at the CBK website).</w:t>
      </w:r>
    </w:p>
    <w:p w:rsidR="003C7A0D" w:rsidRDefault="00F96C31" w:rsidP="00F96C31">
      <w:pPr>
        <w:autoSpaceDE w:val="0"/>
        <w:autoSpaceDN w:val="0"/>
        <w:adjustRightInd w:val="0"/>
        <w:spacing w:after="0" w:line="240" w:lineRule="auto"/>
        <w:rPr>
          <w:rFonts w:ascii="Arial Narrow" w:hAnsi="Arial Narrow" w:cs="Garamond"/>
        </w:rPr>
      </w:pPr>
      <w:r w:rsidRPr="003C7A0D">
        <w:rPr>
          <w:rFonts w:ascii="Arial Narrow" w:hAnsi="Arial Narrow" w:cs="Garamond"/>
        </w:rPr>
        <w:t>As at 31st December 2010, the banking sector comprised of the Central Bank of Kenya, as the regulatory authority, 4</w:t>
      </w:r>
      <w:r w:rsidR="003643F8">
        <w:rPr>
          <w:rFonts w:ascii="Arial Narrow" w:hAnsi="Arial Narrow" w:cs="Garamond"/>
        </w:rPr>
        <w:t>5</w:t>
      </w:r>
      <w:r w:rsidRPr="003C7A0D">
        <w:rPr>
          <w:rStyle w:val="FootnoteReference"/>
          <w:rFonts w:ascii="Arial Narrow" w:hAnsi="Arial Narrow" w:cs="Garamond"/>
        </w:rPr>
        <w:footnoteReference w:id="3"/>
      </w:r>
      <w:r w:rsidR="00EB19A8">
        <w:rPr>
          <w:rFonts w:ascii="Arial Narrow" w:hAnsi="Arial Narrow" w:cs="Garamond"/>
        </w:rPr>
        <w:t xml:space="preserve"> banking institutions (44</w:t>
      </w:r>
      <w:r w:rsidRPr="003C7A0D">
        <w:rPr>
          <w:rFonts w:ascii="Arial Narrow" w:hAnsi="Arial Narrow" w:cs="Garamond"/>
        </w:rPr>
        <w:t xml:space="preserve"> commercial banks and 1 mortgage finance company), 2 representative offices of foreign banks, 5 Deposit-Taking Microfinance Institutions (DTMs) and 126 Forex Bureaus. 31 of the banking institutions are locally owned while 13 are foreign owned as shown i</w:t>
      </w:r>
      <w:r w:rsidR="003C7A0D" w:rsidRPr="003C7A0D">
        <w:rPr>
          <w:rFonts w:ascii="Arial Narrow" w:hAnsi="Arial Narrow" w:cs="Garamond"/>
        </w:rPr>
        <w:t>n the chart below</w:t>
      </w:r>
      <w:r w:rsidRPr="003C7A0D">
        <w:rPr>
          <w:rFonts w:ascii="Arial Narrow" w:hAnsi="Arial Narrow" w:cs="Garamond"/>
        </w:rPr>
        <w:t xml:space="preserve">. The locally owned financial institutions comprise of 3 banks with </w:t>
      </w:r>
      <w:r w:rsidR="003643F8">
        <w:rPr>
          <w:rFonts w:ascii="Arial Narrow" w:hAnsi="Arial Narrow" w:cs="Garamond"/>
        </w:rPr>
        <w:t>public shareholding, 28</w:t>
      </w:r>
      <w:r w:rsidRPr="003C7A0D">
        <w:rPr>
          <w:rFonts w:ascii="Arial Narrow" w:hAnsi="Arial Narrow" w:cs="Garamond"/>
        </w:rPr>
        <w:t xml:space="preserve"> privately owned commercial banks, 1 mortgage finance company (MFC) while 5 DTMs and 126 Forex bureaus are privately owned. The foreign owned financial institutions comprise of 9 locally incorporated foreign banks and 4 branches of foreign incorporated banks.</w:t>
      </w:r>
    </w:p>
    <w:p w:rsidR="003C7A0D" w:rsidRDefault="00E72C94" w:rsidP="00AE039E">
      <w:pPr>
        <w:autoSpaceDE w:val="0"/>
        <w:autoSpaceDN w:val="0"/>
        <w:adjustRightInd w:val="0"/>
        <w:spacing w:after="0" w:line="240" w:lineRule="auto"/>
        <w:rPr>
          <w:rFonts w:ascii="Arial Narrow" w:hAnsi="Arial Narrow" w:cs="Garamond"/>
        </w:rPr>
      </w:pPr>
      <w:r>
        <w:rPr>
          <w:rFonts w:ascii="Arial Narrow" w:hAnsi="Arial Narrow" w:cs="Garamond"/>
          <w:noProof/>
        </w:rPr>
        <w:drawing>
          <wp:inline distT="0" distB="0" distL="0" distR="0">
            <wp:extent cx="5486400" cy="3200400"/>
            <wp:effectExtent l="762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3C7A0D">
        <w:rPr>
          <w:rFonts w:ascii="Arial Narrow" w:hAnsi="Arial Narrow" w:cs="Garamond"/>
        </w:rPr>
        <w:tab/>
      </w:r>
    </w:p>
    <w:p w:rsidR="003C7A0D" w:rsidRDefault="003C7A0D" w:rsidP="003C7A0D">
      <w:pPr>
        <w:tabs>
          <w:tab w:val="left" w:pos="3300"/>
        </w:tabs>
        <w:jc w:val="both"/>
        <w:rPr>
          <w:rFonts w:ascii="Arial Narrow" w:hAnsi="Arial Narrow" w:cs="Garamond"/>
        </w:rPr>
      </w:pPr>
      <w:r>
        <w:rPr>
          <w:rFonts w:ascii="Arial Narrow" w:hAnsi="Arial Narrow" w:cs="Garamond"/>
        </w:rPr>
        <w:t xml:space="preserve">Source: </w:t>
      </w:r>
      <w:r w:rsidR="002F42D5">
        <w:rPr>
          <w:rFonts w:ascii="Arial Narrow" w:hAnsi="Arial Narrow" w:cs="Garamond"/>
        </w:rPr>
        <w:t xml:space="preserve">Adapted from </w:t>
      </w:r>
      <w:r>
        <w:rPr>
          <w:rFonts w:ascii="Arial Narrow" w:hAnsi="Arial Narrow" w:cs="Garamond"/>
        </w:rPr>
        <w:t>CBK</w:t>
      </w:r>
    </w:p>
    <w:p w:rsidR="00624FAC" w:rsidRDefault="00624FAC" w:rsidP="003C7A0D">
      <w:pPr>
        <w:autoSpaceDE w:val="0"/>
        <w:autoSpaceDN w:val="0"/>
        <w:adjustRightInd w:val="0"/>
        <w:spacing w:after="0" w:line="240" w:lineRule="auto"/>
        <w:rPr>
          <w:rFonts w:ascii="Arial Narrow" w:hAnsi="Arial Narrow" w:cs="Garamond"/>
          <w:b/>
          <w:bCs/>
        </w:rPr>
      </w:pPr>
    </w:p>
    <w:p w:rsidR="003C7A0D" w:rsidRPr="00D05CEB" w:rsidRDefault="003C7A0D" w:rsidP="003C7A0D">
      <w:pPr>
        <w:autoSpaceDE w:val="0"/>
        <w:autoSpaceDN w:val="0"/>
        <w:adjustRightInd w:val="0"/>
        <w:spacing w:after="0" w:line="240" w:lineRule="auto"/>
        <w:rPr>
          <w:rFonts w:ascii="Arial Narrow" w:hAnsi="Arial Narrow" w:cs="Garamond"/>
          <w:b/>
          <w:bCs/>
        </w:rPr>
      </w:pPr>
      <w:r w:rsidRPr="00D05CEB">
        <w:rPr>
          <w:rFonts w:ascii="Arial Narrow" w:hAnsi="Arial Narrow" w:cs="Garamond"/>
          <w:b/>
          <w:bCs/>
        </w:rPr>
        <w:lastRenderedPageBreak/>
        <w:t>Developments in the banking sector</w:t>
      </w:r>
    </w:p>
    <w:p w:rsidR="003C7A0D" w:rsidRPr="00D05CEB" w:rsidRDefault="003C7A0D" w:rsidP="003C7A0D">
      <w:pPr>
        <w:pStyle w:val="ListParagraph"/>
        <w:numPr>
          <w:ilvl w:val="0"/>
          <w:numId w:val="6"/>
        </w:numPr>
        <w:autoSpaceDE w:val="0"/>
        <w:autoSpaceDN w:val="0"/>
        <w:adjustRightInd w:val="0"/>
        <w:spacing w:after="0" w:line="240" w:lineRule="auto"/>
        <w:rPr>
          <w:rFonts w:ascii="Arial Narrow" w:hAnsi="Arial Narrow" w:cs="Garamond"/>
          <w:b/>
          <w:bCs/>
        </w:rPr>
      </w:pPr>
      <w:r w:rsidRPr="00D05CEB">
        <w:rPr>
          <w:rFonts w:ascii="Arial Narrow" w:hAnsi="Arial Narrow" w:cs="Garamond"/>
          <w:b/>
          <w:bCs/>
        </w:rPr>
        <w:t>New Products</w:t>
      </w:r>
    </w:p>
    <w:p w:rsidR="003C7A0D" w:rsidRPr="00D05CEB" w:rsidRDefault="003C7A0D" w:rsidP="003C7A0D">
      <w:pPr>
        <w:autoSpaceDE w:val="0"/>
        <w:autoSpaceDN w:val="0"/>
        <w:adjustRightInd w:val="0"/>
        <w:spacing w:after="0" w:line="240" w:lineRule="auto"/>
        <w:rPr>
          <w:rFonts w:ascii="Arial Narrow" w:hAnsi="Arial Narrow" w:cs="Garamond"/>
        </w:rPr>
      </w:pPr>
      <w:r w:rsidRPr="00D05CEB">
        <w:rPr>
          <w:rFonts w:ascii="Arial Narrow" w:hAnsi="Arial Narrow" w:cs="Garamond"/>
        </w:rPr>
        <w:t xml:space="preserve">In an effort to enhance customer service, the banking industry introduced new products in the course of the year, mainly relating to </w:t>
      </w:r>
      <w:proofErr w:type="spellStart"/>
      <w:r w:rsidRPr="00D05CEB">
        <w:rPr>
          <w:rFonts w:ascii="Arial Narrow" w:hAnsi="Arial Narrow" w:cs="Garamond"/>
        </w:rPr>
        <w:t>Shariah</w:t>
      </w:r>
      <w:proofErr w:type="spellEnd"/>
      <w:r w:rsidRPr="00D05CEB">
        <w:rPr>
          <w:rFonts w:ascii="Arial Narrow" w:hAnsi="Arial Narrow" w:cs="Garamond"/>
        </w:rPr>
        <w:t xml:space="preserve"> compliant banking, mobile phone banking and internet banking. The introduction of these new products was driven by increased customer awareness and demand as well as the increasingly vibrant nature of competition in the sector. Financial institutions also realized the potential of other partners such as telecommunication companies in creating convenience to their customers while at the same time lowering their service delivery costs. With the advancement in technology, public awareness and ease of use, e-banking has evolved to become the preferred mode of banking by financial institutions included the electronic transfer of funds between accounts, payments of utility bills, airtime top ups, balance enquiries, loan applications, and </w:t>
      </w:r>
      <w:proofErr w:type="spellStart"/>
      <w:r w:rsidRPr="00D05CEB">
        <w:rPr>
          <w:rFonts w:ascii="Arial Narrow" w:hAnsi="Arial Narrow" w:cs="Garamond"/>
        </w:rPr>
        <w:t>cheque</w:t>
      </w:r>
      <w:proofErr w:type="spellEnd"/>
      <w:r w:rsidRPr="00D05CEB">
        <w:rPr>
          <w:rFonts w:ascii="Arial Narrow" w:hAnsi="Arial Narrow" w:cs="Garamond"/>
        </w:rPr>
        <w:t xml:space="preserve"> book requests. In addition, some of the facilities offered through e-banking included the electronic retrieval of bank statements for bank customers with access to e-mail and SMS alerts for notification on withdrawals and purchases made from customer accounts. It is expected that the products launched will</w:t>
      </w:r>
    </w:p>
    <w:p w:rsidR="00E72C94" w:rsidRPr="00D05CEB" w:rsidRDefault="003C7A0D" w:rsidP="003C7A0D">
      <w:pPr>
        <w:autoSpaceDE w:val="0"/>
        <w:autoSpaceDN w:val="0"/>
        <w:adjustRightInd w:val="0"/>
        <w:spacing w:after="0" w:line="240" w:lineRule="auto"/>
        <w:rPr>
          <w:rFonts w:ascii="Arial Narrow" w:hAnsi="Arial Narrow" w:cs="Garamond"/>
        </w:rPr>
      </w:pPr>
      <w:proofErr w:type="gramStart"/>
      <w:r w:rsidRPr="00D05CEB">
        <w:rPr>
          <w:rFonts w:ascii="Arial Narrow" w:hAnsi="Arial Narrow" w:cs="Garamond"/>
        </w:rPr>
        <w:t>play</w:t>
      </w:r>
      <w:proofErr w:type="gramEnd"/>
      <w:r w:rsidRPr="00D05CEB">
        <w:rPr>
          <w:rFonts w:ascii="Arial Narrow" w:hAnsi="Arial Narrow" w:cs="Garamond"/>
        </w:rPr>
        <w:t xml:space="preserve"> a significant role in expanding access to affordable financial services by the general public as well as reduction in banking costs to the banks’ customers. Other products such as foreign exchange options, commodity derivatives and interest rate swaps were also introduced in order to better hedge foreign currency transactions. Whilst the introduction of pension backed mortgages was underpinned by legal and socio-economic developments in the country.</w:t>
      </w:r>
    </w:p>
    <w:p w:rsidR="003C7A0D" w:rsidRPr="00D05CEB" w:rsidRDefault="003C7A0D" w:rsidP="003C7A0D">
      <w:pPr>
        <w:pStyle w:val="ListParagraph"/>
        <w:numPr>
          <w:ilvl w:val="0"/>
          <w:numId w:val="2"/>
        </w:numPr>
        <w:autoSpaceDE w:val="0"/>
        <w:autoSpaceDN w:val="0"/>
        <w:adjustRightInd w:val="0"/>
        <w:spacing w:after="0" w:line="240" w:lineRule="auto"/>
        <w:rPr>
          <w:rFonts w:ascii="Arial Narrow" w:hAnsi="Arial Narrow" w:cs="Garamond"/>
          <w:b/>
          <w:bCs/>
        </w:rPr>
      </w:pPr>
      <w:r w:rsidRPr="00D05CEB">
        <w:rPr>
          <w:rFonts w:ascii="Arial Narrow" w:hAnsi="Arial Narrow" w:cs="Garamond"/>
          <w:b/>
          <w:bCs/>
        </w:rPr>
        <w:t>Mobile Banking</w:t>
      </w:r>
    </w:p>
    <w:p w:rsidR="00D51E67" w:rsidRPr="00D05CEB" w:rsidRDefault="003C7A0D" w:rsidP="00EC52CA">
      <w:pPr>
        <w:autoSpaceDE w:val="0"/>
        <w:autoSpaceDN w:val="0"/>
        <w:adjustRightInd w:val="0"/>
        <w:spacing w:after="0" w:line="240" w:lineRule="auto"/>
        <w:ind w:left="720"/>
        <w:rPr>
          <w:rFonts w:ascii="Arial Narrow" w:hAnsi="Arial Narrow" w:cs="Garamond"/>
        </w:rPr>
      </w:pPr>
      <w:r w:rsidRPr="00D05CEB">
        <w:rPr>
          <w:rFonts w:ascii="Arial Narrow" w:hAnsi="Arial Narrow" w:cs="Garamond"/>
        </w:rPr>
        <w:t xml:space="preserve">In 2010, a number of banks responded to the growing need of convenient straight-through payments using mobile solutions. As a result, a number of banks continued to sign up partnerships with money transfer service providers as they improve their banking-on-the-move menus. In only four years of existence of mobile phone money transfer services, four mobile operators have enrolled over 15 million customers. Some of the notable mobile money solutions launched during the year include; </w:t>
      </w:r>
      <w:proofErr w:type="spellStart"/>
      <w:r w:rsidRPr="00D05CEB">
        <w:rPr>
          <w:rFonts w:ascii="Arial Narrow" w:hAnsi="Arial Narrow" w:cs="Garamond"/>
        </w:rPr>
        <w:t>Mkesho</w:t>
      </w:r>
      <w:proofErr w:type="spellEnd"/>
      <w:r w:rsidRPr="00D05CEB">
        <w:rPr>
          <w:rFonts w:ascii="Arial Narrow" w:hAnsi="Arial Narrow" w:cs="Garamond"/>
        </w:rPr>
        <w:t xml:space="preserve">, </w:t>
      </w:r>
      <w:proofErr w:type="spellStart"/>
      <w:r w:rsidRPr="00D05CEB">
        <w:rPr>
          <w:rFonts w:ascii="Arial Narrow" w:hAnsi="Arial Narrow" w:cs="Garamond"/>
        </w:rPr>
        <w:t>Mobicash</w:t>
      </w:r>
      <w:proofErr w:type="spellEnd"/>
      <w:r w:rsidRPr="00D05CEB">
        <w:rPr>
          <w:rFonts w:ascii="Arial Narrow" w:hAnsi="Arial Narrow" w:cs="Garamond"/>
        </w:rPr>
        <w:t xml:space="preserve">, Orange money, Yu-cash, Elma, </w:t>
      </w:r>
      <w:proofErr w:type="spellStart"/>
      <w:r w:rsidRPr="00D05CEB">
        <w:rPr>
          <w:rFonts w:ascii="Arial Narrow" w:hAnsi="Arial Narrow" w:cs="Garamond"/>
        </w:rPr>
        <w:t>Pesa</w:t>
      </w:r>
      <w:proofErr w:type="spellEnd"/>
      <w:r w:rsidRPr="00D05CEB">
        <w:rPr>
          <w:rFonts w:ascii="Arial Narrow" w:hAnsi="Arial Narrow" w:cs="Garamond"/>
        </w:rPr>
        <w:t xml:space="preserve">-Pap, </w:t>
      </w:r>
      <w:proofErr w:type="spellStart"/>
      <w:r w:rsidRPr="00D05CEB">
        <w:rPr>
          <w:rFonts w:ascii="Arial Narrow" w:hAnsi="Arial Narrow" w:cs="Garamond"/>
        </w:rPr>
        <w:t>Pesa</w:t>
      </w:r>
      <w:proofErr w:type="spellEnd"/>
      <w:r w:rsidRPr="00D05CEB">
        <w:rPr>
          <w:rFonts w:ascii="Arial Narrow" w:hAnsi="Arial Narrow" w:cs="Garamond"/>
        </w:rPr>
        <w:t>-Connect among others. M-</w:t>
      </w:r>
      <w:proofErr w:type="spellStart"/>
      <w:r w:rsidRPr="00D05CEB">
        <w:rPr>
          <w:rFonts w:ascii="Arial Narrow" w:hAnsi="Arial Narrow" w:cs="Garamond"/>
        </w:rPr>
        <w:t>Pesa</w:t>
      </w:r>
      <w:proofErr w:type="spellEnd"/>
      <w:r w:rsidRPr="00D05CEB">
        <w:rPr>
          <w:rFonts w:ascii="Arial Narrow" w:hAnsi="Arial Narrow" w:cs="Garamond"/>
        </w:rPr>
        <w:t xml:space="preserve"> was still the most widely used method of mobile money transfer as evidenced by the 305.7 million transactions effected and valued at Ksh. 727.8 billion in the year.</w:t>
      </w:r>
    </w:p>
    <w:p w:rsidR="003C7A0D" w:rsidRPr="00D05CEB" w:rsidRDefault="003C7A0D" w:rsidP="003C7A0D">
      <w:pPr>
        <w:pStyle w:val="ListParagraph"/>
        <w:numPr>
          <w:ilvl w:val="0"/>
          <w:numId w:val="2"/>
        </w:numPr>
        <w:autoSpaceDE w:val="0"/>
        <w:autoSpaceDN w:val="0"/>
        <w:adjustRightInd w:val="0"/>
        <w:spacing w:after="0" w:line="240" w:lineRule="auto"/>
        <w:rPr>
          <w:rFonts w:ascii="Arial Narrow" w:hAnsi="Arial Narrow" w:cs="Garamond"/>
          <w:b/>
          <w:bCs/>
        </w:rPr>
      </w:pPr>
      <w:r w:rsidRPr="00D05CEB">
        <w:rPr>
          <w:rFonts w:ascii="Arial Narrow" w:hAnsi="Arial Narrow" w:cs="Garamond"/>
          <w:b/>
          <w:bCs/>
        </w:rPr>
        <w:t>Internet Banking</w:t>
      </w:r>
    </w:p>
    <w:p w:rsidR="003C7A0D" w:rsidRPr="00D05CEB" w:rsidRDefault="003C7A0D" w:rsidP="00EC52CA">
      <w:pPr>
        <w:autoSpaceDE w:val="0"/>
        <w:autoSpaceDN w:val="0"/>
        <w:adjustRightInd w:val="0"/>
        <w:spacing w:after="0" w:line="240" w:lineRule="auto"/>
        <w:ind w:left="720"/>
        <w:rPr>
          <w:rFonts w:ascii="Arial Narrow" w:hAnsi="Arial Narrow" w:cs="Garamond"/>
        </w:rPr>
      </w:pPr>
      <w:r w:rsidRPr="00D05CEB">
        <w:rPr>
          <w:rFonts w:ascii="Arial Narrow" w:hAnsi="Arial Narrow" w:cs="Garamond"/>
        </w:rPr>
        <w:t>Banks continued to embrace the use of the Internet as a remote delivery channel for banking services. The most common online services include; viewing of accounts, inquiries and requests, salary payments, clearing cheques status query, instant alerts of account status and transfer of funds.</w:t>
      </w:r>
    </w:p>
    <w:p w:rsidR="003C7A0D" w:rsidRPr="00D05CEB" w:rsidRDefault="003C7A0D" w:rsidP="003C7A0D">
      <w:pPr>
        <w:autoSpaceDE w:val="0"/>
        <w:autoSpaceDN w:val="0"/>
        <w:adjustRightInd w:val="0"/>
        <w:spacing w:after="0" w:line="240" w:lineRule="auto"/>
        <w:rPr>
          <w:rFonts w:ascii="Arial Narrow" w:hAnsi="Arial Narrow" w:cs="Garamond"/>
          <w:b/>
          <w:bCs/>
        </w:rPr>
      </w:pPr>
      <w:r w:rsidRPr="00D05CEB">
        <w:rPr>
          <w:rFonts w:ascii="Arial Narrow" w:hAnsi="Arial Narrow" w:cs="Garamond"/>
          <w:b/>
          <w:bCs/>
        </w:rPr>
        <w:t>2.4 Agent Banking</w:t>
      </w:r>
    </w:p>
    <w:p w:rsidR="003C7A0D" w:rsidRPr="00D05CEB" w:rsidRDefault="003C7A0D" w:rsidP="003C7A0D">
      <w:pPr>
        <w:autoSpaceDE w:val="0"/>
        <w:autoSpaceDN w:val="0"/>
        <w:adjustRightInd w:val="0"/>
        <w:spacing w:after="0" w:line="240" w:lineRule="auto"/>
        <w:rPr>
          <w:rFonts w:ascii="Arial Narrow" w:hAnsi="Arial Narrow" w:cs="Garamond"/>
        </w:rPr>
      </w:pPr>
      <w:r w:rsidRPr="00D05CEB">
        <w:rPr>
          <w:rFonts w:ascii="Arial Narrow" w:hAnsi="Arial Narrow" w:cs="Garamond"/>
        </w:rPr>
        <w:t>The amendment of the Banking Act through the Finance Act, 2009 permitted</w:t>
      </w:r>
      <w:r w:rsidR="00E72C94" w:rsidRPr="00D05CEB">
        <w:rPr>
          <w:rFonts w:ascii="Arial Narrow" w:hAnsi="Arial Narrow" w:cs="Garamond"/>
        </w:rPr>
        <w:t xml:space="preserve"> </w:t>
      </w:r>
      <w:r w:rsidRPr="00D05CEB">
        <w:rPr>
          <w:rFonts w:ascii="Arial Narrow" w:hAnsi="Arial Narrow" w:cs="Garamond"/>
        </w:rPr>
        <w:t>banks to use third parties (Agent Banking) to provide certain banking services on</w:t>
      </w:r>
      <w:r w:rsidR="00E72C94" w:rsidRPr="00D05CEB">
        <w:rPr>
          <w:rFonts w:ascii="Arial Narrow" w:hAnsi="Arial Narrow" w:cs="Garamond"/>
        </w:rPr>
        <w:t xml:space="preserve"> </w:t>
      </w:r>
      <w:r w:rsidRPr="00D05CEB">
        <w:rPr>
          <w:rFonts w:ascii="Arial Narrow" w:hAnsi="Arial Narrow" w:cs="Garamond"/>
        </w:rPr>
        <w:t>their behalf. Subsequently, CBK issued guidelines on Agent Banking in May, 2010.</w:t>
      </w:r>
      <w:r w:rsidR="00E72C94" w:rsidRPr="00D05CEB">
        <w:rPr>
          <w:rFonts w:ascii="Arial Narrow" w:hAnsi="Arial Narrow" w:cs="Garamond"/>
        </w:rPr>
        <w:t xml:space="preserve"> </w:t>
      </w:r>
      <w:r w:rsidRPr="00D05CEB">
        <w:rPr>
          <w:rFonts w:ascii="Arial Narrow" w:hAnsi="Arial Narrow" w:cs="Garamond"/>
        </w:rPr>
        <w:t>The Guidelines require banks to seek CBK’s approval for the agent network as</w:t>
      </w:r>
      <w:r w:rsidR="00E72C94" w:rsidRPr="00D05CEB">
        <w:rPr>
          <w:rFonts w:ascii="Arial Narrow" w:hAnsi="Arial Narrow" w:cs="Garamond"/>
        </w:rPr>
        <w:t xml:space="preserve"> well as approval for specifi</w:t>
      </w:r>
      <w:r w:rsidRPr="00D05CEB">
        <w:rPr>
          <w:rFonts w:ascii="Arial Narrow" w:hAnsi="Arial Narrow" w:cs="Garamond"/>
        </w:rPr>
        <w:t>c agents and clearly specify the services to be provided</w:t>
      </w:r>
      <w:r w:rsidR="00E72C94" w:rsidRPr="00D05CEB">
        <w:rPr>
          <w:rFonts w:ascii="Arial Narrow" w:hAnsi="Arial Narrow" w:cs="Garamond"/>
        </w:rPr>
        <w:t xml:space="preserve"> </w:t>
      </w:r>
      <w:r w:rsidRPr="00D05CEB">
        <w:rPr>
          <w:rFonts w:ascii="Arial Narrow" w:hAnsi="Arial Narrow" w:cs="Garamond"/>
        </w:rPr>
        <w:t>by the agents. It is the responsibility of the institutions to vet the suitability of</w:t>
      </w:r>
      <w:r w:rsidR="00E72C94" w:rsidRPr="00D05CEB">
        <w:rPr>
          <w:rFonts w:ascii="Arial Narrow" w:hAnsi="Arial Narrow" w:cs="Garamond"/>
        </w:rPr>
        <w:t xml:space="preserve"> </w:t>
      </w:r>
      <w:r w:rsidRPr="00D05CEB">
        <w:rPr>
          <w:rFonts w:ascii="Arial Narrow" w:hAnsi="Arial Narrow" w:cs="Garamond"/>
        </w:rPr>
        <w:t xml:space="preserve">the agents in </w:t>
      </w:r>
      <w:r w:rsidR="00E72C94" w:rsidRPr="00D05CEB">
        <w:rPr>
          <w:rFonts w:ascii="Arial Narrow" w:hAnsi="Arial Narrow" w:cs="Garamond"/>
        </w:rPr>
        <w:t xml:space="preserve">line with the Guidelines. As at </w:t>
      </w:r>
      <w:r w:rsidRPr="00D05CEB">
        <w:rPr>
          <w:rFonts w:ascii="Arial Narrow" w:hAnsi="Arial Narrow" w:cs="Garamond"/>
        </w:rPr>
        <w:t>December 2010, CBK had granted</w:t>
      </w:r>
      <w:r w:rsidR="00E72C94" w:rsidRPr="00D05CEB">
        <w:rPr>
          <w:rFonts w:ascii="Arial Narrow" w:hAnsi="Arial Narrow" w:cs="Garamond"/>
        </w:rPr>
        <w:t xml:space="preserve"> approval to fi</w:t>
      </w:r>
      <w:r w:rsidRPr="00D05CEB">
        <w:rPr>
          <w:rFonts w:ascii="Arial Narrow" w:hAnsi="Arial Narrow" w:cs="Garamond"/>
        </w:rPr>
        <w:t>ve (5) institutions to engage agents. Out of these, two institutions</w:t>
      </w:r>
      <w:r w:rsidR="00E72C94" w:rsidRPr="00D05CEB">
        <w:rPr>
          <w:rFonts w:ascii="Arial Narrow" w:hAnsi="Arial Narrow" w:cs="Garamond"/>
        </w:rPr>
        <w:t xml:space="preserve"> </w:t>
      </w:r>
      <w:r w:rsidRPr="00D05CEB">
        <w:rPr>
          <w:rFonts w:ascii="Arial Narrow" w:hAnsi="Arial Narrow" w:cs="Garamond"/>
        </w:rPr>
        <w:t>had app</w:t>
      </w:r>
      <w:r w:rsidR="00E72C94" w:rsidRPr="00D05CEB">
        <w:rPr>
          <w:rFonts w:ascii="Arial Narrow" w:hAnsi="Arial Narrow" w:cs="Garamond"/>
        </w:rPr>
        <w:t>ointed a total of 8,809 specifi</w:t>
      </w:r>
      <w:r w:rsidRPr="00D05CEB">
        <w:rPr>
          <w:rFonts w:ascii="Arial Narrow" w:hAnsi="Arial Narrow" w:cs="Garamond"/>
        </w:rPr>
        <w:t>c agents, comprising of telecoms related</w:t>
      </w:r>
      <w:r w:rsidR="00E72C94" w:rsidRPr="00D05CEB">
        <w:rPr>
          <w:rFonts w:ascii="Arial Narrow" w:hAnsi="Arial Narrow" w:cs="Garamond"/>
        </w:rPr>
        <w:t xml:space="preserve"> agents and individual specifi</w:t>
      </w:r>
      <w:r w:rsidRPr="00D05CEB">
        <w:rPr>
          <w:rFonts w:ascii="Arial Narrow" w:hAnsi="Arial Narrow" w:cs="Garamond"/>
        </w:rPr>
        <w:t>c agents, all spread across the country.</w:t>
      </w:r>
      <w:r w:rsidR="00E72C94" w:rsidRPr="00D05CEB">
        <w:rPr>
          <w:rFonts w:ascii="Arial Narrow" w:hAnsi="Arial Narrow" w:cs="Garamond"/>
        </w:rPr>
        <w:t xml:space="preserve"> </w:t>
      </w:r>
      <w:r w:rsidRPr="00D05CEB">
        <w:rPr>
          <w:rFonts w:ascii="Arial Narrow" w:hAnsi="Arial Narrow" w:cs="Garamond"/>
        </w:rPr>
        <w:t>The agent banking model was mainly designed to assist banks in providing banking</w:t>
      </w:r>
      <w:r w:rsidR="00E72C94" w:rsidRPr="00D05CEB">
        <w:rPr>
          <w:rFonts w:ascii="Arial Narrow" w:hAnsi="Arial Narrow" w:cs="Garamond"/>
        </w:rPr>
        <w:t xml:space="preserve"> </w:t>
      </w:r>
      <w:r w:rsidRPr="00D05CEB">
        <w:rPr>
          <w:rFonts w:ascii="Arial Narrow" w:hAnsi="Arial Narrow" w:cs="Garamond"/>
        </w:rPr>
        <w:t>services in a cost effective manner an</w:t>
      </w:r>
      <w:r w:rsidR="00E72C94" w:rsidRPr="00D05CEB">
        <w:rPr>
          <w:rFonts w:ascii="Arial Narrow" w:hAnsi="Arial Narrow" w:cs="Garamond"/>
        </w:rPr>
        <w:t>d at the same time enhancing fi</w:t>
      </w:r>
      <w:r w:rsidRPr="00D05CEB">
        <w:rPr>
          <w:rFonts w:ascii="Arial Narrow" w:hAnsi="Arial Narrow" w:cs="Garamond"/>
        </w:rPr>
        <w:t>nancial</w:t>
      </w:r>
      <w:r w:rsidR="00E72C94" w:rsidRPr="00D05CEB">
        <w:rPr>
          <w:rFonts w:ascii="Arial Narrow" w:hAnsi="Arial Narrow" w:cs="Garamond"/>
        </w:rPr>
        <w:t xml:space="preserve"> </w:t>
      </w:r>
      <w:r w:rsidRPr="00D05CEB">
        <w:rPr>
          <w:rFonts w:ascii="Arial Narrow" w:hAnsi="Arial Narrow" w:cs="Garamond"/>
        </w:rPr>
        <w:t>services outreac</w:t>
      </w:r>
      <w:r w:rsidR="00E72C94" w:rsidRPr="00D05CEB">
        <w:rPr>
          <w:rFonts w:ascii="Arial Narrow" w:hAnsi="Arial Narrow" w:cs="Garamond"/>
        </w:rPr>
        <w:t>h and promoting fi</w:t>
      </w:r>
      <w:r w:rsidRPr="00D05CEB">
        <w:rPr>
          <w:rFonts w:ascii="Arial Narrow" w:hAnsi="Arial Narrow" w:cs="Garamond"/>
        </w:rPr>
        <w:t>nancial inclusion of the unbanked Kenyan</w:t>
      </w:r>
      <w:r w:rsidR="00E72C94" w:rsidRPr="00D05CEB">
        <w:rPr>
          <w:rFonts w:ascii="Arial Narrow" w:hAnsi="Arial Narrow" w:cs="Garamond"/>
        </w:rPr>
        <w:t xml:space="preserve"> </w:t>
      </w:r>
      <w:r w:rsidRPr="00D05CEB">
        <w:rPr>
          <w:rFonts w:ascii="Arial Narrow" w:hAnsi="Arial Narrow" w:cs="Garamond"/>
        </w:rPr>
        <w:t>population. According to the 2009 National Financial Access Survey, 32% of</w:t>
      </w:r>
      <w:r w:rsidR="00E72C94" w:rsidRPr="00D05CEB">
        <w:rPr>
          <w:rFonts w:ascii="Arial Narrow" w:hAnsi="Arial Narrow" w:cs="Garamond"/>
        </w:rPr>
        <w:t xml:space="preserve"> </w:t>
      </w:r>
      <w:r w:rsidRPr="00D05CEB">
        <w:rPr>
          <w:rFonts w:ascii="Arial Narrow" w:hAnsi="Arial Narrow" w:cs="Garamond"/>
        </w:rPr>
        <w:t>Kenya’s bankable population is totally excluded from the Financial Services orbit.</w:t>
      </w:r>
      <w:r w:rsidR="00E72C94" w:rsidRPr="00D05CEB">
        <w:rPr>
          <w:rFonts w:ascii="Arial Narrow" w:hAnsi="Arial Narrow" w:cs="Garamond"/>
        </w:rPr>
        <w:t xml:space="preserve"> </w:t>
      </w:r>
      <w:r w:rsidRPr="00D05CEB">
        <w:rPr>
          <w:rFonts w:ascii="Arial Narrow" w:hAnsi="Arial Narrow" w:cs="Garamond"/>
        </w:rPr>
        <w:t>This initiative will therefore help in bridging the gap. As provided for under the</w:t>
      </w:r>
      <w:r w:rsidR="00E72C94" w:rsidRPr="00D05CEB">
        <w:rPr>
          <w:rFonts w:ascii="Arial Narrow" w:hAnsi="Arial Narrow" w:cs="Garamond"/>
        </w:rPr>
        <w:t xml:space="preserve"> </w:t>
      </w:r>
      <w:r w:rsidRPr="00D05CEB">
        <w:rPr>
          <w:rFonts w:ascii="Arial Narrow" w:hAnsi="Arial Narrow" w:cs="Garamond"/>
        </w:rPr>
        <w:t>Guidelines, some of the permissible activities currently being offered by the</w:t>
      </w:r>
      <w:r w:rsidR="00E72C94" w:rsidRPr="00D05CEB">
        <w:rPr>
          <w:rFonts w:ascii="Arial Narrow" w:hAnsi="Arial Narrow" w:cs="Garamond"/>
        </w:rPr>
        <w:t xml:space="preserve"> </w:t>
      </w:r>
      <w:r w:rsidRPr="00D05CEB">
        <w:rPr>
          <w:rFonts w:ascii="Arial Narrow" w:hAnsi="Arial Narrow" w:cs="Garamond"/>
        </w:rPr>
        <w:t>agents include:</w:t>
      </w:r>
    </w:p>
    <w:p w:rsidR="003C7A0D" w:rsidRPr="00D05CEB" w:rsidRDefault="003C7A0D" w:rsidP="003C7A0D">
      <w:pPr>
        <w:autoSpaceDE w:val="0"/>
        <w:autoSpaceDN w:val="0"/>
        <w:adjustRightInd w:val="0"/>
        <w:spacing w:after="0" w:line="240" w:lineRule="auto"/>
        <w:rPr>
          <w:rFonts w:ascii="Arial Narrow" w:hAnsi="Arial Narrow" w:cs="Garamond"/>
        </w:rPr>
      </w:pPr>
      <w:proofErr w:type="spellStart"/>
      <w:r w:rsidRPr="00D05CEB">
        <w:rPr>
          <w:rFonts w:ascii="Arial Narrow" w:hAnsi="Arial Narrow" w:cs="Garamond"/>
        </w:rPr>
        <w:t>i</w:t>
      </w:r>
      <w:proofErr w:type="spellEnd"/>
      <w:r w:rsidRPr="00D05CEB">
        <w:rPr>
          <w:rFonts w:ascii="Arial Narrow" w:hAnsi="Arial Narrow" w:cs="Garamond"/>
        </w:rPr>
        <w:t xml:space="preserve">) </w:t>
      </w:r>
      <w:r w:rsidR="00E72C94" w:rsidRPr="00D05CEB">
        <w:rPr>
          <w:rFonts w:ascii="Arial Narrow" w:hAnsi="Arial Narrow" w:cs="Garamond"/>
        </w:rPr>
        <w:tab/>
      </w:r>
      <w:r w:rsidRPr="00D05CEB">
        <w:rPr>
          <w:rFonts w:ascii="Arial Narrow" w:hAnsi="Arial Narrow" w:cs="Garamond"/>
        </w:rPr>
        <w:t>Cash deposits.</w:t>
      </w:r>
    </w:p>
    <w:p w:rsidR="003C7A0D" w:rsidRPr="00D05CEB" w:rsidRDefault="003C7A0D" w:rsidP="003C7A0D">
      <w:pPr>
        <w:autoSpaceDE w:val="0"/>
        <w:autoSpaceDN w:val="0"/>
        <w:adjustRightInd w:val="0"/>
        <w:spacing w:after="0" w:line="240" w:lineRule="auto"/>
        <w:rPr>
          <w:rFonts w:ascii="Arial Narrow" w:hAnsi="Arial Narrow" w:cs="Garamond"/>
        </w:rPr>
      </w:pPr>
      <w:r w:rsidRPr="00D05CEB">
        <w:rPr>
          <w:rFonts w:ascii="Arial Narrow" w:hAnsi="Arial Narrow" w:cs="Garamond"/>
        </w:rPr>
        <w:t xml:space="preserve">ii) </w:t>
      </w:r>
      <w:r w:rsidR="00E72C94" w:rsidRPr="00D05CEB">
        <w:rPr>
          <w:rFonts w:ascii="Arial Narrow" w:hAnsi="Arial Narrow" w:cs="Garamond"/>
        </w:rPr>
        <w:tab/>
      </w:r>
      <w:r w:rsidRPr="00D05CEB">
        <w:rPr>
          <w:rFonts w:ascii="Arial Narrow" w:hAnsi="Arial Narrow" w:cs="Garamond"/>
        </w:rPr>
        <w:t>Cash withdrawals.</w:t>
      </w:r>
    </w:p>
    <w:p w:rsidR="003C7A0D" w:rsidRPr="00D05CEB" w:rsidRDefault="003C7A0D" w:rsidP="003C7A0D">
      <w:pPr>
        <w:autoSpaceDE w:val="0"/>
        <w:autoSpaceDN w:val="0"/>
        <w:adjustRightInd w:val="0"/>
        <w:spacing w:after="0" w:line="240" w:lineRule="auto"/>
        <w:rPr>
          <w:rFonts w:ascii="Arial Narrow" w:hAnsi="Arial Narrow" w:cs="Garamond"/>
        </w:rPr>
      </w:pPr>
      <w:r w:rsidRPr="00D05CEB">
        <w:rPr>
          <w:rFonts w:ascii="Arial Narrow" w:hAnsi="Arial Narrow" w:cs="Garamond"/>
        </w:rPr>
        <w:t>iii)</w:t>
      </w:r>
      <w:r w:rsidR="00E72C94" w:rsidRPr="00D05CEB">
        <w:rPr>
          <w:rFonts w:ascii="Arial Narrow" w:hAnsi="Arial Narrow" w:cs="Garamond"/>
        </w:rPr>
        <w:tab/>
      </w:r>
      <w:r w:rsidRPr="00D05CEB">
        <w:rPr>
          <w:rFonts w:ascii="Arial Narrow" w:hAnsi="Arial Narrow" w:cs="Garamond"/>
        </w:rPr>
        <w:t xml:space="preserve"> Payment of bills.</w:t>
      </w:r>
    </w:p>
    <w:p w:rsidR="003C7A0D" w:rsidRPr="00D05CEB" w:rsidRDefault="003C7A0D" w:rsidP="003C7A0D">
      <w:pPr>
        <w:autoSpaceDE w:val="0"/>
        <w:autoSpaceDN w:val="0"/>
        <w:adjustRightInd w:val="0"/>
        <w:spacing w:after="0" w:line="240" w:lineRule="auto"/>
        <w:rPr>
          <w:rFonts w:ascii="Arial Narrow" w:hAnsi="Arial Narrow" w:cs="Garamond"/>
        </w:rPr>
      </w:pPr>
      <w:r w:rsidRPr="00D05CEB">
        <w:rPr>
          <w:rFonts w:ascii="Arial Narrow" w:hAnsi="Arial Narrow" w:cs="Garamond"/>
        </w:rPr>
        <w:t xml:space="preserve">iv) </w:t>
      </w:r>
      <w:r w:rsidR="00E72C94" w:rsidRPr="00D05CEB">
        <w:rPr>
          <w:rFonts w:ascii="Arial Narrow" w:hAnsi="Arial Narrow" w:cs="Garamond"/>
        </w:rPr>
        <w:tab/>
      </w:r>
      <w:r w:rsidRPr="00D05CEB">
        <w:rPr>
          <w:rFonts w:ascii="Arial Narrow" w:hAnsi="Arial Narrow" w:cs="Garamond"/>
        </w:rPr>
        <w:t>Account balance enquiry.</w:t>
      </w:r>
    </w:p>
    <w:p w:rsidR="003C7A0D" w:rsidRPr="00D05CEB" w:rsidRDefault="003C7A0D" w:rsidP="003C7A0D">
      <w:pPr>
        <w:autoSpaceDE w:val="0"/>
        <w:autoSpaceDN w:val="0"/>
        <w:adjustRightInd w:val="0"/>
        <w:spacing w:after="0" w:line="240" w:lineRule="auto"/>
        <w:rPr>
          <w:rFonts w:ascii="Arial Narrow" w:hAnsi="Arial Narrow" w:cs="Garamond"/>
        </w:rPr>
      </w:pPr>
      <w:r w:rsidRPr="00D05CEB">
        <w:rPr>
          <w:rFonts w:ascii="Arial Narrow" w:hAnsi="Arial Narrow" w:cs="Garamond"/>
        </w:rPr>
        <w:t xml:space="preserve">v) </w:t>
      </w:r>
      <w:r w:rsidR="00E72C94" w:rsidRPr="00D05CEB">
        <w:rPr>
          <w:rFonts w:ascii="Arial Narrow" w:hAnsi="Arial Narrow" w:cs="Garamond"/>
        </w:rPr>
        <w:tab/>
      </w:r>
      <w:r w:rsidRPr="00D05CEB">
        <w:rPr>
          <w:rFonts w:ascii="Arial Narrow" w:hAnsi="Arial Narrow" w:cs="Garamond"/>
        </w:rPr>
        <w:t>Collection of account opening application forms.</w:t>
      </w:r>
    </w:p>
    <w:p w:rsidR="00E72C94" w:rsidRPr="00D05CEB" w:rsidRDefault="00E72C94" w:rsidP="00E72C94">
      <w:pPr>
        <w:autoSpaceDE w:val="0"/>
        <w:autoSpaceDN w:val="0"/>
        <w:adjustRightInd w:val="0"/>
        <w:spacing w:after="0" w:line="240" w:lineRule="auto"/>
        <w:rPr>
          <w:rFonts w:ascii="Arial Narrow" w:hAnsi="Arial Narrow" w:cs="Garamond"/>
        </w:rPr>
      </w:pPr>
    </w:p>
    <w:p w:rsidR="00A60ACF" w:rsidRDefault="003C7A0D" w:rsidP="00E72C94">
      <w:pPr>
        <w:autoSpaceDE w:val="0"/>
        <w:autoSpaceDN w:val="0"/>
        <w:adjustRightInd w:val="0"/>
        <w:spacing w:after="0" w:line="240" w:lineRule="auto"/>
        <w:rPr>
          <w:rFonts w:ascii="Arial Narrow" w:hAnsi="Arial Narrow" w:cs="Garamond"/>
        </w:rPr>
      </w:pPr>
      <w:r w:rsidRPr="00D05CEB">
        <w:rPr>
          <w:rFonts w:ascii="Arial Narrow" w:hAnsi="Arial Narrow" w:cs="Garamond"/>
        </w:rPr>
        <w:t>The uptake of the Agent Banking model is expected to scale up in 2011 as more</w:t>
      </w:r>
      <w:r w:rsidR="00E72C94" w:rsidRPr="00D05CEB">
        <w:rPr>
          <w:rFonts w:ascii="Arial Narrow" w:hAnsi="Arial Narrow" w:cs="Garamond"/>
        </w:rPr>
        <w:t xml:space="preserve"> banks </w:t>
      </w:r>
      <w:r w:rsidRPr="00D05CEB">
        <w:rPr>
          <w:rFonts w:ascii="Arial Narrow" w:hAnsi="Arial Narrow" w:cs="Garamond"/>
        </w:rPr>
        <w:t>embrace the model and roll out services to customers through agents.</w:t>
      </w:r>
    </w:p>
    <w:p w:rsidR="00A11EF8" w:rsidRDefault="00A11EF8" w:rsidP="00E72C94">
      <w:pPr>
        <w:autoSpaceDE w:val="0"/>
        <w:autoSpaceDN w:val="0"/>
        <w:adjustRightInd w:val="0"/>
        <w:spacing w:after="0" w:line="240" w:lineRule="auto"/>
        <w:rPr>
          <w:rFonts w:ascii="Arial Narrow" w:hAnsi="Arial Narrow" w:cs="Garamond"/>
        </w:rPr>
      </w:pPr>
    </w:p>
    <w:p w:rsidR="00A11EF8" w:rsidRPr="005F3E6A" w:rsidRDefault="00A11EF8" w:rsidP="00E72C94">
      <w:pPr>
        <w:autoSpaceDE w:val="0"/>
        <w:autoSpaceDN w:val="0"/>
        <w:adjustRightInd w:val="0"/>
        <w:spacing w:after="0" w:line="240" w:lineRule="auto"/>
        <w:rPr>
          <w:rFonts w:ascii="Arial Narrow" w:hAnsi="Arial Narrow" w:cs="Garamond"/>
          <w:b/>
        </w:rPr>
      </w:pPr>
      <w:r w:rsidRPr="005F3E6A">
        <w:rPr>
          <w:rFonts w:ascii="Arial Narrow" w:hAnsi="Arial Narrow" w:cs="Garamond"/>
          <w:b/>
        </w:rPr>
        <w:lastRenderedPageBreak/>
        <w:t>DEPOSIT INSURANCE</w:t>
      </w:r>
    </w:p>
    <w:p w:rsidR="005F3E6A" w:rsidRPr="005F3E6A" w:rsidRDefault="005F3E6A" w:rsidP="005F3E6A">
      <w:pPr>
        <w:autoSpaceDE w:val="0"/>
        <w:autoSpaceDN w:val="0"/>
        <w:adjustRightInd w:val="0"/>
        <w:spacing w:after="0" w:line="240" w:lineRule="auto"/>
        <w:rPr>
          <w:rFonts w:ascii="Arial Narrow" w:hAnsi="Arial Narrow" w:cs="Garamond"/>
        </w:rPr>
      </w:pPr>
      <w:r w:rsidRPr="005F3E6A">
        <w:rPr>
          <w:rFonts w:ascii="Arial Narrow" w:hAnsi="Arial Narrow" w:cs="Garamond"/>
        </w:rPr>
        <w:t>We have seen that banks can suffer from liquidity risk, which is driven by the possibility that depositors may collectively decide to withdraw more funds than the bank has immediately on hand. In the cu</w:t>
      </w:r>
      <w:r w:rsidRPr="005F3E6A">
        <w:rPr>
          <w:rFonts w:ascii="Arial Narrow" w:eastAsia="Minion-Regular" w:hAnsi="Arial Narrow" w:cs="Minion-Regular"/>
        </w:rPr>
        <w:t xml:space="preserve">rrent banking system, this risk is mitigated by setting up the deposits protection fund, an insurance for deposits, which reduces the concern that depositors might otherwise have of losing their money in the event that their banks fail. In addition, the Central Bank plays the role of a </w:t>
      </w:r>
      <w:r w:rsidRPr="005F3E6A">
        <w:rPr>
          <w:rFonts w:ascii="Arial Narrow" w:eastAsia="Minion-Regular" w:hAnsi="Arial Narrow" w:cs="Minion-Italic"/>
          <w:i/>
          <w:iCs/>
        </w:rPr>
        <w:t xml:space="preserve">lender of last resort </w:t>
      </w:r>
      <w:r w:rsidRPr="005F3E6A">
        <w:rPr>
          <w:rFonts w:ascii="Arial Narrow" w:eastAsia="Minion-Regular" w:hAnsi="Arial Narrow" w:cs="Minion-Regular"/>
        </w:rPr>
        <w:t xml:space="preserve">by making discount loans to banks suffering from temporary liquidity problems. Without deposits insurance and lending from the central bank, banks would be vulnerable to periodic </w:t>
      </w:r>
      <w:r w:rsidRPr="005F3E6A">
        <w:rPr>
          <w:rFonts w:ascii="Arial Narrow" w:eastAsia="Minion-Regular" w:hAnsi="Arial Narrow" w:cs="Minion-Italic"/>
          <w:i/>
          <w:iCs/>
        </w:rPr>
        <w:t>bank runs</w:t>
      </w:r>
      <w:r w:rsidRPr="005F3E6A">
        <w:rPr>
          <w:rFonts w:ascii="Arial Narrow" w:eastAsia="Minion-Regular" w:hAnsi="Arial Narrow" w:cs="Minion-Regular"/>
        </w:rPr>
        <w:t xml:space="preserve">, in which large numbers of depositors would decide that a bank might be in danger of failure and would demand their deposits back. If a few banks were hit with runs, they might be able to satisfy depositors’ demand for funds by borrowing from other banks. But if many banks simultaneously experienced runs, the result would be a </w:t>
      </w:r>
      <w:r w:rsidRPr="005F3E6A">
        <w:rPr>
          <w:rFonts w:ascii="Arial Narrow" w:eastAsia="Minion-Regular" w:hAnsi="Arial Narrow" w:cs="Minion-Italic"/>
          <w:i/>
          <w:iCs/>
        </w:rPr>
        <w:t>bank panic</w:t>
      </w:r>
      <w:r w:rsidRPr="005F3E6A">
        <w:rPr>
          <w:rFonts w:ascii="Arial Narrow" w:eastAsia="Minion-Regular" w:hAnsi="Arial Narrow" w:cs="Minion-Regular"/>
        </w:rPr>
        <w:t>, which often resulted in banks being unable to return depositors’ money and having to temporarily close their doors. With households and firms cut off from their deposits and from access to credit, bank panics typically resulted in recessions</w:t>
      </w:r>
      <w:r w:rsidR="00607E6F">
        <w:rPr>
          <w:rFonts w:ascii="Arial Narrow" w:eastAsia="Minion-Regular" w:hAnsi="Arial Narrow" w:cs="Minion-Regular"/>
        </w:rPr>
        <w:t>. On the other hand, deposit protection is seen as increasing moral hazard.</w:t>
      </w:r>
    </w:p>
    <w:p w:rsidR="00A60ACF" w:rsidRDefault="00A60ACF" w:rsidP="00E72C94">
      <w:pPr>
        <w:autoSpaceDE w:val="0"/>
        <w:autoSpaceDN w:val="0"/>
        <w:adjustRightInd w:val="0"/>
        <w:spacing w:after="0" w:line="240" w:lineRule="auto"/>
        <w:rPr>
          <w:rFonts w:ascii="Arial Narrow" w:hAnsi="Arial Narrow" w:cs="Garamond"/>
        </w:rPr>
      </w:pPr>
    </w:p>
    <w:p w:rsidR="00A60ACF" w:rsidRPr="00A60ACF" w:rsidRDefault="00A60ACF" w:rsidP="00E72C94">
      <w:pPr>
        <w:autoSpaceDE w:val="0"/>
        <w:autoSpaceDN w:val="0"/>
        <w:adjustRightInd w:val="0"/>
        <w:spacing w:after="0" w:line="240" w:lineRule="auto"/>
        <w:rPr>
          <w:rFonts w:ascii="Arial Narrow" w:hAnsi="Arial Narrow" w:cs="Garamond"/>
          <w:b/>
        </w:rPr>
      </w:pPr>
      <w:r w:rsidRPr="00A60ACF">
        <w:rPr>
          <w:rFonts w:ascii="Arial Narrow" w:hAnsi="Arial Narrow" w:cs="Garamond"/>
          <w:b/>
        </w:rPr>
        <w:t>THE SHADOW BANKING SYSTEM</w:t>
      </w:r>
    </w:p>
    <w:p w:rsidR="00A60ACF" w:rsidRDefault="00A60ACF" w:rsidP="00A60ACF">
      <w:pPr>
        <w:autoSpaceDE w:val="0"/>
        <w:autoSpaceDN w:val="0"/>
        <w:adjustRightInd w:val="0"/>
        <w:spacing w:after="0" w:line="240" w:lineRule="auto"/>
        <w:rPr>
          <w:rFonts w:ascii="Arial Narrow" w:hAnsi="Arial Narrow" w:cs="Garamond"/>
        </w:rPr>
      </w:pPr>
      <w:r w:rsidRPr="00A60ACF">
        <w:rPr>
          <w:rFonts w:ascii="Arial Narrow" w:hAnsi="Arial Narrow" w:cs="Garamond"/>
        </w:rPr>
        <w:t>Nonbank financial institutions, such as investment banks, hedge funds, and money market mutual funds</w:t>
      </w:r>
      <w:r w:rsidR="009867DA">
        <w:rPr>
          <w:rFonts w:ascii="Arial Narrow" w:hAnsi="Arial Narrow" w:cs="Garamond"/>
        </w:rPr>
        <w:t>, have</w:t>
      </w:r>
      <w:r w:rsidRPr="00A60ACF">
        <w:rPr>
          <w:rFonts w:ascii="Arial Narrow" w:hAnsi="Arial Narrow" w:cs="Garamond"/>
        </w:rPr>
        <w:t xml:space="preserve"> become an increasingly important means for channeling money from lenders to borrowers. These nonbank financial institutions have been labeled the </w:t>
      </w:r>
      <w:r w:rsidRPr="00A60ACF">
        <w:rPr>
          <w:rFonts w:ascii="Arial Narrow" w:hAnsi="Arial Narrow" w:cs="Garamond" w:hint="eastAsia"/>
        </w:rPr>
        <w:t>“</w:t>
      </w:r>
      <w:r w:rsidRPr="00A60ACF">
        <w:rPr>
          <w:rFonts w:ascii="Arial Narrow" w:hAnsi="Arial Narrow" w:cs="Garamond"/>
        </w:rPr>
        <w:t>shadow banking system</w:t>
      </w:r>
      <w:r w:rsidRPr="00A60ACF">
        <w:rPr>
          <w:rFonts w:ascii="Arial Narrow" w:hAnsi="Arial Narrow" w:cs="Garamond" w:hint="eastAsia"/>
        </w:rPr>
        <w:t>”—</w:t>
      </w:r>
      <w:r w:rsidRPr="00A60ACF">
        <w:rPr>
          <w:rFonts w:ascii="Arial Narrow" w:hAnsi="Arial Narrow" w:cs="Garamond"/>
        </w:rPr>
        <w:t>matching savers and borrowers, but outside of the commercial</w:t>
      </w:r>
      <w:r>
        <w:rPr>
          <w:rFonts w:ascii="Arial Narrow" w:hAnsi="Arial Narrow" w:cs="Garamond"/>
        </w:rPr>
        <w:t xml:space="preserve"> </w:t>
      </w:r>
      <w:r w:rsidRPr="00A60ACF">
        <w:rPr>
          <w:rFonts w:ascii="Arial Narrow" w:hAnsi="Arial Narrow" w:cs="Garamond"/>
        </w:rPr>
        <w:t>banking system, and, in principle, lowering costs to borrower</w:t>
      </w:r>
      <w:r w:rsidR="00607E6F">
        <w:rPr>
          <w:rFonts w:ascii="Arial Narrow" w:hAnsi="Arial Narrow" w:cs="Garamond"/>
        </w:rPr>
        <w:t xml:space="preserve">s and </w:t>
      </w:r>
      <w:proofErr w:type="gramStart"/>
      <w:r w:rsidR="00607E6F">
        <w:rPr>
          <w:rFonts w:ascii="Arial Narrow" w:hAnsi="Arial Narrow" w:cs="Garamond"/>
        </w:rPr>
        <w:t>raising</w:t>
      </w:r>
      <w:proofErr w:type="gramEnd"/>
      <w:r w:rsidR="00607E6F">
        <w:rPr>
          <w:rFonts w:ascii="Arial Narrow" w:hAnsi="Arial Narrow" w:cs="Garamond"/>
        </w:rPr>
        <w:t xml:space="preserve"> returns to savers </w:t>
      </w:r>
      <w:r>
        <w:rPr>
          <w:rFonts w:ascii="Arial Narrow" w:hAnsi="Arial Narrow" w:cs="Garamond"/>
        </w:rPr>
        <w:t>(</w:t>
      </w:r>
      <w:r w:rsidR="00607E6F">
        <w:rPr>
          <w:rFonts w:ascii="Arial Narrow" w:hAnsi="Arial Narrow" w:cs="Garamond"/>
        </w:rPr>
        <w:t>Refer</w:t>
      </w:r>
      <w:r>
        <w:rPr>
          <w:rFonts w:ascii="Arial Narrow" w:hAnsi="Arial Narrow" w:cs="Garamond"/>
        </w:rPr>
        <w:t xml:space="preserve"> to topic on non-bank finance institutions</w:t>
      </w:r>
      <w:r w:rsidR="0020485A">
        <w:rPr>
          <w:rFonts w:ascii="Arial Narrow" w:hAnsi="Arial Narrow" w:cs="Garamond"/>
        </w:rPr>
        <w:t>/ shadow banking system</w:t>
      </w:r>
      <w:r>
        <w:rPr>
          <w:rFonts w:ascii="Arial Narrow" w:hAnsi="Arial Narrow" w:cs="Garamond"/>
        </w:rPr>
        <w:t>).</w:t>
      </w:r>
    </w:p>
    <w:p w:rsidR="00A60ACF" w:rsidRDefault="00A60ACF" w:rsidP="00A60ACF">
      <w:pPr>
        <w:autoSpaceDE w:val="0"/>
        <w:autoSpaceDN w:val="0"/>
        <w:adjustRightInd w:val="0"/>
        <w:spacing w:after="0" w:line="240" w:lineRule="auto"/>
        <w:rPr>
          <w:rFonts w:ascii="Arial Narrow" w:hAnsi="Arial Narrow" w:cs="Garamond"/>
        </w:rPr>
      </w:pPr>
    </w:p>
    <w:sectPr w:rsidR="00A60ACF" w:rsidSect="00AE039E">
      <w:headerReference w:type="default" r:id="rId14"/>
      <w:pgSz w:w="12240" w:h="15840"/>
      <w:pgMar w:top="144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8F2" w:rsidRDefault="008568F2" w:rsidP="00A9478C">
      <w:pPr>
        <w:spacing w:after="0" w:line="240" w:lineRule="auto"/>
      </w:pPr>
      <w:r>
        <w:separator/>
      </w:r>
    </w:p>
  </w:endnote>
  <w:endnote w:type="continuationSeparator" w:id="0">
    <w:p w:rsidR="008568F2" w:rsidRDefault="008568F2" w:rsidP="00A94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inion-Regular">
    <w:altName w:val="MS Mincho"/>
    <w:panose1 w:val="00000000000000000000"/>
    <w:charset w:val="80"/>
    <w:family w:val="auto"/>
    <w:notTrueType/>
    <w:pitch w:val="default"/>
    <w:sig w:usb0="00000001" w:usb1="08070000" w:usb2="00000010" w:usb3="00000000" w:csb0="00020000" w:csb1="00000000"/>
  </w:font>
  <w:font w:name="Minion-Italic">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Optr2k">
    <w:panose1 w:val="00000000000000000000"/>
    <w:charset w:val="00"/>
    <w:family w:val="auto"/>
    <w:notTrueType/>
    <w:pitch w:val="default"/>
    <w:sig w:usb0="00000003" w:usb1="00000000" w:usb2="00000000" w:usb3="00000000" w:csb0="00000001" w:csb1="00000000"/>
  </w:font>
  <w:font w:name="Syntax-Black">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ntax-Bold">
    <w:panose1 w:val="00000000000000000000"/>
    <w:charset w:val="00"/>
    <w:family w:val="auto"/>
    <w:notTrueType/>
    <w:pitch w:val="default"/>
    <w:sig w:usb0="00000003" w:usb1="00000000" w:usb2="00000000" w:usb3="00000000" w:csb0="00000001" w:csb1="00000000"/>
  </w:font>
  <w:font w:name="Syntax-Roman">
    <w:altName w:val="MS Mincho"/>
    <w:panose1 w:val="00000000000000000000"/>
    <w:charset w:val="80"/>
    <w:family w:val="auto"/>
    <w:notTrueType/>
    <w:pitch w:val="default"/>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8F2" w:rsidRDefault="008568F2" w:rsidP="00A9478C">
      <w:pPr>
        <w:spacing w:after="0" w:line="240" w:lineRule="auto"/>
      </w:pPr>
      <w:r>
        <w:separator/>
      </w:r>
    </w:p>
  </w:footnote>
  <w:footnote w:type="continuationSeparator" w:id="0">
    <w:p w:rsidR="008568F2" w:rsidRDefault="008568F2" w:rsidP="00A9478C">
      <w:pPr>
        <w:spacing w:after="0" w:line="240" w:lineRule="auto"/>
      </w:pPr>
      <w:r>
        <w:continuationSeparator/>
      </w:r>
    </w:p>
  </w:footnote>
  <w:footnote w:id="1">
    <w:p w:rsidR="00A11EF8" w:rsidRPr="00A9478C" w:rsidRDefault="00A11EF8" w:rsidP="00A9478C">
      <w:pPr>
        <w:autoSpaceDE w:val="0"/>
        <w:autoSpaceDN w:val="0"/>
        <w:adjustRightInd w:val="0"/>
        <w:spacing w:after="0" w:line="240" w:lineRule="auto"/>
        <w:rPr>
          <w:sz w:val="20"/>
          <w:szCs w:val="20"/>
        </w:rPr>
      </w:pPr>
      <w:r>
        <w:rPr>
          <w:rStyle w:val="FootnoteReference"/>
        </w:rPr>
        <w:footnoteRef/>
      </w:r>
      <w:r>
        <w:t xml:space="preserve">  </w:t>
      </w:r>
      <w:r>
        <w:rPr>
          <w:sz w:val="20"/>
          <w:szCs w:val="20"/>
        </w:rPr>
        <w:t xml:space="preserve">Also called Tier 1 </w:t>
      </w:r>
      <w:r w:rsidRPr="00A9478C">
        <w:rPr>
          <w:sz w:val="20"/>
          <w:szCs w:val="20"/>
        </w:rPr>
        <w:t xml:space="preserve">capital, is as defined in Section 2(1) of the Kenya of the Banking Act and includes permanent shareholders equity (issued and fully paid-up ordinary shares and perpetual non-cumulative preference shares) plus disclosed reserves (additional share premium plus retained earnings plus 50% of profits after tax plus minority interest in consolidated subsidiaries) less intangible assets (goodwill and equity funded through revaluation reserves). </w:t>
      </w:r>
    </w:p>
    <w:p w:rsidR="00A11EF8" w:rsidRDefault="00A11EF8">
      <w:pPr>
        <w:pStyle w:val="FootnoteText"/>
      </w:pPr>
    </w:p>
  </w:footnote>
  <w:footnote w:id="2">
    <w:p w:rsidR="00A11EF8" w:rsidRDefault="00A11EF8">
      <w:pPr>
        <w:pStyle w:val="FootnoteText"/>
      </w:pPr>
      <w:r>
        <w:rPr>
          <w:rStyle w:val="FootnoteReference"/>
        </w:rPr>
        <w:footnoteRef/>
      </w:r>
      <w:r>
        <w:t xml:space="preserve"> Also called Tier2 capital, i</w:t>
      </w:r>
      <w:r w:rsidRPr="00A9478C">
        <w:t>s as defined in Section 2(1) of the Kenya Banking Act and includes 25% of asset revaluation reserves which have received prior Central Bank’s approval, subordinated debt, hybrid (debt equity) capital instruments or any other capital instrument approved by Central Bank. Supplementary capital must not exceed core capital.</w:t>
      </w:r>
    </w:p>
  </w:footnote>
  <w:footnote w:id="3">
    <w:p w:rsidR="00A11EF8" w:rsidRDefault="00A11EF8">
      <w:pPr>
        <w:pStyle w:val="FootnoteText"/>
      </w:pPr>
      <w:r>
        <w:rPr>
          <w:rStyle w:val="FootnoteReference"/>
        </w:rPr>
        <w:footnoteRef/>
      </w:r>
      <w:r>
        <w:t xml:space="preserve"> Note that Kenya women finance trust acquired a commercial banking license on top of its microfinance </w:t>
      </w:r>
      <w:r w:rsidR="00C20472">
        <w:t>license</w:t>
      </w:r>
      <w:r>
        <w:t>. The current number is 45 banking institutions, 44 commercial banks and 1 mortgage finance company).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D51E67">
      <w:trPr>
        <w:trHeight w:val="288"/>
      </w:trPr>
      <w:tc>
        <w:tcPr>
          <w:tcW w:w="7765" w:type="dxa"/>
        </w:tcPr>
        <w:p w:rsidR="00D51E67" w:rsidRDefault="000B0615" w:rsidP="00D51E67">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placeholder>
                <w:docPart w:val="37C01E4078CF454F92D67ACFCCB033A0"/>
              </w:placeholder>
              <w:dataBinding w:prefixMappings="xmlns:ns0='http://schemas.openxmlformats.org/package/2006/metadata/core-properties' xmlns:ns1='http://purl.org/dc/elements/1.1/'" w:xpath="/ns0:coreProperties[1]/ns1:title[1]" w:storeItemID="{6C3C8BC8-F283-45AE-878A-BAB7291924A1}"/>
              <w:text/>
            </w:sdtPr>
            <w:sdtContent>
              <w:r w:rsidR="00D51E67">
                <w:rPr>
                  <w:rFonts w:asciiTheme="majorHAnsi" w:eastAsiaTheme="majorEastAsia" w:hAnsiTheme="majorHAnsi" w:cstheme="majorBidi"/>
                  <w:sz w:val="36"/>
                  <w:szCs w:val="36"/>
                </w:rPr>
                <w:t>John K. Karuitha- Bcom 331</w:t>
              </w:r>
            </w:sdtContent>
          </w:sdt>
        </w:p>
      </w:tc>
      <w:sdt>
        <w:sdtPr>
          <w:rPr>
            <w:rFonts w:asciiTheme="majorHAnsi" w:eastAsiaTheme="majorEastAsia" w:hAnsiTheme="majorHAnsi" w:cstheme="majorBidi"/>
            <w:b/>
            <w:bCs/>
            <w:color w:val="4F81BD" w:themeColor="accent1"/>
            <w:sz w:val="36"/>
            <w:szCs w:val="36"/>
          </w:rPr>
          <w:alias w:val="Year"/>
          <w:id w:val="77761609"/>
          <w:placeholder>
            <w:docPart w:val="67A934F455DD4CD4A5ABE940F8CA692D"/>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D51E67" w:rsidRDefault="00D51E67" w:rsidP="00D51E6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D51E67" w:rsidRDefault="00D51E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2CFC"/>
    <w:multiLevelType w:val="hybridMultilevel"/>
    <w:tmpl w:val="9AE2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50092"/>
    <w:multiLevelType w:val="hybridMultilevel"/>
    <w:tmpl w:val="6B8C4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05C67"/>
    <w:multiLevelType w:val="hybridMultilevel"/>
    <w:tmpl w:val="4022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12C8A"/>
    <w:multiLevelType w:val="hybridMultilevel"/>
    <w:tmpl w:val="B09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3384E"/>
    <w:multiLevelType w:val="hybridMultilevel"/>
    <w:tmpl w:val="20A8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B2397"/>
    <w:multiLevelType w:val="hybridMultilevel"/>
    <w:tmpl w:val="4498E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A662DA"/>
    <w:multiLevelType w:val="hybridMultilevel"/>
    <w:tmpl w:val="4022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D3CAD"/>
    <w:rsid w:val="00026BF9"/>
    <w:rsid w:val="0004363C"/>
    <w:rsid w:val="000B0615"/>
    <w:rsid w:val="00106A70"/>
    <w:rsid w:val="0020485A"/>
    <w:rsid w:val="00225188"/>
    <w:rsid w:val="002F42D5"/>
    <w:rsid w:val="003643F8"/>
    <w:rsid w:val="00364FE0"/>
    <w:rsid w:val="003730EF"/>
    <w:rsid w:val="00387F66"/>
    <w:rsid w:val="003C7A0D"/>
    <w:rsid w:val="004114E9"/>
    <w:rsid w:val="004D3651"/>
    <w:rsid w:val="004F7A3A"/>
    <w:rsid w:val="005C2D40"/>
    <w:rsid w:val="005C7990"/>
    <w:rsid w:val="005F3E6A"/>
    <w:rsid w:val="00602DD3"/>
    <w:rsid w:val="00607E6F"/>
    <w:rsid w:val="00624FAC"/>
    <w:rsid w:val="006267CD"/>
    <w:rsid w:val="00660CA8"/>
    <w:rsid w:val="007406B6"/>
    <w:rsid w:val="00760C3E"/>
    <w:rsid w:val="00823E9F"/>
    <w:rsid w:val="008568F2"/>
    <w:rsid w:val="008B4DD9"/>
    <w:rsid w:val="00921D01"/>
    <w:rsid w:val="00961A61"/>
    <w:rsid w:val="00965887"/>
    <w:rsid w:val="009867DA"/>
    <w:rsid w:val="00A11EF8"/>
    <w:rsid w:val="00A60ACF"/>
    <w:rsid w:val="00A9478C"/>
    <w:rsid w:val="00AE039E"/>
    <w:rsid w:val="00B51B67"/>
    <w:rsid w:val="00B72CEA"/>
    <w:rsid w:val="00BB3E99"/>
    <w:rsid w:val="00C149D8"/>
    <w:rsid w:val="00C20472"/>
    <w:rsid w:val="00C32812"/>
    <w:rsid w:val="00C534CC"/>
    <w:rsid w:val="00CD3CAD"/>
    <w:rsid w:val="00CE5AA3"/>
    <w:rsid w:val="00D05CEB"/>
    <w:rsid w:val="00D51E67"/>
    <w:rsid w:val="00D836A7"/>
    <w:rsid w:val="00DC0ECE"/>
    <w:rsid w:val="00DD3642"/>
    <w:rsid w:val="00DD46DF"/>
    <w:rsid w:val="00DF605B"/>
    <w:rsid w:val="00E07F98"/>
    <w:rsid w:val="00E72C94"/>
    <w:rsid w:val="00EB128B"/>
    <w:rsid w:val="00EB19A8"/>
    <w:rsid w:val="00EC52CA"/>
    <w:rsid w:val="00EF7DF3"/>
    <w:rsid w:val="00F96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C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114E9"/>
    <w:rPr>
      <w:color w:val="808080"/>
    </w:rPr>
  </w:style>
  <w:style w:type="paragraph" w:styleId="BalloonText">
    <w:name w:val="Balloon Text"/>
    <w:basedOn w:val="Normal"/>
    <w:link w:val="BalloonTextChar"/>
    <w:uiPriority w:val="99"/>
    <w:semiHidden/>
    <w:unhideWhenUsed/>
    <w:rsid w:val="00411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4E9"/>
    <w:rPr>
      <w:rFonts w:ascii="Tahoma" w:hAnsi="Tahoma" w:cs="Tahoma"/>
      <w:sz w:val="16"/>
      <w:szCs w:val="16"/>
    </w:rPr>
  </w:style>
  <w:style w:type="paragraph" w:styleId="FootnoteText">
    <w:name w:val="footnote text"/>
    <w:basedOn w:val="Normal"/>
    <w:link w:val="FootnoteTextChar"/>
    <w:uiPriority w:val="99"/>
    <w:semiHidden/>
    <w:unhideWhenUsed/>
    <w:rsid w:val="00A947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78C"/>
    <w:rPr>
      <w:sz w:val="20"/>
      <w:szCs w:val="20"/>
    </w:rPr>
  </w:style>
  <w:style w:type="character" w:styleId="FootnoteReference">
    <w:name w:val="footnote reference"/>
    <w:basedOn w:val="DefaultParagraphFont"/>
    <w:uiPriority w:val="99"/>
    <w:semiHidden/>
    <w:unhideWhenUsed/>
    <w:rsid w:val="00A9478C"/>
    <w:rPr>
      <w:vertAlign w:val="superscript"/>
    </w:rPr>
  </w:style>
  <w:style w:type="paragraph" w:styleId="ListParagraph">
    <w:name w:val="List Paragraph"/>
    <w:basedOn w:val="Normal"/>
    <w:uiPriority w:val="34"/>
    <w:qFormat/>
    <w:rsid w:val="00921D01"/>
    <w:pPr>
      <w:ind w:left="720"/>
      <w:contextualSpacing/>
    </w:pPr>
  </w:style>
  <w:style w:type="paragraph" w:styleId="Header">
    <w:name w:val="header"/>
    <w:basedOn w:val="Normal"/>
    <w:link w:val="HeaderChar"/>
    <w:uiPriority w:val="99"/>
    <w:unhideWhenUsed/>
    <w:rsid w:val="00D51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E67"/>
  </w:style>
  <w:style w:type="paragraph" w:styleId="Footer">
    <w:name w:val="footer"/>
    <w:basedOn w:val="Normal"/>
    <w:link w:val="FooterChar"/>
    <w:uiPriority w:val="99"/>
    <w:semiHidden/>
    <w:unhideWhenUsed/>
    <w:rsid w:val="00D51E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1E6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E7315E-8B85-4FC5-946A-BDFD81F1E3A6}"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686F95C1-9724-4463-B203-31BA04CA2A81}">
      <dgm:prSet phldrT="[Text]"/>
      <dgm:spPr/>
      <dgm:t>
        <a:bodyPr/>
        <a:lstStyle/>
        <a:p>
          <a:r>
            <a:rPr lang="en-US"/>
            <a:t>Commercial banks and mortgage finance institutions</a:t>
          </a:r>
        </a:p>
      </dgm:t>
    </dgm:pt>
    <dgm:pt modelId="{D14DD2C3-063C-4CE0-A5AD-BE7E45ACBD32}" type="parTrans" cxnId="{A6481209-9F97-4211-A3A6-3DADBBC68A28}">
      <dgm:prSet/>
      <dgm:spPr/>
      <dgm:t>
        <a:bodyPr/>
        <a:lstStyle/>
        <a:p>
          <a:endParaRPr lang="en-US"/>
        </a:p>
      </dgm:t>
    </dgm:pt>
    <dgm:pt modelId="{1261E914-6D88-4094-93CB-68DB4131F8B4}" type="sibTrans" cxnId="{A6481209-9F97-4211-A3A6-3DADBBC68A28}">
      <dgm:prSet/>
      <dgm:spPr/>
      <dgm:t>
        <a:bodyPr/>
        <a:lstStyle/>
        <a:p>
          <a:endParaRPr lang="en-US"/>
        </a:p>
      </dgm:t>
    </dgm:pt>
    <dgm:pt modelId="{F736175A-1586-4403-B9C1-FF166B10518B}">
      <dgm:prSet phldrT="[Text]"/>
      <dgm:spPr/>
      <dgm:t>
        <a:bodyPr/>
        <a:lstStyle/>
        <a:p>
          <a:r>
            <a:rPr lang="en-US"/>
            <a:t>Private financial institutions</a:t>
          </a:r>
        </a:p>
      </dgm:t>
    </dgm:pt>
    <dgm:pt modelId="{46702777-439B-454C-ACBE-B523E64F03BF}" type="parTrans" cxnId="{C8EC3C4F-C59C-4317-BCAB-48A1B8B149CF}">
      <dgm:prSet/>
      <dgm:spPr/>
      <dgm:t>
        <a:bodyPr/>
        <a:lstStyle/>
        <a:p>
          <a:endParaRPr lang="en-US"/>
        </a:p>
      </dgm:t>
    </dgm:pt>
    <dgm:pt modelId="{875B23CD-6389-4070-80B5-E8D6EC169CBC}" type="sibTrans" cxnId="{C8EC3C4F-C59C-4317-BCAB-48A1B8B149CF}">
      <dgm:prSet/>
      <dgm:spPr/>
      <dgm:t>
        <a:bodyPr/>
        <a:lstStyle/>
        <a:p>
          <a:endParaRPr lang="en-US"/>
        </a:p>
      </dgm:t>
    </dgm:pt>
    <dgm:pt modelId="{D0F1F58E-05AA-47B3-BF45-7BAF763F303F}">
      <dgm:prSet phldrT="[Text]"/>
      <dgm:spPr/>
      <dgm:t>
        <a:bodyPr/>
        <a:lstStyle/>
        <a:p>
          <a:r>
            <a:rPr lang="en-US"/>
            <a:t>Public financial institutions</a:t>
          </a:r>
        </a:p>
      </dgm:t>
    </dgm:pt>
    <dgm:pt modelId="{989CA24B-0C62-43FB-ACD2-12A022334100}" type="parTrans" cxnId="{DE64FEB5-0F75-414E-9726-6039120A9EAA}">
      <dgm:prSet/>
      <dgm:spPr/>
      <dgm:t>
        <a:bodyPr/>
        <a:lstStyle/>
        <a:p>
          <a:endParaRPr lang="en-US"/>
        </a:p>
      </dgm:t>
    </dgm:pt>
    <dgm:pt modelId="{4C807CFC-5E07-47F7-9D5D-F1DA7F86C050}" type="sibTrans" cxnId="{DE64FEB5-0F75-414E-9726-6039120A9EAA}">
      <dgm:prSet/>
      <dgm:spPr/>
      <dgm:t>
        <a:bodyPr/>
        <a:lstStyle/>
        <a:p>
          <a:endParaRPr lang="en-US"/>
        </a:p>
      </dgm:t>
    </dgm:pt>
    <dgm:pt modelId="{D72DB519-C765-4984-A1B2-1DB4C8FCF079}" type="asst">
      <dgm:prSet/>
      <dgm:spPr/>
      <dgm:t>
        <a:bodyPr/>
        <a:lstStyle/>
        <a:p>
          <a:r>
            <a:rPr lang="en-US"/>
            <a:t>Local</a:t>
          </a:r>
        </a:p>
      </dgm:t>
    </dgm:pt>
    <dgm:pt modelId="{8078E393-CCD0-4186-8651-446E7226B726}" type="parTrans" cxnId="{34835D82-4576-400E-9923-073F17101812}">
      <dgm:prSet/>
      <dgm:spPr/>
      <dgm:t>
        <a:bodyPr/>
        <a:lstStyle/>
        <a:p>
          <a:endParaRPr lang="en-US"/>
        </a:p>
      </dgm:t>
    </dgm:pt>
    <dgm:pt modelId="{4702A583-D2B3-45C4-B55D-1207E3859DC2}" type="sibTrans" cxnId="{34835D82-4576-400E-9923-073F17101812}">
      <dgm:prSet/>
      <dgm:spPr/>
      <dgm:t>
        <a:bodyPr/>
        <a:lstStyle/>
        <a:p>
          <a:endParaRPr lang="en-US"/>
        </a:p>
      </dgm:t>
    </dgm:pt>
    <dgm:pt modelId="{3E738E1A-96BB-438B-8A57-8B6A5A4E20F5}" type="asst">
      <dgm:prSet/>
      <dgm:spPr/>
      <dgm:t>
        <a:bodyPr/>
        <a:lstStyle/>
        <a:p>
          <a:r>
            <a:rPr lang="en-US"/>
            <a:t>Foreign (over 50% ownership)</a:t>
          </a:r>
        </a:p>
      </dgm:t>
    </dgm:pt>
    <dgm:pt modelId="{C734E1E0-AEA8-4543-B283-ED14AB7B0FDC}" type="parTrans" cxnId="{6E66E160-BED9-424A-B025-EB678E9884BC}">
      <dgm:prSet/>
      <dgm:spPr/>
      <dgm:t>
        <a:bodyPr/>
        <a:lstStyle/>
        <a:p>
          <a:endParaRPr lang="en-US"/>
        </a:p>
      </dgm:t>
    </dgm:pt>
    <dgm:pt modelId="{8DE9FBC3-F1AB-4731-B00F-F2E1DF388A60}" type="sibTrans" cxnId="{6E66E160-BED9-424A-B025-EB678E9884BC}">
      <dgm:prSet/>
      <dgm:spPr/>
      <dgm:t>
        <a:bodyPr/>
        <a:lstStyle/>
        <a:p>
          <a:endParaRPr lang="en-US"/>
        </a:p>
      </dgm:t>
    </dgm:pt>
    <dgm:pt modelId="{04247D5D-04E4-4DBF-A125-D90240C964DA}" type="asst">
      <dgm:prSet/>
      <dgm:spPr/>
      <dgm:t>
        <a:bodyPr/>
        <a:lstStyle/>
        <a:p>
          <a:r>
            <a:rPr lang="en-US"/>
            <a:t>Commercial banks- 28</a:t>
          </a:r>
        </a:p>
        <a:p>
          <a:r>
            <a:rPr lang="en-US"/>
            <a:t>Mortgage finance institutions- 1</a:t>
          </a:r>
        </a:p>
      </dgm:t>
    </dgm:pt>
    <dgm:pt modelId="{39551FC3-7273-46AA-91D9-C81D2CFD1732}" type="parTrans" cxnId="{E6B66686-E1FA-4308-8157-78A65CE261D8}">
      <dgm:prSet/>
      <dgm:spPr/>
      <dgm:t>
        <a:bodyPr/>
        <a:lstStyle/>
        <a:p>
          <a:endParaRPr lang="en-US"/>
        </a:p>
      </dgm:t>
    </dgm:pt>
    <dgm:pt modelId="{D733331E-E788-4FB5-95D3-1194BD549506}" type="sibTrans" cxnId="{E6B66686-E1FA-4308-8157-78A65CE261D8}">
      <dgm:prSet/>
      <dgm:spPr/>
      <dgm:t>
        <a:bodyPr/>
        <a:lstStyle/>
        <a:p>
          <a:endParaRPr lang="en-US"/>
        </a:p>
      </dgm:t>
    </dgm:pt>
    <dgm:pt modelId="{122AA48A-AC37-4AC5-9E4A-3F7F00F09A7C}" type="asst">
      <dgm:prSet/>
      <dgm:spPr/>
      <dgm:t>
        <a:bodyPr/>
        <a:lstStyle/>
        <a:p>
          <a:r>
            <a:rPr lang="en-US"/>
            <a:t>Commercial banks- 13</a:t>
          </a:r>
        </a:p>
      </dgm:t>
    </dgm:pt>
    <dgm:pt modelId="{6150B695-F923-48E2-B78C-905D7EAFDC2E}" type="parTrans" cxnId="{882C85A2-722B-49C3-92D6-8A8E7B02EC84}">
      <dgm:prSet/>
      <dgm:spPr/>
      <dgm:t>
        <a:bodyPr/>
        <a:lstStyle/>
        <a:p>
          <a:endParaRPr lang="en-US"/>
        </a:p>
      </dgm:t>
    </dgm:pt>
    <dgm:pt modelId="{18CAC43D-F877-4739-9046-A279D6D8934D}" type="sibTrans" cxnId="{882C85A2-722B-49C3-92D6-8A8E7B02EC84}">
      <dgm:prSet/>
      <dgm:spPr/>
      <dgm:t>
        <a:bodyPr/>
        <a:lstStyle/>
        <a:p>
          <a:endParaRPr lang="en-US"/>
        </a:p>
      </dgm:t>
    </dgm:pt>
    <dgm:pt modelId="{1830CD11-149A-492B-B649-12B759E2A256}" type="asst">
      <dgm:prSet/>
      <dgm:spPr/>
      <dgm:t>
        <a:bodyPr/>
        <a:lstStyle/>
        <a:p>
          <a:r>
            <a:rPr lang="en-US"/>
            <a:t>Consolidated bank of kenya</a:t>
          </a:r>
        </a:p>
        <a:p>
          <a:r>
            <a:rPr lang="en-US"/>
            <a:t>Development Bank of Kenya</a:t>
          </a:r>
        </a:p>
        <a:p>
          <a:r>
            <a:rPr lang="en-US"/>
            <a:t>National Bank of Kenya</a:t>
          </a:r>
        </a:p>
      </dgm:t>
    </dgm:pt>
    <dgm:pt modelId="{16463789-B655-4983-ABD2-A7D77B66FF73}" type="parTrans" cxnId="{2ADAD6CD-DD1E-4657-9B6E-8A3A836B8A33}">
      <dgm:prSet/>
      <dgm:spPr/>
      <dgm:t>
        <a:bodyPr/>
        <a:lstStyle/>
        <a:p>
          <a:endParaRPr lang="en-US"/>
        </a:p>
      </dgm:t>
    </dgm:pt>
    <dgm:pt modelId="{E83F217E-D3CB-4081-9257-62BCC16B2453}" type="sibTrans" cxnId="{2ADAD6CD-DD1E-4657-9B6E-8A3A836B8A33}">
      <dgm:prSet/>
      <dgm:spPr/>
      <dgm:t>
        <a:bodyPr/>
        <a:lstStyle/>
        <a:p>
          <a:endParaRPr lang="en-US"/>
        </a:p>
      </dgm:t>
    </dgm:pt>
    <dgm:pt modelId="{7A19E9FE-2A63-4BC8-814C-8754F74EBB92}" type="pres">
      <dgm:prSet presAssocID="{8EE7315E-8B85-4FC5-946A-BDFD81F1E3A6}" presName="hierChild1" presStyleCnt="0">
        <dgm:presLayoutVars>
          <dgm:orgChart val="1"/>
          <dgm:chPref val="1"/>
          <dgm:dir/>
          <dgm:animOne val="branch"/>
          <dgm:animLvl val="lvl"/>
          <dgm:resizeHandles/>
        </dgm:presLayoutVars>
      </dgm:prSet>
      <dgm:spPr/>
      <dgm:t>
        <a:bodyPr/>
        <a:lstStyle/>
        <a:p>
          <a:endParaRPr lang="en-US"/>
        </a:p>
      </dgm:t>
    </dgm:pt>
    <dgm:pt modelId="{4EDEE202-57F9-483E-AD32-EE8BB3AB0411}" type="pres">
      <dgm:prSet presAssocID="{686F95C1-9724-4463-B203-31BA04CA2A81}" presName="hierRoot1" presStyleCnt="0">
        <dgm:presLayoutVars>
          <dgm:hierBranch val="init"/>
        </dgm:presLayoutVars>
      </dgm:prSet>
      <dgm:spPr/>
    </dgm:pt>
    <dgm:pt modelId="{7C13932D-B71A-42B5-8E43-6460EE2BD5E5}" type="pres">
      <dgm:prSet presAssocID="{686F95C1-9724-4463-B203-31BA04CA2A81}" presName="rootComposite1" presStyleCnt="0"/>
      <dgm:spPr/>
    </dgm:pt>
    <dgm:pt modelId="{4A3DBC7F-6D3C-4B2D-8BAE-37FC02F51338}" type="pres">
      <dgm:prSet presAssocID="{686F95C1-9724-4463-B203-31BA04CA2A81}" presName="rootText1" presStyleLbl="node0" presStyleIdx="0" presStyleCnt="1" custScaleX="283851">
        <dgm:presLayoutVars>
          <dgm:chPref val="3"/>
        </dgm:presLayoutVars>
      </dgm:prSet>
      <dgm:spPr/>
      <dgm:t>
        <a:bodyPr/>
        <a:lstStyle/>
        <a:p>
          <a:endParaRPr lang="en-US"/>
        </a:p>
      </dgm:t>
    </dgm:pt>
    <dgm:pt modelId="{FF236944-8420-4D4A-8F71-E7BD22606D53}" type="pres">
      <dgm:prSet presAssocID="{686F95C1-9724-4463-B203-31BA04CA2A81}" presName="rootConnector1" presStyleLbl="node1" presStyleIdx="0" presStyleCnt="0"/>
      <dgm:spPr/>
      <dgm:t>
        <a:bodyPr/>
        <a:lstStyle/>
        <a:p>
          <a:endParaRPr lang="en-US"/>
        </a:p>
      </dgm:t>
    </dgm:pt>
    <dgm:pt modelId="{25654BF8-3D56-4D2C-B974-0904D37D64D2}" type="pres">
      <dgm:prSet presAssocID="{686F95C1-9724-4463-B203-31BA04CA2A81}" presName="hierChild2" presStyleCnt="0"/>
      <dgm:spPr/>
    </dgm:pt>
    <dgm:pt modelId="{5AF839A8-2956-4ADE-A030-F7EA6B38CF8D}" type="pres">
      <dgm:prSet presAssocID="{46702777-439B-454C-ACBE-B523E64F03BF}" presName="Name37" presStyleLbl="parChTrans1D2" presStyleIdx="0" presStyleCnt="2"/>
      <dgm:spPr/>
      <dgm:t>
        <a:bodyPr/>
        <a:lstStyle/>
        <a:p>
          <a:endParaRPr lang="en-US"/>
        </a:p>
      </dgm:t>
    </dgm:pt>
    <dgm:pt modelId="{8B04209E-BEFC-49B2-B8A2-4E78B7A2C57D}" type="pres">
      <dgm:prSet presAssocID="{F736175A-1586-4403-B9C1-FF166B10518B}" presName="hierRoot2" presStyleCnt="0">
        <dgm:presLayoutVars>
          <dgm:hierBranch val="init"/>
        </dgm:presLayoutVars>
      </dgm:prSet>
      <dgm:spPr/>
    </dgm:pt>
    <dgm:pt modelId="{04349D75-582F-4DA1-ADD7-F5D73CAB70BB}" type="pres">
      <dgm:prSet presAssocID="{F736175A-1586-4403-B9C1-FF166B10518B}" presName="rootComposite" presStyleCnt="0"/>
      <dgm:spPr/>
    </dgm:pt>
    <dgm:pt modelId="{4E48A1A8-A20B-47F5-8963-3DBFFDA42EE8}" type="pres">
      <dgm:prSet presAssocID="{F736175A-1586-4403-B9C1-FF166B10518B}" presName="rootText" presStyleLbl="node2" presStyleIdx="0" presStyleCnt="2" custScaleX="128592">
        <dgm:presLayoutVars>
          <dgm:chPref val="3"/>
        </dgm:presLayoutVars>
      </dgm:prSet>
      <dgm:spPr/>
      <dgm:t>
        <a:bodyPr/>
        <a:lstStyle/>
        <a:p>
          <a:endParaRPr lang="en-US"/>
        </a:p>
      </dgm:t>
    </dgm:pt>
    <dgm:pt modelId="{563637EA-3F74-4FF1-95C9-11D05A790296}" type="pres">
      <dgm:prSet presAssocID="{F736175A-1586-4403-B9C1-FF166B10518B}" presName="rootConnector" presStyleLbl="node2" presStyleIdx="0" presStyleCnt="2"/>
      <dgm:spPr/>
      <dgm:t>
        <a:bodyPr/>
        <a:lstStyle/>
        <a:p>
          <a:endParaRPr lang="en-US"/>
        </a:p>
      </dgm:t>
    </dgm:pt>
    <dgm:pt modelId="{5F685B7B-1A95-42F9-AE25-598822F1C542}" type="pres">
      <dgm:prSet presAssocID="{F736175A-1586-4403-B9C1-FF166B10518B}" presName="hierChild4" presStyleCnt="0"/>
      <dgm:spPr/>
    </dgm:pt>
    <dgm:pt modelId="{68F25522-69F8-4677-842A-D4EA281D717D}" type="pres">
      <dgm:prSet presAssocID="{F736175A-1586-4403-B9C1-FF166B10518B}" presName="hierChild5" presStyleCnt="0"/>
      <dgm:spPr/>
    </dgm:pt>
    <dgm:pt modelId="{0112007E-9BB9-4147-A878-8AA960220F32}" type="pres">
      <dgm:prSet presAssocID="{8078E393-CCD0-4186-8651-446E7226B726}" presName="Name111" presStyleLbl="parChTrans1D3" presStyleIdx="0" presStyleCnt="3"/>
      <dgm:spPr/>
      <dgm:t>
        <a:bodyPr/>
        <a:lstStyle/>
        <a:p>
          <a:endParaRPr lang="en-US"/>
        </a:p>
      </dgm:t>
    </dgm:pt>
    <dgm:pt modelId="{874B0691-138D-41FA-95D2-FE2A519D56D9}" type="pres">
      <dgm:prSet presAssocID="{D72DB519-C765-4984-A1B2-1DB4C8FCF079}" presName="hierRoot3" presStyleCnt="0">
        <dgm:presLayoutVars>
          <dgm:hierBranch val="init"/>
        </dgm:presLayoutVars>
      </dgm:prSet>
      <dgm:spPr/>
    </dgm:pt>
    <dgm:pt modelId="{27702A6D-8B26-4405-A1CE-180A437A5003}" type="pres">
      <dgm:prSet presAssocID="{D72DB519-C765-4984-A1B2-1DB4C8FCF079}" presName="rootComposite3" presStyleCnt="0"/>
      <dgm:spPr/>
    </dgm:pt>
    <dgm:pt modelId="{634E32ED-0EF9-45E7-942C-E3EAE4097100}" type="pres">
      <dgm:prSet presAssocID="{D72DB519-C765-4984-A1B2-1DB4C8FCF079}" presName="rootText3" presStyleLbl="asst2" presStyleIdx="0" presStyleCnt="5">
        <dgm:presLayoutVars>
          <dgm:chPref val="3"/>
        </dgm:presLayoutVars>
      </dgm:prSet>
      <dgm:spPr/>
      <dgm:t>
        <a:bodyPr/>
        <a:lstStyle/>
        <a:p>
          <a:endParaRPr lang="en-US"/>
        </a:p>
      </dgm:t>
    </dgm:pt>
    <dgm:pt modelId="{51AE8197-8367-4331-8079-2EFB15D10572}" type="pres">
      <dgm:prSet presAssocID="{D72DB519-C765-4984-A1B2-1DB4C8FCF079}" presName="rootConnector3" presStyleLbl="asst2" presStyleIdx="0" presStyleCnt="5"/>
      <dgm:spPr/>
      <dgm:t>
        <a:bodyPr/>
        <a:lstStyle/>
        <a:p>
          <a:endParaRPr lang="en-US"/>
        </a:p>
      </dgm:t>
    </dgm:pt>
    <dgm:pt modelId="{957D3876-243B-4AC0-B5A7-62DA07AB9464}" type="pres">
      <dgm:prSet presAssocID="{D72DB519-C765-4984-A1B2-1DB4C8FCF079}" presName="hierChild6" presStyleCnt="0"/>
      <dgm:spPr/>
    </dgm:pt>
    <dgm:pt modelId="{2DCB026C-4604-4A2F-8B4E-67F0870E1ED9}" type="pres">
      <dgm:prSet presAssocID="{D72DB519-C765-4984-A1B2-1DB4C8FCF079}" presName="hierChild7" presStyleCnt="0"/>
      <dgm:spPr/>
    </dgm:pt>
    <dgm:pt modelId="{B059128B-83C9-451D-A1CE-EB3E2D7FA006}" type="pres">
      <dgm:prSet presAssocID="{39551FC3-7273-46AA-91D9-C81D2CFD1732}" presName="Name111" presStyleLbl="parChTrans1D4" presStyleIdx="0" presStyleCnt="2"/>
      <dgm:spPr/>
      <dgm:t>
        <a:bodyPr/>
        <a:lstStyle/>
        <a:p>
          <a:endParaRPr lang="en-US"/>
        </a:p>
      </dgm:t>
    </dgm:pt>
    <dgm:pt modelId="{411788BE-1879-4FA4-87E1-AEF34F30315B}" type="pres">
      <dgm:prSet presAssocID="{04247D5D-04E4-4DBF-A125-D90240C964DA}" presName="hierRoot3" presStyleCnt="0">
        <dgm:presLayoutVars>
          <dgm:hierBranch val="init"/>
        </dgm:presLayoutVars>
      </dgm:prSet>
      <dgm:spPr/>
    </dgm:pt>
    <dgm:pt modelId="{69BD40A8-DBF9-4C30-AEB5-97468A0F8C12}" type="pres">
      <dgm:prSet presAssocID="{04247D5D-04E4-4DBF-A125-D90240C964DA}" presName="rootComposite3" presStyleCnt="0"/>
      <dgm:spPr/>
    </dgm:pt>
    <dgm:pt modelId="{1C11FA1C-F2ED-4307-8986-75695E587B89}" type="pres">
      <dgm:prSet presAssocID="{04247D5D-04E4-4DBF-A125-D90240C964DA}" presName="rootText3" presStyleLbl="asst2" presStyleIdx="1" presStyleCnt="5">
        <dgm:presLayoutVars>
          <dgm:chPref val="3"/>
        </dgm:presLayoutVars>
      </dgm:prSet>
      <dgm:spPr/>
      <dgm:t>
        <a:bodyPr/>
        <a:lstStyle/>
        <a:p>
          <a:endParaRPr lang="en-US"/>
        </a:p>
      </dgm:t>
    </dgm:pt>
    <dgm:pt modelId="{7476DF00-8F59-45B9-956F-47E03D9F0535}" type="pres">
      <dgm:prSet presAssocID="{04247D5D-04E4-4DBF-A125-D90240C964DA}" presName="rootConnector3" presStyleLbl="asst2" presStyleIdx="1" presStyleCnt="5"/>
      <dgm:spPr/>
      <dgm:t>
        <a:bodyPr/>
        <a:lstStyle/>
        <a:p>
          <a:endParaRPr lang="en-US"/>
        </a:p>
      </dgm:t>
    </dgm:pt>
    <dgm:pt modelId="{24862B22-9C61-491E-90BA-437E8091E51A}" type="pres">
      <dgm:prSet presAssocID="{04247D5D-04E4-4DBF-A125-D90240C964DA}" presName="hierChild6" presStyleCnt="0"/>
      <dgm:spPr/>
    </dgm:pt>
    <dgm:pt modelId="{FEEA5191-808F-43E3-9FC3-03CE01F88DF8}" type="pres">
      <dgm:prSet presAssocID="{04247D5D-04E4-4DBF-A125-D90240C964DA}" presName="hierChild7" presStyleCnt="0"/>
      <dgm:spPr/>
    </dgm:pt>
    <dgm:pt modelId="{1368EBF4-A815-419B-8AF2-102814A83A05}" type="pres">
      <dgm:prSet presAssocID="{C734E1E0-AEA8-4543-B283-ED14AB7B0FDC}" presName="Name111" presStyleLbl="parChTrans1D3" presStyleIdx="1" presStyleCnt="3"/>
      <dgm:spPr/>
      <dgm:t>
        <a:bodyPr/>
        <a:lstStyle/>
        <a:p>
          <a:endParaRPr lang="en-US"/>
        </a:p>
      </dgm:t>
    </dgm:pt>
    <dgm:pt modelId="{7D260B28-1811-4D22-9875-F968722AF8EF}" type="pres">
      <dgm:prSet presAssocID="{3E738E1A-96BB-438B-8A57-8B6A5A4E20F5}" presName="hierRoot3" presStyleCnt="0">
        <dgm:presLayoutVars>
          <dgm:hierBranch val="init"/>
        </dgm:presLayoutVars>
      </dgm:prSet>
      <dgm:spPr/>
    </dgm:pt>
    <dgm:pt modelId="{2D90EEC1-8F82-4259-A27E-36AFB6A51334}" type="pres">
      <dgm:prSet presAssocID="{3E738E1A-96BB-438B-8A57-8B6A5A4E20F5}" presName="rootComposite3" presStyleCnt="0"/>
      <dgm:spPr/>
    </dgm:pt>
    <dgm:pt modelId="{5030B71E-67A7-40F0-8CA6-2163D6228456}" type="pres">
      <dgm:prSet presAssocID="{3E738E1A-96BB-438B-8A57-8B6A5A4E20F5}" presName="rootText3" presStyleLbl="asst2" presStyleIdx="2" presStyleCnt="5">
        <dgm:presLayoutVars>
          <dgm:chPref val="3"/>
        </dgm:presLayoutVars>
      </dgm:prSet>
      <dgm:spPr/>
      <dgm:t>
        <a:bodyPr/>
        <a:lstStyle/>
        <a:p>
          <a:endParaRPr lang="en-US"/>
        </a:p>
      </dgm:t>
    </dgm:pt>
    <dgm:pt modelId="{42CE47C3-48B5-4325-B14F-B79CDC6EB708}" type="pres">
      <dgm:prSet presAssocID="{3E738E1A-96BB-438B-8A57-8B6A5A4E20F5}" presName="rootConnector3" presStyleLbl="asst2" presStyleIdx="2" presStyleCnt="5"/>
      <dgm:spPr/>
      <dgm:t>
        <a:bodyPr/>
        <a:lstStyle/>
        <a:p>
          <a:endParaRPr lang="en-US"/>
        </a:p>
      </dgm:t>
    </dgm:pt>
    <dgm:pt modelId="{4F3F0B77-B802-482E-9261-48D57F64AC3E}" type="pres">
      <dgm:prSet presAssocID="{3E738E1A-96BB-438B-8A57-8B6A5A4E20F5}" presName="hierChild6" presStyleCnt="0"/>
      <dgm:spPr/>
    </dgm:pt>
    <dgm:pt modelId="{8355398F-3EDB-4118-B3DB-068410DD9DFA}" type="pres">
      <dgm:prSet presAssocID="{3E738E1A-96BB-438B-8A57-8B6A5A4E20F5}" presName="hierChild7" presStyleCnt="0"/>
      <dgm:spPr/>
    </dgm:pt>
    <dgm:pt modelId="{199816DC-54D9-45A9-9EC7-FC77622BE1E6}" type="pres">
      <dgm:prSet presAssocID="{6150B695-F923-48E2-B78C-905D7EAFDC2E}" presName="Name111" presStyleLbl="parChTrans1D4" presStyleIdx="1" presStyleCnt="2"/>
      <dgm:spPr/>
      <dgm:t>
        <a:bodyPr/>
        <a:lstStyle/>
        <a:p>
          <a:endParaRPr lang="en-US"/>
        </a:p>
      </dgm:t>
    </dgm:pt>
    <dgm:pt modelId="{ECF39390-FD1E-4330-B2ED-2A23A9AEF684}" type="pres">
      <dgm:prSet presAssocID="{122AA48A-AC37-4AC5-9E4A-3F7F00F09A7C}" presName="hierRoot3" presStyleCnt="0">
        <dgm:presLayoutVars>
          <dgm:hierBranch val="init"/>
        </dgm:presLayoutVars>
      </dgm:prSet>
      <dgm:spPr/>
    </dgm:pt>
    <dgm:pt modelId="{44658452-2F3E-4967-B677-9EA6A7D697F2}" type="pres">
      <dgm:prSet presAssocID="{122AA48A-AC37-4AC5-9E4A-3F7F00F09A7C}" presName="rootComposite3" presStyleCnt="0"/>
      <dgm:spPr/>
    </dgm:pt>
    <dgm:pt modelId="{BCCDDD9A-462C-4E74-AC6D-31EDF3D244B6}" type="pres">
      <dgm:prSet presAssocID="{122AA48A-AC37-4AC5-9E4A-3F7F00F09A7C}" presName="rootText3" presStyleLbl="asst2" presStyleIdx="3" presStyleCnt="5">
        <dgm:presLayoutVars>
          <dgm:chPref val="3"/>
        </dgm:presLayoutVars>
      </dgm:prSet>
      <dgm:spPr/>
      <dgm:t>
        <a:bodyPr/>
        <a:lstStyle/>
        <a:p>
          <a:endParaRPr lang="en-US"/>
        </a:p>
      </dgm:t>
    </dgm:pt>
    <dgm:pt modelId="{3FE5BB7C-7076-4BDA-BB6A-9F8CCFA9D229}" type="pres">
      <dgm:prSet presAssocID="{122AA48A-AC37-4AC5-9E4A-3F7F00F09A7C}" presName="rootConnector3" presStyleLbl="asst2" presStyleIdx="3" presStyleCnt="5"/>
      <dgm:spPr/>
      <dgm:t>
        <a:bodyPr/>
        <a:lstStyle/>
        <a:p>
          <a:endParaRPr lang="en-US"/>
        </a:p>
      </dgm:t>
    </dgm:pt>
    <dgm:pt modelId="{11161D0A-B09D-4AD1-B9F0-80E28FB39FE9}" type="pres">
      <dgm:prSet presAssocID="{122AA48A-AC37-4AC5-9E4A-3F7F00F09A7C}" presName="hierChild6" presStyleCnt="0"/>
      <dgm:spPr/>
    </dgm:pt>
    <dgm:pt modelId="{3621DBFE-8DBC-4FE7-9A2E-37175F1F07EE}" type="pres">
      <dgm:prSet presAssocID="{122AA48A-AC37-4AC5-9E4A-3F7F00F09A7C}" presName="hierChild7" presStyleCnt="0"/>
      <dgm:spPr/>
    </dgm:pt>
    <dgm:pt modelId="{232D8CFC-CD98-4510-82E0-0B09022A21E5}" type="pres">
      <dgm:prSet presAssocID="{989CA24B-0C62-43FB-ACD2-12A022334100}" presName="Name37" presStyleLbl="parChTrans1D2" presStyleIdx="1" presStyleCnt="2"/>
      <dgm:spPr/>
      <dgm:t>
        <a:bodyPr/>
        <a:lstStyle/>
        <a:p>
          <a:endParaRPr lang="en-US"/>
        </a:p>
      </dgm:t>
    </dgm:pt>
    <dgm:pt modelId="{F7952AB5-2660-4ECD-8047-D1FD6074DFBA}" type="pres">
      <dgm:prSet presAssocID="{D0F1F58E-05AA-47B3-BF45-7BAF763F303F}" presName="hierRoot2" presStyleCnt="0">
        <dgm:presLayoutVars>
          <dgm:hierBranch val="init"/>
        </dgm:presLayoutVars>
      </dgm:prSet>
      <dgm:spPr/>
    </dgm:pt>
    <dgm:pt modelId="{BDC67C30-CCDB-460E-A92A-B61CDB2EA0DA}" type="pres">
      <dgm:prSet presAssocID="{D0F1F58E-05AA-47B3-BF45-7BAF763F303F}" presName="rootComposite" presStyleCnt="0"/>
      <dgm:spPr/>
    </dgm:pt>
    <dgm:pt modelId="{C932898F-9BE1-4846-B937-9A02F221DDA3}" type="pres">
      <dgm:prSet presAssocID="{D0F1F58E-05AA-47B3-BF45-7BAF763F303F}" presName="rootText" presStyleLbl="node2" presStyleIdx="1" presStyleCnt="2" custScaleX="123514">
        <dgm:presLayoutVars>
          <dgm:chPref val="3"/>
        </dgm:presLayoutVars>
      </dgm:prSet>
      <dgm:spPr/>
      <dgm:t>
        <a:bodyPr/>
        <a:lstStyle/>
        <a:p>
          <a:endParaRPr lang="en-US"/>
        </a:p>
      </dgm:t>
    </dgm:pt>
    <dgm:pt modelId="{87713172-176E-4172-9BB9-3EA47C0D9D6A}" type="pres">
      <dgm:prSet presAssocID="{D0F1F58E-05AA-47B3-BF45-7BAF763F303F}" presName="rootConnector" presStyleLbl="node2" presStyleIdx="1" presStyleCnt="2"/>
      <dgm:spPr/>
      <dgm:t>
        <a:bodyPr/>
        <a:lstStyle/>
        <a:p>
          <a:endParaRPr lang="en-US"/>
        </a:p>
      </dgm:t>
    </dgm:pt>
    <dgm:pt modelId="{817EABF9-BD71-4A43-855F-DF7673DB1B39}" type="pres">
      <dgm:prSet presAssocID="{D0F1F58E-05AA-47B3-BF45-7BAF763F303F}" presName="hierChild4" presStyleCnt="0"/>
      <dgm:spPr/>
    </dgm:pt>
    <dgm:pt modelId="{75FDF9A0-D70F-4C0B-8FA1-3C4EA2072894}" type="pres">
      <dgm:prSet presAssocID="{D0F1F58E-05AA-47B3-BF45-7BAF763F303F}" presName="hierChild5" presStyleCnt="0"/>
      <dgm:spPr/>
    </dgm:pt>
    <dgm:pt modelId="{182AE238-4800-4911-A1F7-BE0A00FB9B17}" type="pres">
      <dgm:prSet presAssocID="{16463789-B655-4983-ABD2-A7D77B66FF73}" presName="Name111" presStyleLbl="parChTrans1D3" presStyleIdx="2" presStyleCnt="3"/>
      <dgm:spPr/>
      <dgm:t>
        <a:bodyPr/>
        <a:lstStyle/>
        <a:p>
          <a:endParaRPr lang="en-US"/>
        </a:p>
      </dgm:t>
    </dgm:pt>
    <dgm:pt modelId="{BB51A1C2-7485-4F14-A69C-BC55E81DD77E}" type="pres">
      <dgm:prSet presAssocID="{1830CD11-149A-492B-B649-12B759E2A256}" presName="hierRoot3" presStyleCnt="0">
        <dgm:presLayoutVars>
          <dgm:hierBranch val="init"/>
        </dgm:presLayoutVars>
      </dgm:prSet>
      <dgm:spPr/>
    </dgm:pt>
    <dgm:pt modelId="{BE7FA97D-55F2-4C26-880E-2000FD176281}" type="pres">
      <dgm:prSet presAssocID="{1830CD11-149A-492B-B649-12B759E2A256}" presName="rootComposite3" presStyleCnt="0"/>
      <dgm:spPr/>
    </dgm:pt>
    <dgm:pt modelId="{4FF8B1C7-A4B3-4E55-AF44-68BDDC35335F}" type="pres">
      <dgm:prSet presAssocID="{1830CD11-149A-492B-B649-12B759E2A256}" presName="rootText3" presStyleLbl="asst2" presStyleIdx="4" presStyleCnt="5" custAng="0" custScaleX="70283" custScaleY="165508">
        <dgm:presLayoutVars>
          <dgm:chPref val="3"/>
        </dgm:presLayoutVars>
      </dgm:prSet>
      <dgm:spPr/>
      <dgm:t>
        <a:bodyPr/>
        <a:lstStyle/>
        <a:p>
          <a:endParaRPr lang="en-US"/>
        </a:p>
      </dgm:t>
    </dgm:pt>
    <dgm:pt modelId="{2B8DDB5D-5B66-49EC-A184-4276B572E9A0}" type="pres">
      <dgm:prSet presAssocID="{1830CD11-149A-492B-B649-12B759E2A256}" presName="rootConnector3" presStyleLbl="asst2" presStyleIdx="4" presStyleCnt="5"/>
      <dgm:spPr/>
      <dgm:t>
        <a:bodyPr/>
        <a:lstStyle/>
        <a:p>
          <a:endParaRPr lang="en-US"/>
        </a:p>
      </dgm:t>
    </dgm:pt>
    <dgm:pt modelId="{2C0205EA-180A-4AB0-B818-2B1EACD332AB}" type="pres">
      <dgm:prSet presAssocID="{1830CD11-149A-492B-B649-12B759E2A256}" presName="hierChild6" presStyleCnt="0"/>
      <dgm:spPr/>
    </dgm:pt>
    <dgm:pt modelId="{9867B3EC-8543-4090-A3E9-411C80AEE147}" type="pres">
      <dgm:prSet presAssocID="{1830CD11-149A-492B-B649-12B759E2A256}" presName="hierChild7" presStyleCnt="0"/>
      <dgm:spPr/>
    </dgm:pt>
    <dgm:pt modelId="{14A316A3-E5BE-4916-83D7-7FCE90A0195F}" type="pres">
      <dgm:prSet presAssocID="{686F95C1-9724-4463-B203-31BA04CA2A81}" presName="hierChild3" presStyleCnt="0"/>
      <dgm:spPr/>
    </dgm:pt>
  </dgm:ptLst>
  <dgm:cxnLst>
    <dgm:cxn modelId="{23E6E516-DE06-45A0-91AE-8C5892BBD555}" type="presOf" srcId="{46702777-439B-454C-ACBE-B523E64F03BF}" destId="{5AF839A8-2956-4ADE-A030-F7EA6B38CF8D}" srcOrd="0" destOrd="0" presId="urn:microsoft.com/office/officeart/2005/8/layout/orgChart1"/>
    <dgm:cxn modelId="{C2CBD9B3-5447-41E0-AD2C-D6CA3E7002D3}" type="presOf" srcId="{C734E1E0-AEA8-4543-B283-ED14AB7B0FDC}" destId="{1368EBF4-A815-419B-8AF2-102814A83A05}" srcOrd="0" destOrd="0" presId="urn:microsoft.com/office/officeart/2005/8/layout/orgChart1"/>
    <dgm:cxn modelId="{DE64FEB5-0F75-414E-9726-6039120A9EAA}" srcId="{686F95C1-9724-4463-B203-31BA04CA2A81}" destId="{D0F1F58E-05AA-47B3-BF45-7BAF763F303F}" srcOrd="1" destOrd="0" parTransId="{989CA24B-0C62-43FB-ACD2-12A022334100}" sibTransId="{4C807CFC-5E07-47F7-9D5D-F1DA7F86C050}"/>
    <dgm:cxn modelId="{A6481209-9F97-4211-A3A6-3DADBBC68A28}" srcId="{8EE7315E-8B85-4FC5-946A-BDFD81F1E3A6}" destId="{686F95C1-9724-4463-B203-31BA04CA2A81}" srcOrd="0" destOrd="0" parTransId="{D14DD2C3-063C-4CE0-A5AD-BE7E45ACBD32}" sibTransId="{1261E914-6D88-4094-93CB-68DB4131F8B4}"/>
    <dgm:cxn modelId="{E6B66686-E1FA-4308-8157-78A65CE261D8}" srcId="{D72DB519-C765-4984-A1B2-1DB4C8FCF079}" destId="{04247D5D-04E4-4DBF-A125-D90240C964DA}" srcOrd="0" destOrd="0" parTransId="{39551FC3-7273-46AA-91D9-C81D2CFD1732}" sibTransId="{D733331E-E788-4FB5-95D3-1194BD549506}"/>
    <dgm:cxn modelId="{882C85A2-722B-49C3-92D6-8A8E7B02EC84}" srcId="{3E738E1A-96BB-438B-8A57-8B6A5A4E20F5}" destId="{122AA48A-AC37-4AC5-9E4A-3F7F00F09A7C}" srcOrd="0" destOrd="0" parTransId="{6150B695-F923-48E2-B78C-905D7EAFDC2E}" sibTransId="{18CAC43D-F877-4739-9046-A279D6D8934D}"/>
    <dgm:cxn modelId="{38DE2151-19FE-41CA-B6C1-734C96D923E6}" type="presOf" srcId="{16463789-B655-4983-ABD2-A7D77B66FF73}" destId="{182AE238-4800-4911-A1F7-BE0A00FB9B17}" srcOrd="0" destOrd="0" presId="urn:microsoft.com/office/officeart/2005/8/layout/orgChart1"/>
    <dgm:cxn modelId="{104F7778-4870-4325-B6C7-F5D97F1E2A87}" type="presOf" srcId="{1830CD11-149A-492B-B649-12B759E2A256}" destId="{2B8DDB5D-5B66-49EC-A184-4276B572E9A0}" srcOrd="1" destOrd="0" presId="urn:microsoft.com/office/officeart/2005/8/layout/orgChart1"/>
    <dgm:cxn modelId="{346457F8-63FC-405B-B464-323A1995884C}" type="presOf" srcId="{04247D5D-04E4-4DBF-A125-D90240C964DA}" destId="{7476DF00-8F59-45B9-956F-47E03D9F0535}" srcOrd="1" destOrd="0" presId="urn:microsoft.com/office/officeart/2005/8/layout/orgChart1"/>
    <dgm:cxn modelId="{8DC26DEC-F360-415B-B999-890E8C87C2B3}" type="presOf" srcId="{D72DB519-C765-4984-A1B2-1DB4C8FCF079}" destId="{51AE8197-8367-4331-8079-2EFB15D10572}" srcOrd="1" destOrd="0" presId="urn:microsoft.com/office/officeart/2005/8/layout/orgChart1"/>
    <dgm:cxn modelId="{A1C9D090-EC8D-48E8-B4EC-EE97967EB19A}" type="presOf" srcId="{3E738E1A-96BB-438B-8A57-8B6A5A4E20F5}" destId="{42CE47C3-48B5-4325-B14F-B79CDC6EB708}" srcOrd="1" destOrd="0" presId="urn:microsoft.com/office/officeart/2005/8/layout/orgChart1"/>
    <dgm:cxn modelId="{1FC1F67C-C9A4-43ED-A636-1A3D3A8FA1A4}" type="presOf" srcId="{F736175A-1586-4403-B9C1-FF166B10518B}" destId="{4E48A1A8-A20B-47F5-8963-3DBFFDA42EE8}" srcOrd="0" destOrd="0" presId="urn:microsoft.com/office/officeart/2005/8/layout/orgChart1"/>
    <dgm:cxn modelId="{BD0CAA4D-C088-4711-8C8A-3DA711004F8F}" type="presOf" srcId="{04247D5D-04E4-4DBF-A125-D90240C964DA}" destId="{1C11FA1C-F2ED-4307-8986-75695E587B89}" srcOrd="0" destOrd="0" presId="urn:microsoft.com/office/officeart/2005/8/layout/orgChart1"/>
    <dgm:cxn modelId="{05218C7A-4102-4185-B321-64F076667E4C}" type="presOf" srcId="{122AA48A-AC37-4AC5-9E4A-3F7F00F09A7C}" destId="{BCCDDD9A-462C-4E74-AC6D-31EDF3D244B6}" srcOrd="0" destOrd="0" presId="urn:microsoft.com/office/officeart/2005/8/layout/orgChart1"/>
    <dgm:cxn modelId="{E2A588E1-16BA-452B-B2AF-60CDB1E1A479}" type="presOf" srcId="{686F95C1-9724-4463-B203-31BA04CA2A81}" destId="{FF236944-8420-4D4A-8F71-E7BD22606D53}" srcOrd="1" destOrd="0" presId="urn:microsoft.com/office/officeart/2005/8/layout/orgChart1"/>
    <dgm:cxn modelId="{EC57549C-82C8-4759-81B5-69B5C43E1344}" type="presOf" srcId="{6150B695-F923-48E2-B78C-905D7EAFDC2E}" destId="{199816DC-54D9-45A9-9EC7-FC77622BE1E6}" srcOrd="0" destOrd="0" presId="urn:microsoft.com/office/officeart/2005/8/layout/orgChart1"/>
    <dgm:cxn modelId="{1271B800-2EB3-4616-A208-023D852D8DFD}" type="presOf" srcId="{989CA24B-0C62-43FB-ACD2-12A022334100}" destId="{232D8CFC-CD98-4510-82E0-0B09022A21E5}" srcOrd="0" destOrd="0" presId="urn:microsoft.com/office/officeart/2005/8/layout/orgChart1"/>
    <dgm:cxn modelId="{6190B430-ADA1-43D4-BC27-52B036ACC0DA}" type="presOf" srcId="{686F95C1-9724-4463-B203-31BA04CA2A81}" destId="{4A3DBC7F-6D3C-4B2D-8BAE-37FC02F51338}" srcOrd="0" destOrd="0" presId="urn:microsoft.com/office/officeart/2005/8/layout/orgChart1"/>
    <dgm:cxn modelId="{23FC3975-CCAD-4A8C-8A18-2D569DF225B3}" type="presOf" srcId="{D0F1F58E-05AA-47B3-BF45-7BAF763F303F}" destId="{87713172-176E-4172-9BB9-3EA47C0D9D6A}" srcOrd="1" destOrd="0" presId="urn:microsoft.com/office/officeart/2005/8/layout/orgChart1"/>
    <dgm:cxn modelId="{34835D82-4576-400E-9923-073F17101812}" srcId="{F736175A-1586-4403-B9C1-FF166B10518B}" destId="{D72DB519-C765-4984-A1B2-1DB4C8FCF079}" srcOrd="0" destOrd="0" parTransId="{8078E393-CCD0-4186-8651-446E7226B726}" sibTransId="{4702A583-D2B3-45C4-B55D-1207E3859DC2}"/>
    <dgm:cxn modelId="{FF981F29-3149-45C7-A47E-24F4CAF9FA37}" type="presOf" srcId="{F736175A-1586-4403-B9C1-FF166B10518B}" destId="{563637EA-3F74-4FF1-95C9-11D05A790296}" srcOrd="1" destOrd="0" presId="urn:microsoft.com/office/officeart/2005/8/layout/orgChart1"/>
    <dgm:cxn modelId="{B3F239BB-6126-40FE-B6DF-58A2E39706AA}" type="presOf" srcId="{8078E393-CCD0-4186-8651-446E7226B726}" destId="{0112007E-9BB9-4147-A878-8AA960220F32}" srcOrd="0" destOrd="0" presId="urn:microsoft.com/office/officeart/2005/8/layout/orgChart1"/>
    <dgm:cxn modelId="{A5341EDA-3519-41FD-8B29-4849D10E6D1E}" type="presOf" srcId="{8EE7315E-8B85-4FC5-946A-BDFD81F1E3A6}" destId="{7A19E9FE-2A63-4BC8-814C-8754F74EBB92}" srcOrd="0" destOrd="0" presId="urn:microsoft.com/office/officeart/2005/8/layout/orgChart1"/>
    <dgm:cxn modelId="{1F286C4D-5666-42E1-9251-5FC7BEAE3093}" type="presOf" srcId="{D72DB519-C765-4984-A1B2-1DB4C8FCF079}" destId="{634E32ED-0EF9-45E7-942C-E3EAE4097100}" srcOrd="0" destOrd="0" presId="urn:microsoft.com/office/officeart/2005/8/layout/orgChart1"/>
    <dgm:cxn modelId="{D5C8D770-7A74-4415-A3BC-0B4976407068}" type="presOf" srcId="{39551FC3-7273-46AA-91D9-C81D2CFD1732}" destId="{B059128B-83C9-451D-A1CE-EB3E2D7FA006}" srcOrd="0" destOrd="0" presId="urn:microsoft.com/office/officeart/2005/8/layout/orgChart1"/>
    <dgm:cxn modelId="{2ADAD6CD-DD1E-4657-9B6E-8A3A836B8A33}" srcId="{D0F1F58E-05AA-47B3-BF45-7BAF763F303F}" destId="{1830CD11-149A-492B-B649-12B759E2A256}" srcOrd="0" destOrd="0" parTransId="{16463789-B655-4983-ABD2-A7D77B66FF73}" sibTransId="{E83F217E-D3CB-4081-9257-62BCC16B2453}"/>
    <dgm:cxn modelId="{C8EC3C4F-C59C-4317-BCAB-48A1B8B149CF}" srcId="{686F95C1-9724-4463-B203-31BA04CA2A81}" destId="{F736175A-1586-4403-B9C1-FF166B10518B}" srcOrd="0" destOrd="0" parTransId="{46702777-439B-454C-ACBE-B523E64F03BF}" sibTransId="{875B23CD-6389-4070-80B5-E8D6EC169CBC}"/>
    <dgm:cxn modelId="{85D88FDE-FAA7-45D2-A53B-EDD183E6F012}" type="presOf" srcId="{122AA48A-AC37-4AC5-9E4A-3F7F00F09A7C}" destId="{3FE5BB7C-7076-4BDA-BB6A-9F8CCFA9D229}" srcOrd="1" destOrd="0" presId="urn:microsoft.com/office/officeart/2005/8/layout/orgChart1"/>
    <dgm:cxn modelId="{833788D9-5DEF-4CC1-BB98-E77EB1A139F9}" type="presOf" srcId="{3E738E1A-96BB-438B-8A57-8B6A5A4E20F5}" destId="{5030B71E-67A7-40F0-8CA6-2163D6228456}" srcOrd="0" destOrd="0" presId="urn:microsoft.com/office/officeart/2005/8/layout/orgChart1"/>
    <dgm:cxn modelId="{6E66E160-BED9-424A-B025-EB678E9884BC}" srcId="{F736175A-1586-4403-B9C1-FF166B10518B}" destId="{3E738E1A-96BB-438B-8A57-8B6A5A4E20F5}" srcOrd="1" destOrd="0" parTransId="{C734E1E0-AEA8-4543-B283-ED14AB7B0FDC}" sibTransId="{8DE9FBC3-F1AB-4731-B00F-F2E1DF388A60}"/>
    <dgm:cxn modelId="{B230731B-F8CF-4827-9893-9EB9E475F792}" type="presOf" srcId="{D0F1F58E-05AA-47B3-BF45-7BAF763F303F}" destId="{C932898F-9BE1-4846-B937-9A02F221DDA3}" srcOrd="0" destOrd="0" presId="urn:microsoft.com/office/officeart/2005/8/layout/orgChart1"/>
    <dgm:cxn modelId="{0AE82AB1-B102-448C-B849-6BDC40AB75F5}" type="presOf" srcId="{1830CD11-149A-492B-B649-12B759E2A256}" destId="{4FF8B1C7-A4B3-4E55-AF44-68BDDC35335F}" srcOrd="0" destOrd="0" presId="urn:microsoft.com/office/officeart/2005/8/layout/orgChart1"/>
    <dgm:cxn modelId="{ED297AAB-3AF9-4011-ABB1-CC08AE4B30E6}" type="presParOf" srcId="{7A19E9FE-2A63-4BC8-814C-8754F74EBB92}" destId="{4EDEE202-57F9-483E-AD32-EE8BB3AB0411}" srcOrd="0" destOrd="0" presId="urn:microsoft.com/office/officeart/2005/8/layout/orgChart1"/>
    <dgm:cxn modelId="{4D9CCB0A-F0DD-4ACA-9ED1-04AB132C0E40}" type="presParOf" srcId="{4EDEE202-57F9-483E-AD32-EE8BB3AB0411}" destId="{7C13932D-B71A-42B5-8E43-6460EE2BD5E5}" srcOrd="0" destOrd="0" presId="urn:microsoft.com/office/officeart/2005/8/layout/orgChart1"/>
    <dgm:cxn modelId="{A0C4592A-013F-43A8-9F00-DA706D9B0193}" type="presParOf" srcId="{7C13932D-B71A-42B5-8E43-6460EE2BD5E5}" destId="{4A3DBC7F-6D3C-4B2D-8BAE-37FC02F51338}" srcOrd="0" destOrd="0" presId="urn:microsoft.com/office/officeart/2005/8/layout/orgChart1"/>
    <dgm:cxn modelId="{741182B9-A19B-4E98-8DEE-0787FA2CBB47}" type="presParOf" srcId="{7C13932D-B71A-42B5-8E43-6460EE2BD5E5}" destId="{FF236944-8420-4D4A-8F71-E7BD22606D53}" srcOrd="1" destOrd="0" presId="urn:microsoft.com/office/officeart/2005/8/layout/orgChart1"/>
    <dgm:cxn modelId="{F7647C6D-9715-4B26-A127-E669BCA814EA}" type="presParOf" srcId="{4EDEE202-57F9-483E-AD32-EE8BB3AB0411}" destId="{25654BF8-3D56-4D2C-B974-0904D37D64D2}" srcOrd="1" destOrd="0" presId="urn:microsoft.com/office/officeart/2005/8/layout/orgChart1"/>
    <dgm:cxn modelId="{3C83AC02-E28E-4B99-B51F-FD66897052FA}" type="presParOf" srcId="{25654BF8-3D56-4D2C-B974-0904D37D64D2}" destId="{5AF839A8-2956-4ADE-A030-F7EA6B38CF8D}" srcOrd="0" destOrd="0" presId="urn:microsoft.com/office/officeart/2005/8/layout/orgChart1"/>
    <dgm:cxn modelId="{D8308FBE-9BEC-43F0-A186-1BAF751A358C}" type="presParOf" srcId="{25654BF8-3D56-4D2C-B974-0904D37D64D2}" destId="{8B04209E-BEFC-49B2-B8A2-4E78B7A2C57D}" srcOrd="1" destOrd="0" presId="urn:microsoft.com/office/officeart/2005/8/layout/orgChart1"/>
    <dgm:cxn modelId="{54187B44-BD5E-49C2-B892-DD1F399D362B}" type="presParOf" srcId="{8B04209E-BEFC-49B2-B8A2-4E78B7A2C57D}" destId="{04349D75-582F-4DA1-ADD7-F5D73CAB70BB}" srcOrd="0" destOrd="0" presId="urn:microsoft.com/office/officeart/2005/8/layout/orgChart1"/>
    <dgm:cxn modelId="{9AD08797-70D3-4672-8896-032030FB7082}" type="presParOf" srcId="{04349D75-582F-4DA1-ADD7-F5D73CAB70BB}" destId="{4E48A1A8-A20B-47F5-8963-3DBFFDA42EE8}" srcOrd="0" destOrd="0" presId="urn:microsoft.com/office/officeart/2005/8/layout/orgChart1"/>
    <dgm:cxn modelId="{13B01AD6-F4F9-4355-B2F8-CA954D6569E2}" type="presParOf" srcId="{04349D75-582F-4DA1-ADD7-F5D73CAB70BB}" destId="{563637EA-3F74-4FF1-95C9-11D05A790296}" srcOrd="1" destOrd="0" presId="urn:microsoft.com/office/officeart/2005/8/layout/orgChart1"/>
    <dgm:cxn modelId="{5B40D56D-265B-4117-AACC-01B1A496C5D2}" type="presParOf" srcId="{8B04209E-BEFC-49B2-B8A2-4E78B7A2C57D}" destId="{5F685B7B-1A95-42F9-AE25-598822F1C542}" srcOrd="1" destOrd="0" presId="urn:microsoft.com/office/officeart/2005/8/layout/orgChart1"/>
    <dgm:cxn modelId="{1FF0DC56-5BC7-4B92-98C0-563225C78D44}" type="presParOf" srcId="{8B04209E-BEFC-49B2-B8A2-4E78B7A2C57D}" destId="{68F25522-69F8-4677-842A-D4EA281D717D}" srcOrd="2" destOrd="0" presId="urn:microsoft.com/office/officeart/2005/8/layout/orgChart1"/>
    <dgm:cxn modelId="{E44BC3B0-0097-48E7-B03D-389F3C69CBDB}" type="presParOf" srcId="{68F25522-69F8-4677-842A-D4EA281D717D}" destId="{0112007E-9BB9-4147-A878-8AA960220F32}" srcOrd="0" destOrd="0" presId="urn:microsoft.com/office/officeart/2005/8/layout/orgChart1"/>
    <dgm:cxn modelId="{91E6CE9F-EC7E-4E64-96B8-36C355B5E9EF}" type="presParOf" srcId="{68F25522-69F8-4677-842A-D4EA281D717D}" destId="{874B0691-138D-41FA-95D2-FE2A519D56D9}" srcOrd="1" destOrd="0" presId="urn:microsoft.com/office/officeart/2005/8/layout/orgChart1"/>
    <dgm:cxn modelId="{BFAD386F-4F43-4180-A131-DE1CA430B5D2}" type="presParOf" srcId="{874B0691-138D-41FA-95D2-FE2A519D56D9}" destId="{27702A6D-8B26-4405-A1CE-180A437A5003}" srcOrd="0" destOrd="0" presId="urn:microsoft.com/office/officeart/2005/8/layout/orgChart1"/>
    <dgm:cxn modelId="{07DC7B20-BF28-4A90-AE05-DAACEF498002}" type="presParOf" srcId="{27702A6D-8B26-4405-A1CE-180A437A5003}" destId="{634E32ED-0EF9-45E7-942C-E3EAE4097100}" srcOrd="0" destOrd="0" presId="urn:microsoft.com/office/officeart/2005/8/layout/orgChart1"/>
    <dgm:cxn modelId="{A20C985B-7606-4863-92DB-CBC29062E5DE}" type="presParOf" srcId="{27702A6D-8B26-4405-A1CE-180A437A5003}" destId="{51AE8197-8367-4331-8079-2EFB15D10572}" srcOrd="1" destOrd="0" presId="urn:microsoft.com/office/officeart/2005/8/layout/orgChart1"/>
    <dgm:cxn modelId="{5D2EC8B4-30C9-4AD7-B757-DBC308A4D90C}" type="presParOf" srcId="{874B0691-138D-41FA-95D2-FE2A519D56D9}" destId="{957D3876-243B-4AC0-B5A7-62DA07AB9464}" srcOrd="1" destOrd="0" presId="urn:microsoft.com/office/officeart/2005/8/layout/orgChart1"/>
    <dgm:cxn modelId="{457A48BD-6ADF-4058-9625-DC825F2E331E}" type="presParOf" srcId="{874B0691-138D-41FA-95D2-FE2A519D56D9}" destId="{2DCB026C-4604-4A2F-8B4E-67F0870E1ED9}" srcOrd="2" destOrd="0" presId="urn:microsoft.com/office/officeart/2005/8/layout/orgChart1"/>
    <dgm:cxn modelId="{FDC91CE2-53E3-4F34-A5B2-6727DDADA06B}" type="presParOf" srcId="{2DCB026C-4604-4A2F-8B4E-67F0870E1ED9}" destId="{B059128B-83C9-451D-A1CE-EB3E2D7FA006}" srcOrd="0" destOrd="0" presId="urn:microsoft.com/office/officeart/2005/8/layout/orgChart1"/>
    <dgm:cxn modelId="{DEC55068-2E75-480B-BF38-5CC9C1583EE8}" type="presParOf" srcId="{2DCB026C-4604-4A2F-8B4E-67F0870E1ED9}" destId="{411788BE-1879-4FA4-87E1-AEF34F30315B}" srcOrd="1" destOrd="0" presId="urn:microsoft.com/office/officeart/2005/8/layout/orgChart1"/>
    <dgm:cxn modelId="{B02FF739-FDFE-4A93-8575-C3B296CB05E9}" type="presParOf" srcId="{411788BE-1879-4FA4-87E1-AEF34F30315B}" destId="{69BD40A8-DBF9-4C30-AEB5-97468A0F8C12}" srcOrd="0" destOrd="0" presId="urn:microsoft.com/office/officeart/2005/8/layout/orgChart1"/>
    <dgm:cxn modelId="{AE1FB66F-8E1A-4653-8F77-C528B9F91737}" type="presParOf" srcId="{69BD40A8-DBF9-4C30-AEB5-97468A0F8C12}" destId="{1C11FA1C-F2ED-4307-8986-75695E587B89}" srcOrd="0" destOrd="0" presId="urn:microsoft.com/office/officeart/2005/8/layout/orgChart1"/>
    <dgm:cxn modelId="{3049C6BA-DFF0-44E3-AD6C-B3661C3A10F7}" type="presParOf" srcId="{69BD40A8-DBF9-4C30-AEB5-97468A0F8C12}" destId="{7476DF00-8F59-45B9-956F-47E03D9F0535}" srcOrd="1" destOrd="0" presId="urn:microsoft.com/office/officeart/2005/8/layout/orgChart1"/>
    <dgm:cxn modelId="{6D1D44D6-AE60-494C-AA1A-4E3132C9D7AB}" type="presParOf" srcId="{411788BE-1879-4FA4-87E1-AEF34F30315B}" destId="{24862B22-9C61-491E-90BA-437E8091E51A}" srcOrd="1" destOrd="0" presId="urn:microsoft.com/office/officeart/2005/8/layout/orgChart1"/>
    <dgm:cxn modelId="{8273512C-2459-49AA-81D2-134EC6C7801B}" type="presParOf" srcId="{411788BE-1879-4FA4-87E1-AEF34F30315B}" destId="{FEEA5191-808F-43E3-9FC3-03CE01F88DF8}" srcOrd="2" destOrd="0" presId="urn:microsoft.com/office/officeart/2005/8/layout/orgChart1"/>
    <dgm:cxn modelId="{338D8873-41D7-47C6-9CDE-DD67354BFF9D}" type="presParOf" srcId="{68F25522-69F8-4677-842A-D4EA281D717D}" destId="{1368EBF4-A815-419B-8AF2-102814A83A05}" srcOrd="2" destOrd="0" presId="urn:microsoft.com/office/officeart/2005/8/layout/orgChart1"/>
    <dgm:cxn modelId="{6F1C65DC-1CAC-4277-AC36-095B7EB75CFC}" type="presParOf" srcId="{68F25522-69F8-4677-842A-D4EA281D717D}" destId="{7D260B28-1811-4D22-9875-F968722AF8EF}" srcOrd="3" destOrd="0" presId="urn:microsoft.com/office/officeart/2005/8/layout/orgChart1"/>
    <dgm:cxn modelId="{40F77261-8172-4AC8-9024-EB50C12AD37F}" type="presParOf" srcId="{7D260B28-1811-4D22-9875-F968722AF8EF}" destId="{2D90EEC1-8F82-4259-A27E-36AFB6A51334}" srcOrd="0" destOrd="0" presId="urn:microsoft.com/office/officeart/2005/8/layout/orgChart1"/>
    <dgm:cxn modelId="{17D2FA26-1594-4611-AB5A-CDB0EDFD30A5}" type="presParOf" srcId="{2D90EEC1-8F82-4259-A27E-36AFB6A51334}" destId="{5030B71E-67A7-40F0-8CA6-2163D6228456}" srcOrd="0" destOrd="0" presId="urn:microsoft.com/office/officeart/2005/8/layout/orgChart1"/>
    <dgm:cxn modelId="{32DBD7F3-6F71-41BD-8505-3D77EAC96B4F}" type="presParOf" srcId="{2D90EEC1-8F82-4259-A27E-36AFB6A51334}" destId="{42CE47C3-48B5-4325-B14F-B79CDC6EB708}" srcOrd="1" destOrd="0" presId="urn:microsoft.com/office/officeart/2005/8/layout/orgChart1"/>
    <dgm:cxn modelId="{4A27055D-89F5-43B7-8958-AB6A9B6C698E}" type="presParOf" srcId="{7D260B28-1811-4D22-9875-F968722AF8EF}" destId="{4F3F0B77-B802-482E-9261-48D57F64AC3E}" srcOrd="1" destOrd="0" presId="urn:microsoft.com/office/officeart/2005/8/layout/orgChart1"/>
    <dgm:cxn modelId="{A9816101-BB53-4530-8C5D-C3C0E40D8821}" type="presParOf" srcId="{7D260B28-1811-4D22-9875-F968722AF8EF}" destId="{8355398F-3EDB-4118-B3DB-068410DD9DFA}" srcOrd="2" destOrd="0" presId="urn:microsoft.com/office/officeart/2005/8/layout/orgChart1"/>
    <dgm:cxn modelId="{48FCDCE3-5310-4926-9EF0-48FE6A7D96FF}" type="presParOf" srcId="{8355398F-3EDB-4118-B3DB-068410DD9DFA}" destId="{199816DC-54D9-45A9-9EC7-FC77622BE1E6}" srcOrd="0" destOrd="0" presId="urn:microsoft.com/office/officeart/2005/8/layout/orgChart1"/>
    <dgm:cxn modelId="{680CF2BE-EB3F-4F60-BF25-4E9B37FE1AB9}" type="presParOf" srcId="{8355398F-3EDB-4118-B3DB-068410DD9DFA}" destId="{ECF39390-FD1E-4330-B2ED-2A23A9AEF684}" srcOrd="1" destOrd="0" presId="urn:microsoft.com/office/officeart/2005/8/layout/orgChart1"/>
    <dgm:cxn modelId="{D3DBFAC4-42DC-4060-ADBD-6B40D490AF70}" type="presParOf" srcId="{ECF39390-FD1E-4330-B2ED-2A23A9AEF684}" destId="{44658452-2F3E-4967-B677-9EA6A7D697F2}" srcOrd="0" destOrd="0" presId="urn:microsoft.com/office/officeart/2005/8/layout/orgChart1"/>
    <dgm:cxn modelId="{DB2B4A68-17C6-4427-89C4-B96A98BE3AAE}" type="presParOf" srcId="{44658452-2F3E-4967-B677-9EA6A7D697F2}" destId="{BCCDDD9A-462C-4E74-AC6D-31EDF3D244B6}" srcOrd="0" destOrd="0" presId="urn:microsoft.com/office/officeart/2005/8/layout/orgChart1"/>
    <dgm:cxn modelId="{DE0D314E-7E88-4BC2-80BA-A4CB193ED4F9}" type="presParOf" srcId="{44658452-2F3E-4967-B677-9EA6A7D697F2}" destId="{3FE5BB7C-7076-4BDA-BB6A-9F8CCFA9D229}" srcOrd="1" destOrd="0" presId="urn:microsoft.com/office/officeart/2005/8/layout/orgChart1"/>
    <dgm:cxn modelId="{F2E69A35-A2CB-4846-92D2-70208A460AB3}" type="presParOf" srcId="{ECF39390-FD1E-4330-B2ED-2A23A9AEF684}" destId="{11161D0A-B09D-4AD1-B9F0-80E28FB39FE9}" srcOrd="1" destOrd="0" presId="urn:microsoft.com/office/officeart/2005/8/layout/orgChart1"/>
    <dgm:cxn modelId="{74B8E040-01C3-4BCE-9938-4A571B5A41E8}" type="presParOf" srcId="{ECF39390-FD1E-4330-B2ED-2A23A9AEF684}" destId="{3621DBFE-8DBC-4FE7-9A2E-37175F1F07EE}" srcOrd="2" destOrd="0" presId="urn:microsoft.com/office/officeart/2005/8/layout/orgChart1"/>
    <dgm:cxn modelId="{4F46E046-B704-45CC-B949-55D13BE0AE23}" type="presParOf" srcId="{25654BF8-3D56-4D2C-B974-0904D37D64D2}" destId="{232D8CFC-CD98-4510-82E0-0B09022A21E5}" srcOrd="2" destOrd="0" presId="urn:microsoft.com/office/officeart/2005/8/layout/orgChart1"/>
    <dgm:cxn modelId="{39416139-B3FC-4B46-879B-16E694E06DA0}" type="presParOf" srcId="{25654BF8-3D56-4D2C-B974-0904D37D64D2}" destId="{F7952AB5-2660-4ECD-8047-D1FD6074DFBA}" srcOrd="3" destOrd="0" presId="urn:microsoft.com/office/officeart/2005/8/layout/orgChart1"/>
    <dgm:cxn modelId="{892E0E18-9F55-4839-8DDE-1577DC7B9483}" type="presParOf" srcId="{F7952AB5-2660-4ECD-8047-D1FD6074DFBA}" destId="{BDC67C30-CCDB-460E-A92A-B61CDB2EA0DA}" srcOrd="0" destOrd="0" presId="urn:microsoft.com/office/officeart/2005/8/layout/orgChart1"/>
    <dgm:cxn modelId="{7B434298-703A-469A-B54C-B9583A30A9DD}" type="presParOf" srcId="{BDC67C30-CCDB-460E-A92A-B61CDB2EA0DA}" destId="{C932898F-9BE1-4846-B937-9A02F221DDA3}" srcOrd="0" destOrd="0" presId="urn:microsoft.com/office/officeart/2005/8/layout/orgChart1"/>
    <dgm:cxn modelId="{703730D5-6F30-4ADE-8BEE-85FFE73F53AB}" type="presParOf" srcId="{BDC67C30-CCDB-460E-A92A-B61CDB2EA0DA}" destId="{87713172-176E-4172-9BB9-3EA47C0D9D6A}" srcOrd="1" destOrd="0" presId="urn:microsoft.com/office/officeart/2005/8/layout/orgChart1"/>
    <dgm:cxn modelId="{A7BC58DB-62D5-4CA8-861B-BE22BF332D38}" type="presParOf" srcId="{F7952AB5-2660-4ECD-8047-D1FD6074DFBA}" destId="{817EABF9-BD71-4A43-855F-DF7673DB1B39}" srcOrd="1" destOrd="0" presId="urn:microsoft.com/office/officeart/2005/8/layout/orgChart1"/>
    <dgm:cxn modelId="{C763DEEE-05C6-470F-AE85-60763BC4F8E7}" type="presParOf" srcId="{F7952AB5-2660-4ECD-8047-D1FD6074DFBA}" destId="{75FDF9A0-D70F-4C0B-8FA1-3C4EA2072894}" srcOrd="2" destOrd="0" presId="urn:microsoft.com/office/officeart/2005/8/layout/orgChart1"/>
    <dgm:cxn modelId="{CE1AA289-980B-4823-918B-55FDFBBA4C8A}" type="presParOf" srcId="{75FDF9A0-D70F-4C0B-8FA1-3C4EA2072894}" destId="{182AE238-4800-4911-A1F7-BE0A00FB9B17}" srcOrd="0" destOrd="0" presId="urn:microsoft.com/office/officeart/2005/8/layout/orgChart1"/>
    <dgm:cxn modelId="{2921BEFC-2E2D-49A4-BA22-C8E25BF08974}" type="presParOf" srcId="{75FDF9A0-D70F-4C0B-8FA1-3C4EA2072894}" destId="{BB51A1C2-7485-4F14-A69C-BC55E81DD77E}" srcOrd="1" destOrd="0" presId="urn:microsoft.com/office/officeart/2005/8/layout/orgChart1"/>
    <dgm:cxn modelId="{261F9E9C-6270-4B56-AF0F-080D257B565A}" type="presParOf" srcId="{BB51A1C2-7485-4F14-A69C-BC55E81DD77E}" destId="{BE7FA97D-55F2-4C26-880E-2000FD176281}" srcOrd="0" destOrd="0" presId="urn:microsoft.com/office/officeart/2005/8/layout/orgChart1"/>
    <dgm:cxn modelId="{C0C52172-3C05-4A72-9F5F-08EE46096106}" type="presParOf" srcId="{BE7FA97D-55F2-4C26-880E-2000FD176281}" destId="{4FF8B1C7-A4B3-4E55-AF44-68BDDC35335F}" srcOrd="0" destOrd="0" presId="urn:microsoft.com/office/officeart/2005/8/layout/orgChart1"/>
    <dgm:cxn modelId="{B0CA5A8C-49CE-4CA1-9060-1D4C91A075A4}" type="presParOf" srcId="{BE7FA97D-55F2-4C26-880E-2000FD176281}" destId="{2B8DDB5D-5B66-49EC-A184-4276B572E9A0}" srcOrd="1" destOrd="0" presId="urn:microsoft.com/office/officeart/2005/8/layout/orgChart1"/>
    <dgm:cxn modelId="{52EF5BF7-CD2A-431A-8363-852B82969303}" type="presParOf" srcId="{BB51A1C2-7485-4F14-A69C-BC55E81DD77E}" destId="{2C0205EA-180A-4AB0-B818-2B1EACD332AB}" srcOrd="1" destOrd="0" presId="urn:microsoft.com/office/officeart/2005/8/layout/orgChart1"/>
    <dgm:cxn modelId="{7817CEC6-51C1-4825-A795-110D68E01BAD}" type="presParOf" srcId="{BB51A1C2-7485-4F14-A69C-BC55E81DD77E}" destId="{9867B3EC-8543-4090-A3E9-411C80AEE147}" srcOrd="2" destOrd="0" presId="urn:microsoft.com/office/officeart/2005/8/layout/orgChart1"/>
    <dgm:cxn modelId="{06B63B79-839B-4DB0-B5EC-DAEF18329AD2}" type="presParOf" srcId="{4EDEE202-57F9-483E-AD32-EE8BB3AB0411}" destId="{14A316A3-E5BE-4916-83D7-7FCE90A0195F}"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82AE238-4800-4911-A1F7-BE0A00FB9B17}">
      <dsp:nvSpPr>
        <dsp:cNvPr id="0" name=""/>
        <dsp:cNvSpPr/>
      </dsp:nvSpPr>
      <dsp:spPr>
        <a:xfrm>
          <a:off x="4722504" y="1489619"/>
          <a:ext cx="110580" cy="656920"/>
        </a:xfrm>
        <a:custGeom>
          <a:avLst/>
          <a:gdLst/>
          <a:ahLst/>
          <a:cxnLst/>
          <a:rect l="0" t="0" r="0" b="0"/>
          <a:pathLst>
            <a:path>
              <a:moveTo>
                <a:pt x="110580" y="0"/>
              </a:moveTo>
              <a:lnTo>
                <a:pt x="110580" y="656920"/>
              </a:lnTo>
              <a:lnTo>
                <a:pt x="0" y="656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D8CFC-CD98-4510-82E0-0B09022A21E5}">
      <dsp:nvSpPr>
        <dsp:cNvPr id="0" name=""/>
        <dsp:cNvSpPr/>
      </dsp:nvSpPr>
      <dsp:spPr>
        <a:xfrm>
          <a:off x="3305073" y="741886"/>
          <a:ext cx="1528010" cy="221160"/>
        </a:xfrm>
        <a:custGeom>
          <a:avLst/>
          <a:gdLst/>
          <a:ahLst/>
          <a:cxnLst/>
          <a:rect l="0" t="0" r="0" b="0"/>
          <a:pathLst>
            <a:path>
              <a:moveTo>
                <a:pt x="0" y="0"/>
              </a:moveTo>
              <a:lnTo>
                <a:pt x="0" y="110580"/>
              </a:lnTo>
              <a:lnTo>
                <a:pt x="1528010" y="110580"/>
              </a:lnTo>
              <a:lnTo>
                <a:pt x="1528010" y="221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9816DC-54D9-45A9-9EC7-FC77622BE1E6}">
      <dsp:nvSpPr>
        <dsp:cNvPr id="0" name=""/>
        <dsp:cNvSpPr/>
      </dsp:nvSpPr>
      <dsp:spPr>
        <a:xfrm>
          <a:off x="2967527" y="2237352"/>
          <a:ext cx="110580" cy="484446"/>
        </a:xfrm>
        <a:custGeom>
          <a:avLst/>
          <a:gdLst/>
          <a:ahLst/>
          <a:cxnLst/>
          <a:rect l="0" t="0" r="0" b="0"/>
          <a:pathLst>
            <a:path>
              <a:moveTo>
                <a:pt x="110580" y="0"/>
              </a:moveTo>
              <a:lnTo>
                <a:pt x="110580" y="484446"/>
              </a:lnTo>
              <a:lnTo>
                <a:pt x="0" y="4844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8EBF4-A815-419B-8AF2-102814A83A05}">
      <dsp:nvSpPr>
        <dsp:cNvPr id="0" name=""/>
        <dsp:cNvSpPr/>
      </dsp:nvSpPr>
      <dsp:spPr>
        <a:xfrm>
          <a:off x="1803802" y="1489619"/>
          <a:ext cx="747732" cy="484446"/>
        </a:xfrm>
        <a:custGeom>
          <a:avLst/>
          <a:gdLst/>
          <a:ahLst/>
          <a:cxnLst/>
          <a:rect l="0" t="0" r="0" b="0"/>
          <a:pathLst>
            <a:path>
              <a:moveTo>
                <a:pt x="0" y="0"/>
              </a:moveTo>
              <a:lnTo>
                <a:pt x="0" y="484446"/>
              </a:lnTo>
              <a:lnTo>
                <a:pt x="747732" y="4844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9128B-83C9-451D-A1CE-EB3E2D7FA006}">
      <dsp:nvSpPr>
        <dsp:cNvPr id="0" name=""/>
        <dsp:cNvSpPr/>
      </dsp:nvSpPr>
      <dsp:spPr>
        <a:xfrm>
          <a:off x="1056069" y="2237352"/>
          <a:ext cx="110580" cy="484446"/>
        </a:xfrm>
        <a:custGeom>
          <a:avLst/>
          <a:gdLst/>
          <a:ahLst/>
          <a:cxnLst/>
          <a:rect l="0" t="0" r="0" b="0"/>
          <a:pathLst>
            <a:path>
              <a:moveTo>
                <a:pt x="110580" y="0"/>
              </a:moveTo>
              <a:lnTo>
                <a:pt x="110580" y="484446"/>
              </a:lnTo>
              <a:lnTo>
                <a:pt x="0" y="4844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12007E-9BB9-4147-A878-8AA960220F32}">
      <dsp:nvSpPr>
        <dsp:cNvPr id="0" name=""/>
        <dsp:cNvSpPr/>
      </dsp:nvSpPr>
      <dsp:spPr>
        <a:xfrm>
          <a:off x="1693222" y="1489619"/>
          <a:ext cx="110580" cy="484446"/>
        </a:xfrm>
        <a:custGeom>
          <a:avLst/>
          <a:gdLst/>
          <a:ahLst/>
          <a:cxnLst/>
          <a:rect l="0" t="0" r="0" b="0"/>
          <a:pathLst>
            <a:path>
              <a:moveTo>
                <a:pt x="110580" y="0"/>
              </a:moveTo>
              <a:lnTo>
                <a:pt x="110580" y="484446"/>
              </a:lnTo>
              <a:lnTo>
                <a:pt x="0" y="4844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39A8-2956-4ADE-A030-F7EA6B38CF8D}">
      <dsp:nvSpPr>
        <dsp:cNvPr id="0" name=""/>
        <dsp:cNvSpPr/>
      </dsp:nvSpPr>
      <dsp:spPr>
        <a:xfrm>
          <a:off x="1803802" y="741886"/>
          <a:ext cx="1501271" cy="221160"/>
        </a:xfrm>
        <a:custGeom>
          <a:avLst/>
          <a:gdLst/>
          <a:ahLst/>
          <a:cxnLst/>
          <a:rect l="0" t="0" r="0" b="0"/>
          <a:pathLst>
            <a:path>
              <a:moveTo>
                <a:pt x="1501271" y="0"/>
              </a:moveTo>
              <a:lnTo>
                <a:pt x="1501271" y="110580"/>
              </a:lnTo>
              <a:lnTo>
                <a:pt x="0" y="110580"/>
              </a:lnTo>
              <a:lnTo>
                <a:pt x="0" y="221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DBC7F-6D3C-4B2D-8BAE-37FC02F51338}">
      <dsp:nvSpPr>
        <dsp:cNvPr id="0" name=""/>
        <dsp:cNvSpPr/>
      </dsp:nvSpPr>
      <dsp:spPr>
        <a:xfrm>
          <a:off x="1810392" y="215314"/>
          <a:ext cx="2989362"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Commercial banks and mortgage finance institutions</a:t>
          </a:r>
        </a:p>
      </dsp:txBody>
      <dsp:txXfrm>
        <a:off x="1810392" y="215314"/>
        <a:ext cx="2989362" cy="526572"/>
      </dsp:txXfrm>
    </dsp:sp>
    <dsp:sp modelId="{4E48A1A8-A20B-47F5-8963-3DBFFDA42EE8}">
      <dsp:nvSpPr>
        <dsp:cNvPr id="0" name=""/>
        <dsp:cNvSpPr/>
      </dsp:nvSpPr>
      <dsp:spPr>
        <a:xfrm>
          <a:off x="1126672" y="963047"/>
          <a:ext cx="1354260"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Private financial institutions</a:t>
          </a:r>
        </a:p>
      </dsp:txBody>
      <dsp:txXfrm>
        <a:off x="1126672" y="963047"/>
        <a:ext cx="1354260" cy="526572"/>
      </dsp:txXfrm>
    </dsp:sp>
    <dsp:sp modelId="{634E32ED-0EF9-45E7-942C-E3EAE4097100}">
      <dsp:nvSpPr>
        <dsp:cNvPr id="0" name=""/>
        <dsp:cNvSpPr/>
      </dsp:nvSpPr>
      <dsp:spPr>
        <a:xfrm>
          <a:off x="640077" y="1710780"/>
          <a:ext cx="1053145"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Local</a:t>
          </a:r>
        </a:p>
      </dsp:txBody>
      <dsp:txXfrm>
        <a:off x="640077" y="1710780"/>
        <a:ext cx="1053145" cy="526572"/>
      </dsp:txXfrm>
    </dsp:sp>
    <dsp:sp modelId="{1C11FA1C-F2ED-4307-8986-75695E587B89}">
      <dsp:nvSpPr>
        <dsp:cNvPr id="0" name=""/>
        <dsp:cNvSpPr/>
      </dsp:nvSpPr>
      <dsp:spPr>
        <a:xfrm>
          <a:off x="2924" y="2458513"/>
          <a:ext cx="1053145"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Commercial banks- 28</a:t>
          </a:r>
        </a:p>
        <a:p>
          <a:pPr lvl="0" algn="ctr" defTabSz="400050">
            <a:lnSpc>
              <a:spcPct val="90000"/>
            </a:lnSpc>
            <a:spcBef>
              <a:spcPct val="0"/>
            </a:spcBef>
            <a:spcAft>
              <a:spcPct val="35000"/>
            </a:spcAft>
          </a:pPr>
          <a:r>
            <a:rPr lang="en-US" sz="900" kern="1200"/>
            <a:t>Mortgage finance institutions- 1</a:t>
          </a:r>
        </a:p>
      </dsp:txBody>
      <dsp:txXfrm>
        <a:off x="2924" y="2458513"/>
        <a:ext cx="1053145" cy="526572"/>
      </dsp:txXfrm>
    </dsp:sp>
    <dsp:sp modelId="{5030B71E-67A7-40F0-8CA6-2163D6228456}">
      <dsp:nvSpPr>
        <dsp:cNvPr id="0" name=""/>
        <dsp:cNvSpPr/>
      </dsp:nvSpPr>
      <dsp:spPr>
        <a:xfrm>
          <a:off x="2551535" y="1710780"/>
          <a:ext cx="1053145"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Foreign (over 50% ownership)</a:t>
          </a:r>
        </a:p>
      </dsp:txBody>
      <dsp:txXfrm>
        <a:off x="2551535" y="1710780"/>
        <a:ext cx="1053145" cy="526572"/>
      </dsp:txXfrm>
    </dsp:sp>
    <dsp:sp modelId="{BCCDDD9A-462C-4E74-AC6D-31EDF3D244B6}">
      <dsp:nvSpPr>
        <dsp:cNvPr id="0" name=""/>
        <dsp:cNvSpPr/>
      </dsp:nvSpPr>
      <dsp:spPr>
        <a:xfrm>
          <a:off x="1914382" y="2458513"/>
          <a:ext cx="1053145"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Commercial banks- 13</a:t>
          </a:r>
        </a:p>
      </dsp:txBody>
      <dsp:txXfrm>
        <a:off x="1914382" y="2458513"/>
        <a:ext cx="1053145" cy="526572"/>
      </dsp:txXfrm>
    </dsp:sp>
    <dsp:sp modelId="{C932898F-9BE1-4846-B937-9A02F221DDA3}">
      <dsp:nvSpPr>
        <dsp:cNvPr id="0" name=""/>
        <dsp:cNvSpPr/>
      </dsp:nvSpPr>
      <dsp:spPr>
        <a:xfrm>
          <a:off x="4182693" y="963047"/>
          <a:ext cx="1300781" cy="5265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Public financial institutions</a:t>
          </a:r>
        </a:p>
      </dsp:txBody>
      <dsp:txXfrm>
        <a:off x="4182693" y="963047"/>
        <a:ext cx="1300781" cy="526572"/>
      </dsp:txXfrm>
    </dsp:sp>
    <dsp:sp modelId="{4FF8B1C7-A4B3-4E55-AF44-68BDDC35335F}">
      <dsp:nvSpPr>
        <dsp:cNvPr id="0" name=""/>
        <dsp:cNvSpPr/>
      </dsp:nvSpPr>
      <dsp:spPr>
        <a:xfrm>
          <a:off x="3982322" y="1710780"/>
          <a:ext cx="740181" cy="8715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Consolidated bank of kenya</a:t>
          </a:r>
        </a:p>
        <a:p>
          <a:pPr lvl="0" algn="ctr" defTabSz="400050">
            <a:lnSpc>
              <a:spcPct val="90000"/>
            </a:lnSpc>
            <a:spcBef>
              <a:spcPct val="0"/>
            </a:spcBef>
            <a:spcAft>
              <a:spcPct val="35000"/>
            </a:spcAft>
          </a:pPr>
          <a:r>
            <a:rPr lang="en-US" sz="900" kern="1200"/>
            <a:t>Development Bank of Kenya</a:t>
          </a:r>
        </a:p>
        <a:p>
          <a:pPr lvl="0" algn="ctr" defTabSz="400050">
            <a:lnSpc>
              <a:spcPct val="90000"/>
            </a:lnSpc>
            <a:spcBef>
              <a:spcPct val="0"/>
            </a:spcBef>
            <a:spcAft>
              <a:spcPct val="35000"/>
            </a:spcAft>
          </a:pPr>
          <a:r>
            <a:rPr lang="en-US" sz="900" kern="1200"/>
            <a:t>National Bank of Kenya</a:t>
          </a:r>
        </a:p>
      </dsp:txBody>
      <dsp:txXfrm>
        <a:off x="3982322" y="1710780"/>
        <a:ext cx="740181" cy="8715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C01E4078CF454F92D67ACFCCB033A0"/>
        <w:category>
          <w:name w:val="General"/>
          <w:gallery w:val="placeholder"/>
        </w:category>
        <w:types>
          <w:type w:val="bbPlcHdr"/>
        </w:types>
        <w:behaviors>
          <w:behavior w:val="content"/>
        </w:behaviors>
        <w:guid w:val="{88E20EC2-2766-4218-B356-7C5BECE59BB1}"/>
      </w:docPartPr>
      <w:docPartBody>
        <w:p w:rsidR="004837A0" w:rsidRDefault="00134CC6" w:rsidP="00134CC6">
          <w:pPr>
            <w:pStyle w:val="37C01E4078CF454F92D67ACFCCB033A0"/>
          </w:pPr>
          <w:r>
            <w:rPr>
              <w:rFonts w:asciiTheme="majorHAnsi" w:eastAsiaTheme="majorEastAsia" w:hAnsiTheme="majorHAnsi" w:cstheme="majorBidi"/>
              <w:sz w:val="36"/>
              <w:szCs w:val="36"/>
            </w:rPr>
            <w:t>[Type the document title]</w:t>
          </w:r>
        </w:p>
      </w:docPartBody>
    </w:docPart>
    <w:docPart>
      <w:docPartPr>
        <w:name w:val="67A934F455DD4CD4A5ABE940F8CA692D"/>
        <w:category>
          <w:name w:val="General"/>
          <w:gallery w:val="placeholder"/>
        </w:category>
        <w:types>
          <w:type w:val="bbPlcHdr"/>
        </w:types>
        <w:behaviors>
          <w:behavior w:val="content"/>
        </w:behaviors>
        <w:guid w:val="{D630C159-5B7E-4CE0-B518-29DD05F2CFD3}"/>
      </w:docPartPr>
      <w:docPartBody>
        <w:p w:rsidR="004837A0" w:rsidRDefault="00134CC6" w:rsidP="00134CC6">
          <w:pPr>
            <w:pStyle w:val="67A934F455DD4CD4A5ABE940F8CA692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inion-Regular">
    <w:altName w:val="MS Mincho"/>
    <w:panose1 w:val="00000000000000000000"/>
    <w:charset w:val="80"/>
    <w:family w:val="auto"/>
    <w:notTrueType/>
    <w:pitch w:val="default"/>
    <w:sig w:usb0="00000001" w:usb1="08070000" w:usb2="00000010" w:usb3="00000000" w:csb0="00020000" w:csb1="00000000"/>
  </w:font>
  <w:font w:name="Minion-Italic">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Optr2k">
    <w:panose1 w:val="00000000000000000000"/>
    <w:charset w:val="00"/>
    <w:family w:val="auto"/>
    <w:notTrueType/>
    <w:pitch w:val="default"/>
    <w:sig w:usb0="00000003" w:usb1="00000000" w:usb2="00000000" w:usb3="00000000" w:csb0="00000001" w:csb1="00000000"/>
  </w:font>
  <w:font w:name="Syntax-Black">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ntax-Bold">
    <w:panose1 w:val="00000000000000000000"/>
    <w:charset w:val="00"/>
    <w:family w:val="auto"/>
    <w:notTrueType/>
    <w:pitch w:val="default"/>
    <w:sig w:usb0="00000003" w:usb1="00000000" w:usb2="00000000" w:usb3="00000000" w:csb0="00000001" w:csb1="00000000"/>
  </w:font>
  <w:font w:name="Syntax-Roman">
    <w:altName w:val="MS Mincho"/>
    <w:panose1 w:val="00000000000000000000"/>
    <w:charset w:val="80"/>
    <w:family w:val="auto"/>
    <w:notTrueType/>
    <w:pitch w:val="default"/>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4CC6"/>
    <w:rsid w:val="00134CC6"/>
    <w:rsid w:val="004837A0"/>
    <w:rsid w:val="0058502B"/>
    <w:rsid w:val="00654F9F"/>
    <w:rsid w:val="00936C6C"/>
    <w:rsid w:val="00AA4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5BE57B47644A4E95BF5FB48D57A62E">
    <w:name w:val="E55BE57B47644A4E95BF5FB48D57A62E"/>
    <w:rsid w:val="00134CC6"/>
  </w:style>
  <w:style w:type="paragraph" w:customStyle="1" w:styleId="37C01E4078CF454F92D67ACFCCB033A0">
    <w:name w:val="37C01E4078CF454F92D67ACFCCB033A0"/>
    <w:rsid w:val="00134CC6"/>
  </w:style>
  <w:style w:type="paragraph" w:customStyle="1" w:styleId="67A934F455DD4CD4A5ABE940F8CA692D">
    <w:name w:val="67A934F455DD4CD4A5ABE940F8CA692D"/>
    <w:rsid w:val="00134C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1755F-9B21-4DBB-BAEC-419CEFFC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 Karuitha- Bcom 331</dc:title>
  <dc:subject/>
  <dc:creator>User</dc:creator>
  <cp:keywords/>
  <dc:description/>
  <cp:lastModifiedBy>User</cp:lastModifiedBy>
  <cp:revision>33</cp:revision>
  <dcterms:created xsi:type="dcterms:W3CDTF">2012-03-23T08:30:00Z</dcterms:created>
  <dcterms:modified xsi:type="dcterms:W3CDTF">2012-04-22T20:05:00Z</dcterms:modified>
</cp:coreProperties>
</file>