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141" w:rsidRDefault="00DF7165" w:rsidP="003866DD">
      <w:pPr>
        <w:pStyle w:val="IntenseQuote"/>
      </w:pPr>
      <w:r>
        <w:t>BCOM 430: MANAGEMENT OF FINANCIAL INSTITUTIONS</w:t>
      </w:r>
    </w:p>
    <w:p w:rsidR="00CB6B84" w:rsidRDefault="00CB6B84" w:rsidP="00CB6B84">
      <w:pPr>
        <w:pStyle w:val="ListParagraph"/>
      </w:pPr>
    </w:p>
    <w:p w:rsidR="00DF7165" w:rsidRDefault="00DF7165" w:rsidP="00DF7165">
      <w:pPr>
        <w:pStyle w:val="ListParagraph"/>
        <w:numPr>
          <w:ilvl w:val="0"/>
          <w:numId w:val="2"/>
        </w:numPr>
      </w:pPr>
      <w:r>
        <w:t>Introduction to management of financial institutions</w:t>
      </w:r>
      <w:r w:rsidR="005C7DF6">
        <w:t>.</w:t>
      </w:r>
    </w:p>
    <w:p w:rsidR="00DF7165" w:rsidRDefault="00DF7165" w:rsidP="00DF7165">
      <w:pPr>
        <w:pStyle w:val="ListParagraph"/>
        <w:numPr>
          <w:ilvl w:val="1"/>
          <w:numId w:val="2"/>
        </w:numPr>
      </w:pPr>
      <w:r>
        <w:t>Introduction to financial institutions management.</w:t>
      </w:r>
    </w:p>
    <w:p w:rsidR="005B09EB" w:rsidRDefault="005B09EB" w:rsidP="00DF7165">
      <w:pPr>
        <w:pStyle w:val="ListParagraph"/>
        <w:numPr>
          <w:ilvl w:val="1"/>
          <w:numId w:val="2"/>
        </w:numPr>
      </w:pPr>
      <w:r>
        <w:t>Financial institutions (Recap)</w:t>
      </w:r>
    </w:p>
    <w:p w:rsidR="00DF7165" w:rsidRDefault="00DF7165" w:rsidP="00DF7165">
      <w:pPr>
        <w:pStyle w:val="ListParagraph"/>
        <w:numPr>
          <w:ilvl w:val="1"/>
          <w:numId w:val="2"/>
        </w:numPr>
      </w:pPr>
      <w:r>
        <w:t>Specific management problems facing financial institutions in Kenya.</w:t>
      </w:r>
    </w:p>
    <w:p w:rsidR="001F4289" w:rsidRDefault="0036260B" w:rsidP="001F4289">
      <w:pPr>
        <w:pStyle w:val="ListParagraph"/>
        <w:numPr>
          <w:ilvl w:val="1"/>
          <w:numId w:val="2"/>
        </w:numPr>
      </w:pPr>
      <w:r>
        <w:t>Emerging t</w:t>
      </w:r>
      <w:r w:rsidR="005C7DF6">
        <w:t>rends in</w:t>
      </w:r>
      <w:r w:rsidR="001F4289">
        <w:t xml:space="preserve"> financial institutions management</w:t>
      </w:r>
      <w:r w:rsidR="00BE57B0">
        <w:t xml:space="preserve"> (Overview)</w:t>
      </w:r>
      <w:r w:rsidR="005C7DF6">
        <w:t>.</w:t>
      </w:r>
    </w:p>
    <w:p w:rsidR="00BE57B0" w:rsidRDefault="00BE57B0" w:rsidP="001F4289">
      <w:pPr>
        <w:pStyle w:val="ListParagraph"/>
        <w:numPr>
          <w:ilvl w:val="2"/>
          <w:numId w:val="2"/>
        </w:numPr>
      </w:pPr>
      <w:r>
        <w:t>Information</w:t>
      </w:r>
      <w:r w:rsidR="00234385">
        <w:t xml:space="preserve"> systems in financial institutions</w:t>
      </w:r>
      <w:r w:rsidR="001E2C0A">
        <w:t xml:space="preserve"> </w:t>
      </w:r>
    </w:p>
    <w:p w:rsidR="00BE57B0" w:rsidRDefault="00BE57B0" w:rsidP="00BE57B0">
      <w:pPr>
        <w:pStyle w:val="ListParagraph"/>
        <w:numPr>
          <w:ilvl w:val="3"/>
          <w:numId w:val="3"/>
        </w:numPr>
      </w:pPr>
      <w:r>
        <w:t>Internet banking</w:t>
      </w:r>
    </w:p>
    <w:p w:rsidR="00BE57B0" w:rsidRDefault="00BE57B0" w:rsidP="00BE57B0">
      <w:pPr>
        <w:pStyle w:val="ListParagraph"/>
        <w:numPr>
          <w:ilvl w:val="3"/>
          <w:numId w:val="3"/>
        </w:numPr>
      </w:pPr>
      <w:r>
        <w:t xml:space="preserve">Management information systems: </w:t>
      </w:r>
      <w:r w:rsidR="001E2C0A">
        <w:t xml:space="preserve"> </w:t>
      </w:r>
      <w:r>
        <w:t>The case of Metro Bank-UK</w:t>
      </w:r>
    </w:p>
    <w:p w:rsidR="001F4289" w:rsidRDefault="00BE57B0" w:rsidP="00BE57B0">
      <w:pPr>
        <w:pStyle w:val="ListParagraph"/>
        <w:numPr>
          <w:ilvl w:val="3"/>
          <w:numId w:val="3"/>
        </w:numPr>
      </w:pPr>
      <w:r>
        <w:t>Share immobilization: The case of CDSC Kenya</w:t>
      </w:r>
    </w:p>
    <w:p w:rsidR="001F4289" w:rsidRDefault="001E2C0A" w:rsidP="001F4289">
      <w:pPr>
        <w:pStyle w:val="ListParagraph"/>
        <w:numPr>
          <w:ilvl w:val="2"/>
          <w:numId w:val="2"/>
        </w:numPr>
      </w:pPr>
      <w:r>
        <w:t xml:space="preserve">Globalization- </w:t>
      </w:r>
      <w:r w:rsidR="00652F57">
        <w:t xml:space="preserve">cross border mergers and acquisitions (A look at CFC-Stanbic, mergers between Australia stock exchange and Singapore stock exchange), cross border expansions (Equity Bank, KCB), </w:t>
      </w:r>
      <w:r w:rsidR="00234385">
        <w:t>offshore investments</w:t>
      </w:r>
      <w:r w:rsidR="00652F57">
        <w:t xml:space="preserve"> (</w:t>
      </w:r>
      <w:r w:rsidR="0063137D">
        <w:t xml:space="preserve">Mutual funds and </w:t>
      </w:r>
      <w:r w:rsidR="00652F57">
        <w:t>Investment banks)</w:t>
      </w:r>
      <w:r w:rsidR="00FF1DE2">
        <w:t>.</w:t>
      </w:r>
    </w:p>
    <w:p w:rsidR="0063137D" w:rsidRDefault="0063137D" w:rsidP="001F4289">
      <w:pPr>
        <w:pStyle w:val="ListParagraph"/>
        <w:numPr>
          <w:ilvl w:val="2"/>
          <w:numId w:val="2"/>
        </w:numPr>
      </w:pPr>
      <w:r>
        <w:t>Agency banking: The case of equity bank, Kenya.</w:t>
      </w:r>
    </w:p>
    <w:p w:rsidR="00DF7165" w:rsidRDefault="00FF1DE2" w:rsidP="003866DD">
      <w:pPr>
        <w:pStyle w:val="ListParagraph"/>
        <w:numPr>
          <w:ilvl w:val="2"/>
          <w:numId w:val="2"/>
        </w:numPr>
      </w:pPr>
      <w:r>
        <w:t>Competition</w:t>
      </w:r>
      <w:r w:rsidR="00234385">
        <w:t xml:space="preserve"> among financial institutions</w:t>
      </w:r>
      <w:r w:rsidR="00652F57">
        <w:t xml:space="preserve"> (Commercial banks foray into investment banking and share brokerage, SACCO and Mobile phone cash transfers)</w:t>
      </w:r>
      <w:r w:rsidR="005C7DF6">
        <w:t>.</w:t>
      </w:r>
    </w:p>
    <w:p w:rsidR="001E2C0A" w:rsidRDefault="001E2C0A" w:rsidP="003866DD">
      <w:pPr>
        <w:pStyle w:val="ListParagraph"/>
        <w:numPr>
          <w:ilvl w:val="2"/>
          <w:numId w:val="2"/>
        </w:numPr>
      </w:pPr>
      <w:r>
        <w:t>Demutualization of stock exchanges (The case of NSE- Kenya).</w:t>
      </w:r>
    </w:p>
    <w:p w:rsidR="00BE57B0" w:rsidRDefault="00BE57B0" w:rsidP="003866DD">
      <w:pPr>
        <w:pStyle w:val="ListParagraph"/>
        <w:numPr>
          <w:ilvl w:val="2"/>
          <w:numId w:val="2"/>
        </w:numPr>
      </w:pPr>
      <w:r>
        <w:t>Securitization</w:t>
      </w:r>
      <w:r w:rsidR="0063137D">
        <w:t xml:space="preserve"> (Mortgage backed securities)</w:t>
      </w:r>
      <w:r>
        <w:t>.</w:t>
      </w:r>
    </w:p>
    <w:p w:rsidR="00DF7165" w:rsidRDefault="005B09EB" w:rsidP="00DF7165">
      <w:pPr>
        <w:pStyle w:val="ListParagraph"/>
        <w:numPr>
          <w:ilvl w:val="0"/>
          <w:numId w:val="2"/>
        </w:numPr>
      </w:pPr>
      <w:r>
        <w:t>Financial intermediaries and their regulators</w:t>
      </w:r>
      <w:r w:rsidR="00DF7165">
        <w:t>.</w:t>
      </w:r>
    </w:p>
    <w:p w:rsidR="00DF7165" w:rsidRDefault="005B09EB" w:rsidP="00DF7165">
      <w:pPr>
        <w:pStyle w:val="ListParagraph"/>
        <w:numPr>
          <w:ilvl w:val="1"/>
          <w:numId w:val="2"/>
        </w:numPr>
      </w:pPr>
      <w:r>
        <w:t xml:space="preserve">Financial intermediaries’ regulators </w:t>
      </w:r>
      <w:r w:rsidR="00DF7165">
        <w:t>in Kenya</w:t>
      </w:r>
      <w:r w:rsidR="001F4289">
        <w:t xml:space="preserve"> (Recap)</w:t>
      </w:r>
      <w:r w:rsidR="00DF7165">
        <w:t>.</w:t>
      </w:r>
    </w:p>
    <w:p w:rsidR="005B09EB" w:rsidRDefault="005B09EB" w:rsidP="00DF7165">
      <w:pPr>
        <w:pStyle w:val="ListParagraph"/>
        <w:numPr>
          <w:ilvl w:val="1"/>
          <w:numId w:val="2"/>
        </w:numPr>
      </w:pPr>
      <w:r>
        <w:t>Specific regulations in place in Kenya.</w:t>
      </w:r>
    </w:p>
    <w:p w:rsidR="00963D24" w:rsidRDefault="005B09EB" w:rsidP="00DF7165">
      <w:pPr>
        <w:pStyle w:val="ListParagraph"/>
        <w:numPr>
          <w:ilvl w:val="1"/>
          <w:numId w:val="2"/>
        </w:numPr>
      </w:pPr>
      <w:r>
        <w:t xml:space="preserve">Trends in regulation: </w:t>
      </w:r>
      <w:r w:rsidR="00963D24">
        <w:t xml:space="preserve">Lessons </w:t>
      </w:r>
      <w:r w:rsidR="005C7DF6">
        <w:t>and implications o</w:t>
      </w:r>
      <w:r w:rsidR="00963D24">
        <w:t>f</w:t>
      </w:r>
      <w:r w:rsidR="005C7DF6">
        <w:t xml:space="preserve"> </w:t>
      </w:r>
      <w:r w:rsidR="00963D24">
        <w:t>the global financial crisis of 2008</w:t>
      </w:r>
      <w:r w:rsidR="005C7DF6">
        <w:t xml:space="preserve"> on the regulation of financial institutions</w:t>
      </w:r>
      <w:r w:rsidR="00963D24">
        <w:t>.</w:t>
      </w:r>
    </w:p>
    <w:p w:rsidR="001F4289" w:rsidRDefault="00DF7165" w:rsidP="001F4289">
      <w:pPr>
        <w:pStyle w:val="ListParagraph"/>
        <w:numPr>
          <w:ilvl w:val="1"/>
          <w:numId w:val="2"/>
        </w:numPr>
      </w:pPr>
      <w:r>
        <w:t>The Basel Accords</w:t>
      </w:r>
      <w:r w:rsidR="005C7DF6">
        <w:t xml:space="preserve"> (Detailed discussion on Basel I, II, and III accords)</w:t>
      </w:r>
      <w:r w:rsidR="00963D24">
        <w:t>.</w:t>
      </w:r>
    </w:p>
    <w:p w:rsidR="005C7DF6" w:rsidRDefault="005C7DF6" w:rsidP="005C7DF6">
      <w:pPr>
        <w:pStyle w:val="ListParagraph"/>
        <w:numPr>
          <w:ilvl w:val="0"/>
          <w:numId w:val="2"/>
        </w:numPr>
      </w:pPr>
      <w:r>
        <w:t>Liquidity management</w:t>
      </w:r>
      <w:r w:rsidR="00B42A87">
        <w:t xml:space="preserve"> in financial institutions</w:t>
      </w:r>
      <w:r>
        <w:t>.</w:t>
      </w:r>
    </w:p>
    <w:p w:rsidR="0063137D" w:rsidRDefault="0063137D" w:rsidP="0063137D">
      <w:pPr>
        <w:pStyle w:val="ListParagraph"/>
        <w:numPr>
          <w:ilvl w:val="1"/>
          <w:numId w:val="2"/>
        </w:numPr>
      </w:pPr>
      <w:r>
        <w:t>Interest risk and the gap analysis</w:t>
      </w:r>
    </w:p>
    <w:p w:rsidR="0063137D" w:rsidRDefault="0063137D" w:rsidP="0063137D">
      <w:pPr>
        <w:pStyle w:val="ListParagraph"/>
        <w:numPr>
          <w:ilvl w:val="1"/>
          <w:numId w:val="2"/>
        </w:numPr>
      </w:pPr>
      <w:r>
        <w:t>Theories of liquidity management</w:t>
      </w:r>
    </w:p>
    <w:p w:rsidR="0063137D" w:rsidRDefault="0063137D" w:rsidP="0063137D">
      <w:pPr>
        <w:pStyle w:val="ListParagraph"/>
        <w:numPr>
          <w:ilvl w:val="1"/>
          <w:numId w:val="2"/>
        </w:numPr>
      </w:pPr>
      <w:r>
        <w:t>Priority in employment of funds.</w:t>
      </w:r>
    </w:p>
    <w:p w:rsidR="00963D24" w:rsidRDefault="00963D24" w:rsidP="00963D24">
      <w:pPr>
        <w:pStyle w:val="ListParagraph"/>
        <w:numPr>
          <w:ilvl w:val="0"/>
          <w:numId w:val="2"/>
        </w:numPr>
      </w:pPr>
      <w:r>
        <w:t>Management of assets and liabilities</w:t>
      </w:r>
      <w:r w:rsidR="005C7DF6">
        <w:t>.</w:t>
      </w:r>
    </w:p>
    <w:p w:rsidR="000C3299" w:rsidRDefault="000C3299" w:rsidP="000C3299">
      <w:pPr>
        <w:pStyle w:val="ListParagraph"/>
        <w:numPr>
          <w:ilvl w:val="1"/>
          <w:numId w:val="2"/>
        </w:numPr>
      </w:pPr>
      <w:r>
        <w:t>Balance sheet management strategies.</w:t>
      </w:r>
    </w:p>
    <w:p w:rsidR="00963D24" w:rsidRDefault="00F64FE9" w:rsidP="000C3299">
      <w:pPr>
        <w:pStyle w:val="ListParagraph"/>
        <w:numPr>
          <w:ilvl w:val="2"/>
          <w:numId w:val="2"/>
        </w:numPr>
      </w:pPr>
      <w:r>
        <w:t>Deposits</w:t>
      </w:r>
      <w:r w:rsidR="005C7DF6">
        <w:t>.</w:t>
      </w:r>
    </w:p>
    <w:p w:rsidR="00F64FE9" w:rsidRDefault="00F64FE9" w:rsidP="000C3299">
      <w:pPr>
        <w:pStyle w:val="ListParagraph"/>
        <w:numPr>
          <w:ilvl w:val="2"/>
          <w:numId w:val="2"/>
        </w:numPr>
      </w:pPr>
      <w:r>
        <w:t>Loans and advances</w:t>
      </w:r>
      <w:r w:rsidR="005C7DF6">
        <w:t>.</w:t>
      </w:r>
    </w:p>
    <w:p w:rsidR="00F64FE9" w:rsidRDefault="00F64FE9" w:rsidP="000C3299">
      <w:pPr>
        <w:pStyle w:val="ListParagraph"/>
        <w:numPr>
          <w:ilvl w:val="2"/>
          <w:numId w:val="2"/>
        </w:numPr>
      </w:pPr>
      <w:r>
        <w:t>Capital</w:t>
      </w:r>
      <w:r w:rsidR="005C7DF6">
        <w:t xml:space="preserve"> (capital adequacy; requirements and reporting</w:t>
      </w:r>
      <w:r w:rsidR="0063137D">
        <w:t xml:space="preserve"> in light of the Basel Accords and The Government of Kenya regulations</w:t>
      </w:r>
      <w:r w:rsidR="005C7DF6">
        <w:t>).</w:t>
      </w:r>
    </w:p>
    <w:p w:rsidR="005C7DF6" w:rsidRDefault="005C7DF6" w:rsidP="005C7DF6">
      <w:pPr>
        <w:pStyle w:val="ListParagraph"/>
        <w:numPr>
          <w:ilvl w:val="0"/>
          <w:numId w:val="2"/>
        </w:numPr>
      </w:pPr>
      <w:r>
        <w:t>Financial centers in eastern and southern Africa.</w:t>
      </w:r>
    </w:p>
    <w:p w:rsidR="00234385" w:rsidRDefault="005C7DF6" w:rsidP="00234385">
      <w:pPr>
        <w:pStyle w:val="ListParagraph"/>
        <w:numPr>
          <w:ilvl w:val="0"/>
          <w:numId w:val="2"/>
        </w:numPr>
      </w:pPr>
      <w:r>
        <w:t>Application of management principles to specific institutions</w:t>
      </w:r>
    </w:p>
    <w:p w:rsidR="005C7DF6" w:rsidRPr="00234385" w:rsidRDefault="0036260B" w:rsidP="00234385">
      <w:pPr>
        <w:pStyle w:val="ListParagraph"/>
        <w:numPr>
          <w:ilvl w:val="1"/>
          <w:numId w:val="2"/>
        </w:numPr>
      </w:pPr>
      <w:r>
        <w:t>Investment banks.</w:t>
      </w:r>
    </w:p>
    <w:p w:rsidR="005C7DF6" w:rsidRPr="00234385" w:rsidRDefault="0036260B" w:rsidP="005C7DF6">
      <w:pPr>
        <w:pStyle w:val="ListParagraph"/>
        <w:numPr>
          <w:ilvl w:val="1"/>
          <w:numId w:val="2"/>
        </w:numPr>
        <w:jc w:val="both"/>
      </w:pPr>
      <w:r>
        <w:t>Insurance companies.</w:t>
      </w:r>
    </w:p>
    <w:p w:rsidR="005C7DF6" w:rsidRPr="00234385" w:rsidRDefault="0036260B" w:rsidP="005C7DF6">
      <w:pPr>
        <w:pStyle w:val="ListParagraph"/>
        <w:numPr>
          <w:ilvl w:val="1"/>
          <w:numId w:val="2"/>
        </w:numPr>
        <w:jc w:val="both"/>
      </w:pPr>
      <w:r w:rsidRPr="00234385">
        <w:t>Investment</w:t>
      </w:r>
      <w:r>
        <w:t xml:space="preserve"> banks &amp; stock brokerages.</w:t>
      </w:r>
    </w:p>
    <w:p w:rsidR="005C7DF6" w:rsidRPr="00234385" w:rsidRDefault="005C7DF6" w:rsidP="005C7DF6">
      <w:pPr>
        <w:pStyle w:val="ListParagraph"/>
        <w:numPr>
          <w:ilvl w:val="1"/>
          <w:numId w:val="2"/>
        </w:numPr>
        <w:jc w:val="both"/>
      </w:pPr>
      <w:r w:rsidRPr="00234385">
        <w:t>Stock exchanges.</w:t>
      </w:r>
    </w:p>
    <w:p w:rsidR="005C7DF6" w:rsidRDefault="005C7DF6" w:rsidP="005C7DF6">
      <w:pPr>
        <w:pStyle w:val="ListParagraph"/>
        <w:ind w:left="1440"/>
      </w:pPr>
    </w:p>
    <w:p w:rsidR="00F64FE9" w:rsidRPr="00CB6B84" w:rsidRDefault="00CB6B84" w:rsidP="00CB6B84">
      <w:pPr>
        <w:ind w:left="0"/>
        <w:rPr>
          <w:u w:val="single"/>
        </w:rPr>
      </w:pPr>
      <w:r w:rsidRPr="00CB6B84">
        <w:rPr>
          <w:u w:val="single"/>
        </w:rPr>
        <w:t>Reference books</w:t>
      </w:r>
    </w:p>
    <w:sectPr w:rsidR="00F64FE9" w:rsidRPr="00CB6B84" w:rsidSect="00BE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3464"/>
    <w:multiLevelType w:val="hybridMultilevel"/>
    <w:tmpl w:val="272A0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53F9"/>
    <w:multiLevelType w:val="hybridMultilevel"/>
    <w:tmpl w:val="AEC8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47CB4"/>
    <w:multiLevelType w:val="hybridMultilevel"/>
    <w:tmpl w:val="A540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7165"/>
    <w:rsid w:val="000C3299"/>
    <w:rsid w:val="001224EA"/>
    <w:rsid w:val="001E2C0A"/>
    <w:rsid w:val="001F4289"/>
    <w:rsid w:val="00234385"/>
    <w:rsid w:val="0036260B"/>
    <w:rsid w:val="003866DD"/>
    <w:rsid w:val="00531126"/>
    <w:rsid w:val="005B09EB"/>
    <w:rsid w:val="005C7DF6"/>
    <w:rsid w:val="0063137D"/>
    <w:rsid w:val="00652F57"/>
    <w:rsid w:val="007856EB"/>
    <w:rsid w:val="00963D24"/>
    <w:rsid w:val="00B42A87"/>
    <w:rsid w:val="00BA7D4F"/>
    <w:rsid w:val="00BE2141"/>
    <w:rsid w:val="00BE57B0"/>
    <w:rsid w:val="00CB6B84"/>
    <w:rsid w:val="00DF7165"/>
    <w:rsid w:val="00F64FE9"/>
    <w:rsid w:val="00FF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8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A8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2303D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A8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3485B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8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4617B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A87"/>
    <w:pPr>
      <w:pBdr>
        <w:bottom w:val="single" w:sz="4" w:space="1" w:color="46D1F9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07AAD7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A87"/>
    <w:pPr>
      <w:pBdr>
        <w:bottom w:val="single" w:sz="4" w:space="1" w:color="20C8F7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07AAD7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A87"/>
    <w:pPr>
      <w:pBdr>
        <w:bottom w:val="dotted" w:sz="8" w:space="1" w:color="21B1C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21B1C7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A87"/>
    <w:pPr>
      <w:pBdr>
        <w:bottom w:val="dotted" w:sz="8" w:space="1" w:color="21B1C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21B1C7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A8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21B1C7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A8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A87"/>
    <w:pPr>
      <w:pBdr>
        <w:top w:val="single" w:sz="4" w:space="12" w:color="3093EF" w:themeColor="accent1" w:themeTint="BF"/>
        <w:left w:val="single" w:sz="4" w:space="15" w:color="3093EF" w:themeColor="accent1" w:themeTint="BF"/>
        <w:bottom w:val="single" w:sz="12" w:space="10" w:color="0B5294" w:themeColor="accent1" w:themeShade="BF"/>
        <w:right w:val="single" w:sz="12" w:space="15" w:color="0B5294" w:themeColor="accent1" w:themeShade="BF"/>
        <w:between w:val="single" w:sz="4" w:space="12" w:color="3093EF" w:themeColor="accent1" w:themeTint="BF"/>
        <w:bar w:val="single" w:sz="4" w:color="3093E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A87"/>
    <w:rPr>
      <w:rFonts w:asciiTheme="majorHAnsi" w:eastAsiaTheme="majorEastAsia" w:hAnsiTheme="majorHAnsi" w:cstheme="majorBidi"/>
      <w:smallCaps/>
      <w:color w:val="0B5294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2A87"/>
    <w:rPr>
      <w:rFonts w:asciiTheme="majorHAnsi" w:eastAsiaTheme="majorEastAsia" w:hAnsiTheme="majorHAnsi" w:cstheme="majorBidi"/>
      <w:smallCaps/>
      <w:color w:val="02303D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A87"/>
    <w:rPr>
      <w:rFonts w:asciiTheme="majorHAnsi" w:eastAsiaTheme="majorEastAsia" w:hAnsiTheme="majorHAnsi" w:cstheme="majorBidi"/>
      <w:smallCaps/>
      <w:color w:val="03485B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87"/>
    <w:rPr>
      <w:rFonts w:asciiTheme="majorHAnsi" w:eastAsiaTheme="majorEastAsia" w:hAnsiTheme="majorHAnsi" w:cstheme="majorBidi"/>
      <w:smallCaps/>
      <w:color w:val="04617B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A87"/>
    <w:rPr>
      <w:rFonts w:asciiTheme="majorHAnsi" w:eastAsiaTheme="majorEastAsia" w:hAnsiTheme="majorHAnsi" w:cstheme="majorBidi"/>
      <w:b/>
      <w:bCs/>
      <w:smallCaps/>
      <w:color w:val="07AAD7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A87"/>
    <w:rPr>
      <w:rFonts w:asciiTheme="majorHAnsi" w:eastAsiaTheme="majorEastAsia" w:hAnsiTheme="majorHAnsi" w:cstheme="majorBidi"/>
      <w:smallCaps/>
      <w:color w:val="07AAD7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A87"/>
    <w:rPr>
      <w:rFonts w:asciiTheme="majorHAnsi" w:eastAsiaTheme="majorEastAsia" w:hAnsiTheme="majorHAnsi" w:cstheme="majorBidi"/>
      <w:smallCaps/>
      <w:color w:val="21B1C7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A87"/>
    <w:rPr>
      <w:rFonts w:asciiTheme="majorHAnsi" w:eastAsiaTheme="majorEastAsia" w:hAnsiTheme="majorHAnsi" w:cstheme="majorBidi"/>
      <w:b/>
      <w:bCs/>
      <w:smallCaps/>
      <w:color w:val="21B1C7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A87"/>
    <w:rPr>
      <w:rFonts w:asciiTheme="majorHAnsi" w:eastAsiaTheme="majorEastAsia" w:hAnsiTheme="majorHAnsi" w:cstheme="majorBidi"/>
      <w:b/>
      <w:smallCaps/>
      <w:color w:val="21B1C7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A87"/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A87"/>
    <w:rPr>
      <w:b/>
      <w:bCs/>
      <w:smallCaps/>
      <w:color w:val="04617B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42A8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3485B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A87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42A87"/>
    <w:pPr>
      <w:spacing w:after="600" w:line="240" w:lineRule="auto"/>
      <w:ind w:left="0"/>
    </w:pPr>
    <w:rPr>
      <w:smallCaps/>
      <w:color w:val="21B1C7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A87"/>
    <w:rPr>
      <w:smallCaps/>
      <w:color w:val="21B1C7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42A87"/>
    <w:rPr>
      <w:b/>
      <w:bCs/>
      <w:spacing w:val="0"/>
    </w:rPr>
  </w:style>
  <w:style w:type="character" w:styleId="Emphasis">
    <w:name w:val="Emphasis"/>
    <w:uiPriority w:val="20"/>
    <w:qFormat/>
    <w:rsid w:val="00B42A8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42A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A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2A87"/>
    <w:rPr>
      <w:i/>
      <w:iCs/>
      <w:color w:val="5A5A5A" w:themeColor="text1" w:themeTint="A5"/>
      <w:sz w:val="20"/>
      <w:szCs w:val="20"/>
    </w:rPr>
  </w:style>
  <w:style w:type="character" w:styleId="SubtleEmphasis">
    <w:name w:val="Subtle Emphasis"/>
    <w:uiPriority w:val="19"/>
    <w:qFormat/>
    <w:rsid w:val="00B42A8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42A87"/>
    <w:rPr>
      <w:b/>
      <w:bCs/>
      <w:smallCaps/>
      <w:color w:val="0F6FC6" w:themeColor="accent1"/>
      <w:spacing w:val="40"/>
    </w:rPr>
  </w:style>
  <w:style w:type="character" w:styleId="SubtleReference">
    <w:name w:val="Subtle Reference"/>
    <w:uiPriority w:val="31"/>
    <w:qFormat/>
    <w:rsid w:val="00B42A8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42A87"/>
    <w:rPr>
      <w:rFonts w:asciiTheme="majorHAnsi" w:eastAsiaTheme="majorEastAsia" w:hAnsiTheme="majorHAnsi" w:cstheme="majorBidi"/>
      <w:b/>
      <w:bCs/>
      <w:i/>
      <w:iCs/>
      <w:smallCaps/>
      <w:color w:val="03485B" w:themeColor="text2" w:themeShade="BF"/>
      <w:spacing w:val="20"/>
    </w:rPr>
  </w:style>
  <w:style w:type="character" w:styleId="BookTitle">
    <w:name w:val="Book Title"/>
    <w:uiPriority w:val="33"/>
    <w:qFormat/>
    <w:rsid w:val="00B42A87"/>
    <w:rPr>
      <w:rFonts w:asciiTheme="majorHAnsi" w:eastAsiaTheme="majorEastAsia" w:hAnsiTheme="majorHAnsi" w:cstheme="majorBidi"/>
      <w:b/>
      <w:bCs/>
      <w:smallCaps/>
      <w:color w:val="03485B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A8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Karuitha</dc:creator>
  <cp:keywords/>
  <dc:description/>
  <cp:lastModifiedBy>Karuitha</cp:lastModifiedBy>
  <cp:revision>13</cp:revision>
  <dcterms:created xsi:type="dcterms:W3CDTF">2011-04-30T19:53:00Z</dcterms:created>
  <dcterms:modified xsi:type="dcterms:W3CDTF">2011-05-06T11:51:00Z</dcterms:modified>
</cp:coreProperties>
</file>