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719" w:rsidRPr="00C94719" w:rsidRDefault="00C94719" w:rsidP="00C94719">
      <w:pPr>
        <w:spacing w:after="0" w:line="240" w:lineRule="auto"/>
        <w:outlineLvl w:val="1"/>
        <w:rPr>
          <w:rFonts w:ascii="Arial" w:eastAsia="Times New Roman" w:hAnsi="Arial" w:cs="Arial"/>
          <w:b/>
          <w:bCs/>
          <w:color w:val="FFFFFF"/>
          <w:sz w:val="27"/>
          <w:szCs w:val="27"/>
          <w:lang/>
        </w:rPr>
      </w:pPr>
      <w:r w:rsidRPr="00C94719">
        <w:rPr>
          <w:rFonts w:ascii="Arial" w:eastAsia="Times New Roman" w:hAnsi="Arial" w:cs="Arial"/>
          <w:b/>
          <w:bCs/>
          <w:color w:val="FFFFFF"/>
          <w:sz w:val="27"/>
          <w:szCs w:val="27"/>
          <w:lang/>
        </w:rPr>
        <w:t>How Principles and Guidelines Affect Financial Statements</w:t>
      </w: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color w:val="000000"/>
          <w:sz w:val="20"/>
          <w:szCs w:val="20"/>
          <w:lang/>
        </w:rPr>
        <w:t>The basic accounting principles and guidelines directly affect the way financial statements are prepared and interpreted. Let's look below at how accounting principles and guidelines influence the (1) balance sheet, (2) income statement, and (3) the notes to the financial statements.</w:t>
      </w:r>
    </w:p>
    <w:p w:rsidR="00C94719" w:rsidRPr="00C94719" w:rsidRDefault="00C94719" w:rsidP="00C94719">
      <w:pPr>
        <w:shd w:val="clear" w:color="auto" w:fill="FFFFFF"/>
        <w:spacing w:after="240" w:line="240" w:lineRule="auto"/>
        <w:rPr>
          <w:rFonts w:ascii="Arial" w:eastAsia="Times New Roman" w:hAnsi="Arial" w:cs="Arial"/>
          <w:color w:val="000000"/>
          <w:sz w:val="20"/>
          <w:szCs w:val="20"/>
          <w:lang/>
        </w:rPr>
      </w:pP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b/>
          <w:bCs/>
          <w:color w:val="000000"/>
          <w:sz w:val="24"/>
          <w:szCs w:val="24"/>
          <w:lang/>
        </w:rPr>
        <w:t>1. Balance Sheet</w:t>
      </w: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color w:val="000000"/>
          <w:sz w:val="20"/>
          <w:szCs w:val="20"/>
          <w:lang/>
        </w:rPr>
        <w:t xml:space="preserve">Let's see how the basic accounting principles and guidelines affect the balance sheet of Mary's Design Service, a sole proprietorship owned by Mary Smith. (To learn more about the balance sheet go to </w:t>
      </w:r>
      <w:hyperlink r:id="rId4" w:history="1">
        <w:r w:rsidRPr="00C94719">
          <w:rPr>
            <w:rFonts w:ascii="Arial" w:eastAsia="Times New Roman" w:hAnsi="Arial" w:cs="Arial"/>
            <w:b/>
            <w:bCs/>
            <w:color w:val="0000CD"/>
            <w:sz w:val="20"/>
            <w:szCs w:val="20"/>
            <w:u w:val="single"/>
            <w:lang/>
          </w:rPr>
          <w:t>Explanation of Balance Sheet</w:t>
        </w:r>
      </w:hyperlink>
      <w:r w:rsidRPr="00C94719">
        <w:rPr>
          <w:rFonts w:ascii="Arial" w:eastAsia="Times New Roman" w:hAnsi="Arial" w:cs="Arial"/>
          <w:color w:val="000000"/>
          <w:sz w:val="20"/>
          <w:szCs w:val="20"/>
          <w:lang/>
        </w:rPr>
        <w:t xml:space="preserve"> and </w:t>
      </w:r>
      <w:hyperlink r:id="rId5" w:history="1">
        <w:r w:rsidRPr="00C94719">
          <w:rPr>
            <w:rFonts w:ascii="Arial" w:eastAsia="Times New Roman" w:hAnsi="Arial" w:cs="Arial"/>
            <w:b/>
            <w:bCs/>
            <w:color w:val="0000CD"/>
            <w:sz w:val="20"/>
            <w:szCs w:val="20"/>
            <w:u w:val="single"/>
            <w:lang/>
          </w:rPr>
          <w:t>Drills for Balance Sheet</w:t>
        </w:r>
      </w:hyperlink>
      <w:r w:rsidRPr="00C94719">
        <w:rPr>
          <w:rFonts w:ascii="Arial" w:eastAsia="Times New Roman" w:hAnsi="Arial" w:cs="Arial"/>
          <w:color w:val="000000"/>
          <w:sz w:val="20"/>
          <w:szCs w:val="20"/>
          <w:lang/>
        </w:rPr>
        <w:t>.)</w:t>
      </w:r>
    </w:p>
    <w:p w:rsidR="00C94719" w:rsidRPr="00C94719" w:rsidRDefault="00C94719" w:rsidP="00C94719">
      <w:pPr>
        <w:shd w:val="clear" w:color="auto" w:fill="FFFFFF"/>
        <w:spacing w:after="0" w:line="240" w:lineRule="auto"/>
        <w:rPr>
          <w:rFonts w:ascii="Arial" w:eastAsia="Times New Roman" w:hAnsi="Arial" w:cs="Arial"/>
          <w:color w:val="000000"/>
          <w:sz w:val="20"/>
          <w:szCs w:val="20"/>
          <w:lang/>
        </w:rPr>
      </w:pP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color w:val="000000"/>
          <w:sz w:val="20"/>
          <w:szCs w:val="20"/>
          <w:lang/>
        </w:rPr>
        <w:t xml:space="preserve">A </w:t>
      </w:r>
      <w:r w:rsidRPr="00C94719">
        <w:rPr>
          <w:rFonts w:ascii="Arial" w:eastAsia="Times New Roman" w:hAnsi="Arial" w:cs="Arial"/>
          <w:b/>
          <w:bCs/>
          <w:color w:val="000000"/>
          <w:sz w:val="20"/>
          <w:szCs w:val="20"/>
          <w:lang/>
        </w:rPr>
        <w:t>balance sheet</w:t>
      </w:r>
      <w:r w:rsidRPr="00C94719">
        <w:rPr>
          <w:rFonts w:ascii="Arial" w:eastAsia="Times New Roman" w:hAnsi="Arial" w:cs="Arial"/>
          <w:color w:val="000000"/>
          <w:sz w:val="20"/>
          <w:szCs w:val="20"/>
          <w:lang/>
        </w:rPr>
        <w:t xml:space="preserve"> is a snapshot of a company's assets, liabilities, and owner's equity at one point in time. (In this case, that point in time is after all of the transactions through September 30, 2009 </w:t>
      </w:r>
      <w:proofErr w:type="gramStart"/>
      <w:r w:rsidRPr="00C94719">
        <w:rPr>
          <w:rFonts w:ascii="Arial" w:eastAsia="Times New Roman" w:hAnsi="Arial" w:cs="Arial"/>
          <w:color w:val="000000"/>
          <w:sz w:val="20"/>
          <w:szCs w:val="20"/>
          <w:lang/>
        </w:rPr>
        <w:t>have</w:t>
      </w:r>
      <w:proofErr w:type="gramEnd"/>
      <w:r w:rsidRPr="00C94719">
        <w:rPr>
          <w:rFonts w:ascii="Arial" w:eastAsia="Times New Roman" w:hAnsi="Arial" w:cs="Arial"/>
          <w:color w:val="000000"/>
          <w:sz w:val="20"/>
          <w:szCs w:val="20"/>
          <w:lang/>
        </w:rPr>
        <w:t xml:space="preserve"> been recorded.) Because of the </w:t>
      </w:r>
      <w:hyperlink r:id="rId6" w:history="1">
        <w:r w:rsidRPr="00C94719">
          <w:rPr>
            <w:rFonts w:ascii="Arial" w:eastAsia="Times New Roman" w:hAnsi="Arial" w:cs="Arial"/>
            <w:b/>
            <w:bCs/>
            <w:color w:val="0000CD"/>
            <w:sz w:val="20"/>
            <w:szCs w:val="20"/>
            <w:u w:val="single"/>
            <w:lang/>
          </w:rPr>
          <w:t>economic entity assumption</w:t>
        </w:r>
      </w:hyperlink>
      <w:r w:rsidRPr="00C94719">
        <w:rPr>
          <w:rFonts w:ascii="Arial" w:eastAsia="Times New Roman" w:hAnsi="Arial" w:cs="Arial"/>
          <w:color w:val="000000"/>
          <w:sz w:val="20"/>
          <w:szCs w:val="20"/>
          <w:lang/>
        </w:rPr>
        <w:t>, only the assets, liabilities, and owner's equity specifically identified with Mary's Design Service are shown—the personal assets of the owner, Mary Smith, are not included on the company's balance sheet.</w:t>
      </w:r>
    </w:p>
    <w:p w:rsidR="00000000" w:rsidRDefault="00C94719"/>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color w:val="000000"/>
          <w:sz w:val="20"/>
          <w:szCs w:val="20"/>
          <w:lang/>
        </w:rPr>
        <w:t xml:space="preserve">The assets listed on the balance sheet have a cost that can be measured and each amount shown is the original cost of each asset. For example, let's assume that a tract of land was purchased in 1956 for $10,000. Mary's Design Service still owns the land, and the land is now appraised at $250,000. The </w:t>
      </w:r>
      <w:hyperlink r:id="rId7" w:history="1">
        <w:r w:rsidRPr="00C94719">
          <w:rPr>
            <w:rFonts w:ascii="Arial" w:eastAsia="Times New Roman" w:hAnsi="Arial" w:cs="Arial"/>
            <w:b/>
            <w:bCs/>
            <w:color w:val="0000CD"/>
            <w:sz w:val="20"/>
            <w:szCs w:val="20"/>
            <w:lang/>
          </w:rPr>
          <w:t>cost principle</w:t>
        </w:r>
      </w:hyperlink>
      <w:r w:rsidRPr="00C94719">
        <w:rPr>
          <w:rFonts w:ascii="Arial" w:eastAsia="Times New Roman" w:hAnsi="Arial" w:cs="Arial"/>
          <w:color w:val="000000"/>
          <w:sz w:val="20"/>
          <w:szCs w:val="20"/>
          <w:lang/>
        </w:rPr>
        <w:t xml:space="preserve"> requires that the land be shown in the asset account Land at its original cost of $10,000 rather than at the recently appraised amount of $250,000.</w:t>
      </w:r>
    </w:p>
    <w:p w:rsidR="00C94719" w:rsidRPr="00C94719" w:rsidRDefault="00C94719" w:rsidP="00C94719">
      <w:pPr>
        <w:shd w:val="clear" w:color="auto" w:fill="FFFFFF"/>
        <w:spacing w:after="0" w:line="240" w:lineRule="auto"/>
        <w:rPr>
          <w:rFonts w:ascii="Arial" w:eastAsia="Times New Roman" w:hAnsi="Arial" w:cs="Arial"/>
          <w:color w:val="000000"/>
          <w:sz w:val="20"/>
          <w:szCs w:val="20"/>
          <w:lang/>
        </w:rPr>
      </w:pP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color w:val="000000"/>
          <w:sz w:val="20"/>
          <w:szCs w:val="20"/>
          <w:lang/>
        </w:rPr>
        <w:t xml:space="preserve">If Mary's Design Service were to purchase a second piece of land, the </w:t>
      </w:r>
      <w:hyperlink r:id="rId8" w:history="1">
        <w:r w:rsidRPr="00C94719">
          <w:rPr>
            <w:rFonts w:ascii="Arial" w:eastAsia="Times New Roman" w:hAnsi="Arial" w:cs="Arial"/>
            <w:b/>
            <w:bCs/>
            <w:color w:val="0000CD"/>
            <w:sz w:val="20"/>
            <w:szCs w:val="20"/>
            <w:lang/>
          </w:rPr>
          <w:t>monetary unit assumption</w:t>
        </w:r>
      </w:hyperlink>
      <w:r w:rsidRPr="00C94719">
        <w:rPr>
          <w:rFonts w:ascii="Arial" w:eastAsia="Times New Roman" w:hAnsi="Arial" w:cs="Arial"/>
          <w:color w:val="000000"/>
          <w:sz w:val="20"/>
          <w:szCs w:val="20"/>
          <w:lang/>
        </w:rPr>
        <w:t xml:space="preserve"> dictates that the purchase price of the land bought today would simply be added to the purchase price of the land bought in 1956, and the sum of the two purchase prices would be reported as the total cost of land.</w:t>
      </w:r>
    </w:p>
    <w:p w:rsidR="00C94719" w:rsidRPr="00C94719" w:rsidRDefault="00C94719" w:rsidP="00C94719">
      <w:pPr>
        <w:shd w:val="clear" w:color="auto" w:fill="FFFFFF"/>
        <w:spacing w:after="0" w:line="240" w:lineRule="auto"/>
        <w:rPr>
          <w:rFonts w:ascii="Arial" w:eastAsia="Times New Roman" w:hAnsi="Arial" w:cs="Arial"/>
          <w:color w:val="000000"/>
          <w:sz w:val="20"/>
          <w:szCs w:val="20"/>
          <w:lang/>
        </w:rPr>
      </w:pP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color w:val="000000"/>
          <w:sz w:val="20"/>
          <w:szCs w:val="20"/>
          <w:lang/>
        </w:rPr>
        <w:t xml:space="preserve">The Supplies account shows the cost of supplies (if material in amount) that were obtained by Mary's Design Service but have not yet been used. As the supplies are consumed, their cost will be moved to the Supplies Expense account on the income statement. This complies with the </w:t>
      </w:r>
      <w:hyperlink r:id="rId9" w:history="1">
        <w:r w:rsidRPr="00C94719">
          <w:rPr>
            <w:rFonts w:ascii="Arial" w:eastAsia="Times New Roman" w:hAnsi="Arial" w:cs="Arial"/>
            <w:b/>
            <w:bCs/>
            <w:color w:val="0000CD"/>
            <w:sz w:val="20"/>
            <w:szCs w:val="20"/>
            <w:lang/>
          </w:rPr>
          <w:t>matching principle</w:t>
        </w:r>
      </w:hyperlink>
      <w:r w:rsidRPr="00C94719">
        <w:rPr>
          <w:rFonts w:ascii="Arial" w:eastAsia="Times New Roman" w:hAnsi="Arial" w:cs="Arial"/>
          <w:color w:val="000000"/>
          <w:sz w:val="20"/>
          <w:szCs w:val="20"/>
          <w:lang/>
        </w:rPr>
        <w:t xml:space="preserve"> which requires expenses to be matched either with revenues or with the time period when they are used. The cost of the unused supplies remains on the balance sheet in the asset account Supplies.</w:t>
      </w:r>
    </w:p>
    <w:p w:rsidR="00C94719" w:rsidRPr="00C94719" w:rsidRDefault="00C94719" w:rsidP="00C94719">
      <w:pPr>
        <w:shd w:val="clear" w:color="auto" w:fill="FFFFFF"/>
        <w:spacing w:after="0" w:line="240" w:lineRule="auto"/>
        <w:rPr>
          <w:rFonts w:ascii="Arial" w:eastAsia="Times New Roman" w:hAnsi="Arial" w:cs="Arial"/>
          <w:color w:val="000000"/>
          <w:sz w:val="20"/>
          <w:szCs w:val="20"/>
          <w:lang/>
        </w:rPr>
      </w:pP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color w:val="000000"/>
          <w:sz w:val="20"/>
          <w:szCs w:val="20"/>
          <w:lang/>
        </w:rPr>
        <w:t xml:space="preserve">The Prepaid Insurance account represents the cost of insurance that has not yet expired. As the insurance expires, the expired cost is moved to </w:t>
      </w:r>
      <w:hyperlink r:id="rId10" w:history="1">
        <w:r w:rsidRPr="00C94719">
          <w:rPr>
            <w:rFonts w:ascii="Arial" w:eastAsia="Times New Roman" w:hAnsi="Arial" w:cs="Arial"/>
            <w:b/>
            <w:bCs/>
            <w:color w:val="0000CD"/>
            <w:sz w:val="20"/>
            <w:szCs w:val="20"/>
            <w:lang/>
          </w:rPr>
          <w:t>Insurance Expense</w:t>
        </w:r>
      </w:hyperlink>
      <w:r w:rsidRPr="00C94719">
        <w:rPr>
          <w:rFonts w:ascii="Arial" w:eastAsia="Times New Roman" w:hAnsi="Arial" w:cs="Arial"/>
          <w:color w:val="000000"/>
          <w:sz w:val="20"/>
          <w:szCs w:val="20"/>
          <w:lang/>
        </w:rPr>
        <w:t xml:space="preserve"> on the income statement as required by the matching principle. The cost of the insurance that has not yet expired remains on Mary's Design Service's balance sheet (is "deferred" to the balance sheet) in the asset account Prepaid Insurance. Deferring insurance expense to the balance sheet is possible because of another basic accounting principle, the </w:t>
      </w:r>
      <w:hyperlink r:id="rId11" w:history="1">
        <w:r w:rsidRPr="00C94719">
          <w:rPr>
            <w:rFonts w:ascii="Arial" w:eastAsia="Times New Roman" w:hAnsi="Arial" w:cs="Arial"/>
            <w:b/>
            <w:bCs/>
            <w:color w:val="0000CD"/>
            <w:sz w:val="20"/>
            <w:szCs w:val="20"/>
            <w:lang/>
          </w:rPr>
          <w:t>going concern assumption</w:t>
        </w:r>
      </w:hyperlink>
      <w:r w:rsidRPr="00C94719">
        <w:rPr>
          <w:rFonts w:ascii="Arial" w:eastAsia="Times New Roman" w:hAnsi="Arial" w:cs="Arial"/>
          <w:color w:val="000000"/>
          <w:sz w:val="20"/>
          <w:szCs w:val="20"/>
          <w:lang/>
        </w:rPr>
        <w:t>.</w:t>
      </w:r>
    </w:p>
    <w:p w:rsidR="00C94719" w:rsidRPr="00C94719" w:rsidRDefault="00C94719" w:rsidP="00C94719">
      <w:pPr>
        <w:shd w:val="clear" w:color="auto" w:fill="FFFFFF"/>
        <w:spacing w:after="0" w:line="240" w:lineRule="auto"/>
        <w:rPr>
          <w:rFonts w:ascii="Arial" w:eastAsia="Times New Roman" w:hAnsi="Arial" w:cs="Arial"/>
          <w:color w:val="000000"/>
          <w:sz w:val="20"/>
          <w:szCs w:val="20"/>
          <w:lang/>
        </w:rPr>
      </w:pP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color w:val="000000"/>
          <w:sz w:val="20"/>
          <w:szCs w:val="20"/>
          <w:lang/>
        </w:rPr>
        <w:t>The cost principle and monetary unit assumption prevent some very valuable assets from ever appearing on a company's balance sheet. For example, companies that sell consumer products with high profile brand names, trade names, trademarks, and logos are not reported on their balance sheets because they were not purchased. For example, Coca-Cola's logo and Nike's logo are probably the most valuable assets of such companies, yet they are not listed as assets on the company balance sheet. Similarly, a company might have an excellent reputation and a very skilled management team, but because these were not purchased for a specific cost and we cannot objectively measure them in dollars, they are not reported as assets on the balance sheet. If a company actually purchases the trademark of another company for a significant cost, the amount paid for the trademark will be reported as an asset on the balance sheet of the company that bought the trademark.</w:t>
      </w:r>
    </w:p>
    <w:p w:rsidR="00C94719" w:rsidRPr="00C94719" w:rsidRDefault="00C94719" w:rsidP="00C94719">
      <w:pPr>
        <w:shd w:val="clear" w:color="auto" w:fill="FFFFFF"/>
        <w:spacing w:after="0" w:line="240" w:lineRule="auto"/>
        <w:rPr>
          <w:rFonts w:ascii="Arial" w:eastAsia="Times New Roman" w:hAnsi="Arial" w:cs="Arial"/>
          <w:color w:val="000000"/>
          <w:sz w:val="20"/>
          <w:szCs w:val="20"/>
          <w:lang/>
        </w:rPr>
      </w:pPr>
      <w:r w:rsidRPr="00C94719">
        <w:rPr>
          <w:rFonts w:ascii="Arial" w:eastAsia="Times New Roman" w:hAnsi="Arial" w:cs="Arial"/>
          <w:color w:val="000000"/>
          <w:sz w:val="20"/>
          <w:szCs w:val="20"/>
          <w:lang/>
        </w:rPr>
        <w:br/>
      </w:r>
      <w:r w:rsidRPr="00C94719">
        <w:rPr>
          <w:rFonts w:ascii="Times New Roman" w:eastAsia="Times New Roman" w:hAnsi="Times New Roman" w:cs="Times New Roman"/>
          <w:sz w:val="24"/>
          <w:szCs w:val="24"/>
          <w:lang/>
        </w:rPr>
        <w:pict/>
      </w:r>
      <w:r w:rsidRPr="00C94719">
        <w:rPr>
          <w:rFonts w:ascii="Times New Roman" w:eastAsia="Times New Roman" w:hAnsi="Times New Roman" w:cs="Times New Roman"/>
          <w:sz w:val="24"/>
          <w:szCs w:val="24"/>
          <w:lang/>
        </w:rPr>
        <w:pict/>
      </w:r>
    </w:p>
    <w:p w:rsidR="00C94719" w:rsidRPr="00C94719" w:rsidRDefault="00C94719" w:rsidP="00C94719">
      <w:pPr>
        <w:shd w:val="clear" w:color="auto" w:fill="FFFFFF"/>
        <w:spacing w:after="0" w:line="240" w:lineRule="auto"/>
        <w:rPr>
          <w:rFonts w:ascii="Arial" w:eastAsia="Times New Roman" w:hAnsi="Arial" w:cs="Arial"/>
          <w:color w:val="000000"/>
          <w:sz w:val="20"/>
          <w:szCs w:val="20"/>
          <w:lang/>
        </w:rPr>
      </w:pPr>
      <w:r>
        <w:rPr>
          <w:rFonts w:ascii="Arial" w:eastAsia="Times New Roman" w:hAnsi="Arial" w:cs="Arial"/>
          <w:noProof/>
          <w:color w:val="000000"/>
          <w:sz w:val="20"/>
          <w:szCs w:val="20"/>
        </w:rPr>
        <w:lastRenderedPageBreak/>
        <w:drawing>
          <wp:inline distT="0" distB="0" distL="0" distR="0">
            <wp:extent cx="9525" cy="9525"/>
            <wp:effectExtent l="0" t="0" r="0" b="0"/>
            <wp:docPr id="3" name="Picture 3" descr="http://www.accountingcoach.com/openads/www/delivery/lg.php?bannerid=9&amp;campaignid=6&amp;zoneid=6&amp;channel_ids=,&amp;loc=http%3A%2F%2Fwww.accountingcoach.com%2Fonline-accounting-course%2F09Xpg02.html&amp;cb=ce89fbe7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ccountingcoach.com/openads/www/delivery/lg.php?bannerid=9&amp;campaignid=6&amp;zoneid=6&amp;channel_ids=,&amp;loc=http%3A%2F%2Fwww.accountingcoach.com%2Fonline-accounting-course%2F09Xpg02.html&amp;cb=ce89fbe76a"/>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C94719" w:rsidRPr="00C94719" w:rsidRDefault="00C94719" w:rsidP="00C94719">
      <w:pPr>
        <w:shd w:val="clear" w:color="auto" w:fill="FFFFFF"/>
        <w:spacing w:after="240" w:line="240" w:lineRule="auto"/>
        <w:rPr>
          <w:rFonts w:ascii="Arial" w:eastAsia="Times New Roman" w:hAnsi="Arial" w:cs="Arial"/>
          <w:color w:val="000000"/>
          <w:sz w:val="20"/>
          <w:szCs w:val="20"/>
          <w:lang/>
        </w:rPr>
      </w:pPr>
      <w:r w:rsidRPr="00C94719">
        <w:rPr>
          <w:rFonts w:ascii="Arial" w:eastAsia="Times New Roman" w:hAnsi="Arial" w:cs="Arial"/>
          <w:color w:val="000000"/>
          <w:sz w:val="20"/>
          <w:szCs w:val="20"/>
          <w:lang/>
        </w:rPr>
        <w:br/>
      </w: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b/>
          <w:bCs/>
          <w:color w:val="000000"/>
          <w:sz w:val="24"/>
          <w:szCs w:val="24"/>
          <w:lang/>
        </w:rPr>
        <w:t>2. Income Statement</w:t>
      </w: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color w:val="000000"/>
          <w:sz w:val="20"/>
          <w:szCs w:val="20"/>
          <w:lang/>
        </w:rPr>
        <w:t xml:space="preserve">Let's see how the basic accounting principles and guidelines might affect the income statement of Mary's Design Service. (To learn more about the income statement go to </w:t>
      </w:r>
      <w:hyperlink r:id="rId13" w:history="1">
        <w:r w:rsidRPr="00C94719">
          <w:rPr>
            <w:rFonts w:ascii="Arial" w:eastAsia="Times New Roman" w:hAnsi="Arial" w:cs="Arial"/>
            <w:b/>
            <w:bCs/>
            <w:color w:val="0000CD"/>
            <w:sz w:val="20"/>
            <w:szCs w:val="20"/>
            <w:lang/>
          </w:rPr>
          <w:t>Explanation of Income Statement</w:t>
        </w:r>
      </w:hyperlink>
      <w:r w:rsidRPr="00C94719">
        <w:rPr>
          <w:rFonts w:ascii="Arial" w:eastAsia="Times New Roman" w:hAnsi="Arial" w:cs="Arial"/>
          <w:color w:val="000000"/>
          <w:sz w:val="20"/>
          <w:szCs w:val="20"/>
          <w:lang/>
        </w:rPr>
        <w:t xml:space="preserve"> and </w:t>
      </w:r>
      <w:hyperlink r:id="rId14" w:history="1">
        <w:r w:rsidRPr="00C94719">
          <w:rPr>
            <w:rFonts w:ascii="Arial" w:eastAsia="Times New Roman" w:hAnsi="Arial" w:cs="Arial"/>
            <w:b/>
            <w:bCs/>
            <w:color w:val="0000CD"/>
            <w:sz w:val="20"/>
            <w:szCs w:val="20"/>
            <w:lang/>
          </w:rPr>
          <w:t>Drills for Income Statement</w:t>
        </w:r>
      </w:hyperlink>
      <w:r w:rsidRPr="00C94719">
        <w:rPr>
          <w:rFonts w:ascii="Arial" w:eastAsia="Times New Roman" w:hAnsi="Arial" w:cs="Arial"/>
          <w:color w:val="000000"/>
          <w:sz w:val="20"/>
          <w:szCs w:val="20"/>
          <w:lang/>
        </w:rPr>
        <w:t>.)</w:t>
      </w:r>
    </w:p>
    <w:p w:rsidR="00C94719" w:rsidRPr="00C94719" w:rsidRDefault="00C94719" w:rsidP="00C94719">
      <w:pPr>
        <w:shd w:val="clear" w:color="auto" w:fill="FFFFFF"/>
        <w:spacing w:after="0" w:line="240" w:lineRule="auto"/>
        <w:rPr>
          <w:rFonts w:ascii="Arial" w:eastAsia="Times New Roman" w:hAnsi="Arial" w:cs="Arial"/>
          <w:color w:val="000000"/>
          <w:sz w:val="20"/>
          <w:szCs w:val="20"/>
          <w:lang/>
        </w:rPr>
      </w:pP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color w:val="000000"/>
          <w:sz w:val="20"/>
          <w:szCs w:val="20"/>
          <w:lang/>
        </w:rPr>
        <w:t xml:space="preserve">An </w:t>
      </w:r>
      <w:hyperlink r:id="rId15" w:history="1">
        <w:r w:rsidRPr="00C94719">
          <w:rPr>
            <w:rFonts w:ascii="Arial" w:eastAsia="Times New Roman" w:hAnsi="Arial" w:cs="Arial"/>
            <w:b/>
            <w:bCs/>
            <w:color w:val="0000CD"/>
            <w:sz w:val="20"/>
            <w:szCs w:val="20"/>
            <w:lang/>
          </w:rPr>
          <w:t>income statement</w:t>
        </w:r>
      </w:hyperlink>
      <w:r w:rsidRPr="00C94719">
        <w:rPr>
          <w:rFonts w:ascii="Arial" w:eastAsia="Times New Roman" w:hAnsi="Arial" w:cs="Arial"/>
          <w:color w:val="000000"/>
          <w:sz w:val="20"/>
          <w:szCs w:val="20"/>
          <w:lang/>
        </w:rPr>
        <w:t xml:space="preserve"> covers a period of time (or time interval), such as a year, quarter, month, or four weeks. It is imperative to indicate the period of time in the heading of the income statement such as "For the Nine Months Ended September 30, 2009". (This means for the period of January 1 through September 30, 2009.) If prepared under the </w:t>
      </w:r>
      <w:hyperlink r:id="rId16" w:history="1">
        <w:r w:rsidRPr="00C94719">
          <w:rPr>
            <w:rFonts w:ascii="Arial" w:eastAsia="Times New Roman" w:hAnsi="Arial" w:cs="Arial"/>
            <w:b/>
            <w:bCs/>
            <w:color w:val="0000CD"/>
            <w:sz w:val="20"/>
            <w:szCs w:val="20"/>
            <w:lang/>
          </w:rPr>
          <w:t>accrual basis of accounting</w:t>
        </w:r>
      </w:hyperlink>
      <w:r w:rsidRPr="00C94719">
        <w:rPr>
          <w:rFonts w:ascii="Arial" w:eastAsia="Times New Roman" w:hAnsi="Arial" w:cs="Arial"/>
          <w:color w:val="000000"/>
          <w:sz w:val="20"/>
          <w:szCs w:val="20"/>
          <w:lang/>
        </w:rPr>
        <w:t>, an income statement will show how profitable a company was during the stated time interval.</w:t>
      </w:r>
    </w:p>
    <w:p w:rsidR="00C94719" w:rsidRDefault="00C94719"/>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b/>
          <w:bCs/>
          <w:color w:val="000000"/>
          <w:sz w:val="20"/>
          <w:szCs w:val="20"/>
          <w:lang/>
        </w:rPr>
        <w:t>Revenues</w:t>
      </w:r>
      <w:r w:rsidRPr="00C94719">
        <w:rPr>
          <w:rFonts w:ascii="Arial" w:eastAsia="Times New Roman" w:hAnsi="Arial" w:cs="Arial"/>
          <w:color w:val="000000"/>
          <w:sz w:val="20"/>
          <w:szCs w:val="20"/>
          <w:lang/>
        </w:rPr>
        <w:t xml:space="preserve"> are the fees that were earned during the period of time shown in the heading. Recognizing revenues when they are earned instead of when the cash is actually received follows the </w:t>
      </w:r>
      <w:hyperlink r:id="rId17" w:history="1">
        <w:r w:rsidRPr="00C94719">
          <w:rPr>
            <w:rFonts w:ascii="Arial" w:eastAsia="Times New Roman" w:hAnsi="Arial" w:cs="Arial"/>
            <w:b/>
            <w:bCs/>
            <w:color w:val="0000CD"/>
            <w:sz w:val="20"/>
            <w:szCs w:val="20"/>
            <w:lang/>
          </w:rPr>
          <w:t>revenue recognition principle</w:t>
        </w:r>
      </w:hyperlink>
      <w:r w:rsidRPr="00C94719">
        <w:rPr>
          <w:rFonts w:ascii="Arial" w:eastAsia="Times New Roman" w:hAnsi="Arial" w:cs="Arial"/>
          <w:color w:val="000000"/>
          <w:sz w:val="20"/>
          <w:szCs w:val="20"/>
          <w:lang/>
        </w:rPr>
        <w:t xml:space="preserve"> and the </w:t>
      </w:r>
      <w:hyperlink r:id="rId18" w:history="1">
        <w:r w:rsidRPr="00C94719">
          <w:rPr>
            <w:rFonts w:ascii="Arial" w:eastAsia="Times New Roman" w:hAnsi="Arial" w:cs="Arial"/>
            <w:b/>
            <w:bCs/>
            <w:color w:val="0000CD"/>
            <w:sz w:val="20"/>
            <w:szCs w:val="20"/>
            <w:lang/>
          </w:rPr>
          <w:t>matching principle</w:t>
        </w:r>
      </w:hyperlink>
      <w:r w:rsidRPr="00C94719">
        <w:rPr>
          <w:rFonts w:ascii="Arial" w:eastAsia="Times New Roman" w:hAnsi="Arial" w:cs="Arial"/>
          <w:color w:val="000000"/>
          <w:sz w:val="20"/>
          <w:szCs w:val="20"/>
          <w:lang/>
        </w:rPr>
        <w:t>. (The matching principle is what steers accountants toward using the accrual basis of accounting rather than the cash basis. Small business owners should discuss these two methods with their tax advisors.)</w:t>
      </w:r>
    </w:p>
    <w:p w:rsidR="00C94719" w:rsidRPr="00C94719" w:rsidRDefault="00C94719" w:rsidP="00C94719">
      <w:pPr>
        <w:shd w:val="clear" w:color="auto" w:fill="FFFFFF"/>
        <w:spacing w:after="0" w:line="240" w:lineRule="auto"/>
        <w:rPr>
          <w:rFonts w:ascii="Arial" w:eastAsia="Times New Roman" w:hAnsi="Arial" w:cs="Arial"/>
          <w:color w:val="000000"/>
          <w:sz w:val="20"/>
          <w:szCs w:val="20"/>
          <w:lang/>
        </w:rPr>
      </w:pP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b/>
          <w:bCs/>
          <w:color w:val="000000"/>
          <w:sz w:val="20"/>
          <w:szCs w:val="20"/>
          <w:lang/>
        </w:rPr>
        <w:t>Gains</w:t>
      </w:r>
      <w:r w:rsidRPr="00C94719">
        <w:rPr>
          <w:rFonts w:ascii="Arial" w:eastAsia="Times New Roman" w:hAnsi="Arial" w:cs="Arial"/>
          <w:color w:val="000000"/>
          <w:sz w:val="20"/>
          <w:szCs w:val="20"/>
          <w:lang/>
        </w:rPr>
        <w:t xml:space="preserve"> are a net amount related to transactions that are not considered part of the company's main operations. For example, Mary's Design Service is in the business of designing, not in the land development business. If the company should sell some land for $30,000 (land that is shown in the company's accounting records at $25,000) Mary's Design Service will report a </w:t>
      </w:r>
      <w:hyperlink r:id="rId19" w:history="1">
        <w:r w:rsidRPr="00C94719">
          <w:rPr>
            <w:rFonts w:ascii="Arial" w:eastAsia="Times New Roman" w:hAnsi="Arial" w:cs="Arial"/>
            <w:b/>
            <w:bCs/>
            <w:color w:val="0000CD"/>
            <w:sz w:val="20"/>
            <w:szCs w:val="20"/>
            <w:lang/>
          </w:rPr>
          <w:t>Gain on Sale of Land</w:t>
        </w:r>
      </w:hyperlink>
      <w:r w:rsidRPr="00C94719">
        <w:rPr>
          <w:rFonts w:ascii="Arial" w:eastAsia="Times New Roman" w:hAnsi="Arial" w:cs="Arial"/>
          <w:color w:val="000000"/>
          <w:sz w:val="20"/>
          <w:szCs w:val="20"/>
          <w:lang/>
        </w:rPr>
        <w:t xml:space="preserve"> of $5,000. The $30,000 selling price will </w:t>
      </w:r>
      <w:r w:rsidRPr="00C94719">
        <w:rPr>
          <w:rFonts w:ascii="Arial" w:eastAsia="Times New Roman" w:hAnsi="Arial" w:cs="Arial"/>
          <w:i/>
          <w:iCs/>
          <w:color w:val="000000"/>
          <w:sz w:val="20"/>
          <w:szCs w:val="20"/>
          <w:lang/>
        </w:rPr>
        <w:t>not</w:t>
      </w:r>
      <w:r w:rsidRPr="00C94719">
        <w:rPr>
          <w:rFonts w:ascii="Arial" w:eastAsia="Times New Roman" w:hAnsi="Arial" w:cs="Arial"/>
          <w:color w:val="000000"/>
          <w:sz w:val="20"/>
          <w:szCs w:val="20"/>
          <w:lang/>
        </w:rPr>
        <w:t xml:space="preserve"> be reported as part of the company's revenues.</w:t>
      </w:r>
    </w:p>
    <w:p w:rsidR="00C94719" w:rsidRPr="00C94719" w:rsidRDefault="00C94719" w:rsidP="00C94719">
      <w:pPr>
        <w:shd w:val="clear" w:color="auto" w:fill="FFFFFF"/>
        <w:spacing w:after="0" w:line="240" w:lineRule="auto"/>
        <w:rPr>
          <w:rFonts w:ascii="Arial" w:eastAsia="Times New Roman" w:hAnsi="Arial" w:cs="Arial"/>
          <w:color w:val="000000"/>
          <w:sz w:val="20"/>
          <w:szCs w:val="20"/>
          <w:lang/>
        </w:rPr>
      </w:pP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b/>
          <w:bCs/>
          <w:color w:val="000000"/>
          <w:sz w:val="20"/>
          <w:szCs w:val="20"/>
          <w:lang/>
        </w:rPr>
        <w:t>Expenses</w:t>
      </w:r>
      <w:r w:rsidRPr="00C94719">
        <w:rPr>
          <w:rFonts w:ascii="Arial" w:eastAsia="Times New Roman" w:hAnsi="Arial" w:cs="Arial"/>
          <w:color w:val="000000"/>
          <w:sz w:val="20"/>
          <w:szCs w:val="20"/>
          <w:lang/>
        </w:rPr>
        <w:t xml:space="preserve"> are costs used up by the company in performing its main operations. The matching principle requires that expenses be reported on the income statement when the related sales are made or when the costs are used up (rather than in the period when they are paid).</w:t>
      </w:r>
    </w:p>
    <w:p w:rsidR="00C94719" w:rsidRPr="00C94719" w:rsidRDefault="00C94719" w:rsidP="00C94719">
      <w:pPr>
        <w:shd w:val="clear" w:color="auto" w:fill="FFFFFF"/>
        <w:spacing w:after="0" w:line="240" w:lineRule="auto"/>
        <w:rPr>
          <w:rFonts w:ascii="Arial" w:eastAsia="Times New Roman" w:hAnsi="Arial" w:cs="Arial"/>
          <w:color w:val="000000"/>
          <w:sz w:val="20"/>
          <w:szCs w:val="20"/>
          <w:lang/>
        </w:rPr>
      </w:pP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b/>
          <w:bCs/>
          <w:color w:val="000000"/>
          <w:sz w:val="20"/>
          <w:szCs w:val="20"/>
          <w:lang/>
        </w:rPr>
        <w:t>Losses</w:t>
      </w:r>
      <w:r w:rsidRPr="00C94719">
        <w:rPr>
          <w:rFonts w:ascii="Arial" w:eastAsia="Times New Roman" w:hAnsi="Arial" w:cs="Arial"/>
          <w:color w:val="000000"/>
          <w:sz w:val="20"/>
          <w:szCs w:val="20"/>
          <w:lang/>
        </w:rPr>
        <w:t xml:space="preserve"> are a net amount related to transactions that are not considered part of the company's main operating activities. For example, let's say a retail clothing company owns an old computer that is carried on its accounting records at $650. If the company sells that computer for $300, the company </w:t>
      </w:r>
      <w:r w:rsidRPr="00C94719">
        <w:rPr>
          <w:rFonts w:ascii="Arial" w:eastAsia="Times New Roman" w:hAnsi="Arial" w:cs="Arial"/>
          <w:i/>
          <w:iCs/>
          <w:color w:val="000000"/>
          <w:sz w:val="20"/>
          <w:szCs w:val="20"/>
          <w:lang/>
        </w:rPr>
        <w:t>receives</w:t>
      </w:r>
      <w:r w:rsidRPr="00C94719">
        <w:rPr>
          <w:rFonts w:ascii="Arial" w:eastAsia="Times New Roman" w:hAnsi="Arial" w:cs="Arial"/>
          <w:color w:val="000000"/>
          <w:sz w:val="20"/>
          <w:szCs w:val="20"/>
          <w:lang/>
        </w:rPr>
        <w:t xml:space="preserve"> an asset (cash of $300) but it must also remove $650 of asset amounts from its accounting records. The result is a </w:t>
      </w:r>
      <w:hyperlink r:id="rId20" w:history="1">
        <w:r w:rsidRPr="00C94719">
          <w:rPr>
            <w:rFonts w:ascii="Arial" w:eastAsia="Times New Roman" w:hAnsi="Arial" w:cs="Arial"/>
            <w:b/>
            <w:bCs/>
            <w:color w:val="0000CD"/>
            <w:sz w:val="20"/>
            <w:szCs w:val="20"/>
            <w:lang/>
          </w:rPr>
          <w:t>Loss on Sale of Computer</w:t>
        </w:r>
      </w:hyperlink>
      <w:r w:rsidRPr="00C94719">
        <w:rPr>
          <w:rFonts w:ascii="Arial" w:eastAsia="Times New Roman" w:hAnsi="Arial" w:cs="Arial"/>
          <w:color w:val="000000"/>
          <w:sz w:val="20"/>
          <w:szCs w:val="20"/>
          <w:lang/>
        </w:rPr>
        <w:t xml:space="preserve"> of $350. The $300 selling price will </w:t>
      </w:r>
      <w:r w:rsidRPr="00C94719">
        <w:rPr>
          <w:rFonts w:ascii="Arial" w:eastAsia="Times New Roman" w:hAnsi="Arial" w:cs="Arial"/>
          <w:i/>
          <w:iCs/>
          <w:color w:val="000000"/>
          <w:sz w:val="20"/>
          <w:szCs w:val="20"/>
          <w:lang/>
        </w:rPr>
        <w:t>not</w:t>
      </w:r>
      <w:r w:rsidRPr="00C94719">
        <w:rPr>
          <w:rFonts w:ascii="Arial" w:eastAsia="Times New Roman" w:hAnsi="Arial" w:cs="Arial"/>
          <w:color w:val="000000"/>
          <w:sz w:val="20"/>
          <w:szCs w:val="20"/>
          <w:lang/>
        </w:rPr>
        <w:t xml:space="preserve"> be included in the company's sales or revenues.</w:t>
      </w:r>
    </w:p>
    <w:p w:rsidR="00C94719" w:rsidRPr="00C94719" w:rsidRDefault="00C94719" w:rsidP="00C94719">
      <w:pPr>
        <w:shd w:val="clear" w:color="auto" w:fill="FFFFFF"/>
        <w:spacing w:after="240" w:line="240" w:lineRule="auto"/>
        <w:rPr>
          <w:rFonts w:ascii="Arial" w:eastAsia="Times New Roman" w:hAnsi="Arial" w:cs="Arial"/>
          <w:color w:val="000000"/>
          <w:sz w:val="20"/>
          <w:szCs w:val="20"/>
          <w:lang/>
        </w:rPr>
      </w:pP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b/>
          <w:bCs/>
          <w:color w:val="000000"/>
          <w:sz w:val="24"/>
          <w:szCs w:val="24"/>
          <w:lang/>
        </w:rPr>
        <w:t xml:space="preserve">3. The Notes </w:t>
      </w:r>
      <w:proofErr w:type="gramStart"/>
      <w:r w:rsidRPr="00C94719">
        <w:rPr>
          <w:rFonts w:ascii="Arial" w:eastAsia="Times New Roman" w:hAnsi="Arial" w:cs="Arial"/>
          <w:b/>
          <w:bCs/>
          <w:color w:val="000000"/>
          <w:sz w:val="24"/>
          <w:szCs w:val="24"/>
          <w:lang/>
        </w:rPr>
        <w:t>To</w:t>
      </w:r>
      <w:proofErr w:type="gramEnd"/>
      <w:r w:rsidRPr="00C94719">
        <w:rPr>
          <w:rFonts w:ascii="Arial" w:eastAsia="Times New Roman" w:hAnsi="Arial" w:cs="Arial"/>
          <w:b/>
          <w:bCs/>
          <w:color w:val="000000"/>
          <w:sz w:val="24"/>
          <w:szCs w:val="24"/>
          <w:lang/>
        </w:rPr>
        <w:t xml:space="preserve"> Financial Statements</w:t>
      </w:r>
    </w:p>
    <w:p w:rsidR="00C94719" w:rsidRPr="00C94719" w:rsidRDefault="00C94719" w:rsidP="00C94719">
      <w:pPr>
        <w:shd w:val="clear" w:color="auto" w:fill="FFFFFF"/>
        <w:spacing w:after="0" w:line="255" w:lineRule="atLeast"/>
        <w:rPr>
          <w:rFonts w:ascii="Arial" w:eastAsia="Times New Roman" w:hAnsi="Arial" w:cs="Arial"/>
          <w:color w:val="000000"/>
          <w:sz w:val="20"/>
          <w:szCs w:val="20"/>
          <w:lang/>
        </w:rPr>
      </w:pPr>
      <w:r w:rsidRPr="00C94719">
        <w:rPr>
          <w:rFonts w:ascii="Arial" w:eastAsia="Times New Roman" w:hAnsi="Arial" w:cs="Arial"/>
          <w:color w:val="000000"/>
          <w:sz w:val="20"/>
          <w:szCs w:val="20"/>
          <w:lang/>
        </w:rPr>
        <w:t xml:space="preserve">Another basic accounting principle, the </w:t>
      </w:r>
      <w:hyperlink r:id="rId21" w:history="1">
        <w:r w:rsidRPr="00C94719">
          <w:rPr>
            <w:rFonts w:ascii="Arial" w:eastAsia="Times New Roman" w:hAnsi="Arial" w:cs="Arial"/>
            <w:b/>
            <w:bCs/>
            <w:color w:val="0000CD"/>
            <w:sz w:val="20"/>
            <w:szCs w:val="20"/>
            <w:lang/>
          </w:rPr>
          <w:t>full disclosure principle</w:t>
        </w:r>
      </w:hyperlink>
      <w:r w:rsidRPr="00C94719">
        <w:rPr>
          <w:rFonts w:ascii="Arial" w:eastAsia="Times New Roman" w:hAnsi="Arial" w:cs="Arial"/>
          <w:color w:val="000000"/>
          <w:sz w:val="20"/>
          <w:szCs w:val="20"/>
          <w:lang/>
        </w:rPr>
        <w:t>, requires that a company's financial statements include disclosure notes. These notes include information that helps readers of the financial statements make investment and credit decisions. The notes to the financial statements are considered to be an integral part of the financial statements.</w:t>
      </w:r>
    </w:p>
    <w:p w:rsidR="00C94719" w:rsidRDefault="00C94719"/>
    <w:sectPr w:rsidR="00C947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4719"/>
    <w:rsid w:val="00C9471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4719"/>
    <w:pPr>
      <w:spacing w:after="0" w:line="240" w:lineRule="auto"/>
      <w:outlineLvl w:val="1"/>
    </w:pPr>
    <w:rPr>
      <w:rFonts w:ascii="Times New Roman" w:eastAsia="Times New Roman" w:hAnsi="Times New Roman" w:cs="Times New Roman"/>
      <w:b/>
      <w:bCs/>
      <w:color w:val="FFFFF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719"/>
    <w:rPr>
      <w:rFonts w:ascii="Times New Roman" w:eastAsia="Times New Roman" w:hAnsi="Times New Roman" w:cs="Times New Roman"/>
      <w:b/>
      <w:bCs/>
      <w:color w:val="FFFFFF"/>
      <w:sz w:val="27"/>
      <w:szCs w:val="27"/>
    </w:rPr>
  </w:style>
  <w:style w:type="character" w:styleId="Hyperlink">
    <w:name w:val="Hyperlink"/>
    <w:basedOn w:val="DefaultParagraphFont"/>
    <w:uiPriority w:val="99"/>
    <w:semiHidden/>
    <w:unhideWhenUsed/>
    <w:rsid w:val="00C94719"/>
    <w:rPr>
      <w:color w:val="0000FF"/>
      <w:u w:val="single"/>
    </w:rPr>
  </w:style>
  <w:style w:type="paragraph" w:styleId="NormalWeb">
    <w:name w:val="Normal (Web)"/>
    <w:basedOn w:val="Normal"/>
    <w:uiPriority w:val="99"/>
    <w:semiHidden/>
    <w:unhideWhenUsed/>
    <w:rsid w:val="00C94719"/>
    <w:pPr>
      <w:spacing w:after="0" w:line="255" w:lineRule="atLeast"/>
    </w:pPr>
    <w:rPr>
      <w:rFonts w:ascii="Arial" w:eastAsia="Times New Roman" w:hAnsi="Arial" w:cs="Arial"/>
      <w:color w:val="000000"/>
      <w:sz w:val="20"/>
      <w:szCs w:val="20"/>
    </w:rPr>
  </w:style>
  <w:style w:type="paragraph" w:styleId="BalloonText">
    <w:name w:val="Balloon Text"/>
    <w:basedOn w:val="Normal"/>
    <w:link w:val="BalloonTextChar"/>
    <w:uiPriority w:val="99"/>
    <w:semiHidden/>
    <w:unhideWhenUsed/>
    <w:rsid w:val="00C94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7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5092446">
      <w:bodyDiv w:val="1"/>
      <w:marLeft w:val="0"/>
      <w:marRight w:val="0"/>
      <w:marTop w:val="0"/>
      <w:marBottom w:val="0"/>
      <w:divBdr>
        <w:top w:val="none" w:sz="0" w:space="0" w:color="auto"/>
        <w:left w:val="none" w:sz="0" w:space="0" w:color="auto"/>
        <w:bottom w:val="none" w:sz="0" w:space="0" w:color="auto"/>
        <w:right w:val="none" w:sz="0" w:space="0" w:color="auto"/>
      </w:divBdr>
      <w:divsChild>
        <w:div w:id="595794006">
          <w:marLeft w:val="0"/>
          <w:marRight w:val="0"/>
          <w:marTop w:val="0"/>
          <w:marBottom w:val="0"/>
          <w:divBdr>
            <w:top w:val="single" w:sz="2" w:space="0" w:color="000000"/>
            <w:left w:val="single" w:sz="2" w:space="0" w:color="000000"/>
            <w:bottom w:val="single" w:sz="2" w:space="0" w:color="000000"/>
            <w:right w:val="single" w:sz="2" w:space="0" w:color="000000"/>
          </w:divBdr>
          <w:divsChild>
            <w:div w:id="863523313">
              <w:marLeft w:val="0"/>
              <w:marRight w:val="0"/>
              <w:marTop w:val="0"/>
              <w:marBottom w:val="0"/>
              <w:divBdr>
                <w:top w:val="single" w:sz="2" w:space="0" w:color="2C5A82"/>
                <w:left w:val="none" w:sz="0" w:space="0" w:color="auto"/>
                <w:bottom w:val="none" w:sz="0" w:space="0" w:color="auto"/>
                <w:right w:val="none" w:sz="0" w:space="0" w:color="auto"/>
              </w:divBdr>
              <w:divsChild>
                <w:div w:id="1022169214">
                  <w:marLeft w:val="0"/>
                  <w:marRight w:val="0"/>
                  <w:marTop w:val="0"/>
                  <w:marBottom w:val="0"/>
                  <w:divBdr>
                    <w:top w:val="single" w:sz="2" w:space="0" w:color="003869"/>
                    <w:left w:val="single" w:sz="2" w:space="0" w:color="003869"/>
                    <w:bottom w:val="single" w:sz="2" w:space="23" w:color="003869"/>
                    <w:right w:val="single" w:sz="2" w:space="0" w:color="003869"/>
                  </w:divBdr>
                  <w:divsChild>
                    <w:div w:id="1882664958">
                      <w:marLeft w:val="0"/>
                      <w:marRight w:val="0"/>
                      <w:marTop w:val="0"/>
                      <w:marBottom w:val="0"/>
                      <w:divBdr>
                        <w:top w:val="single" w:sz="2" w:space="0" w:color="FFFFFF"/>
                        <w:left w:val="single" w:sz="2" w:space="0" w:color="FFFFFF"/>
                        <w:bottom w:val="single" w:sz="2" w:space="0" w:color="FFFFFF"/>
                        <w:right w:val="single" w:sz="2" w:space="0" w:color="FFFFFF"/>
                      </w:divBdr>
                      <w:divsChild>
                        <w:div w:id="4712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014097">
      <w:bodyDiv w:val="1"/>
      <w:marLeft w:val="0"/>
      <w:marRight w:val="0"/>
      <w:marTop w:val="0"/>
      <w:marBottom w:val="0"/>
      <w:divBdr>
        <w:top w:val="none" w:sz="0" w:space="0" w:color="auto"/>
        <w:left w:val="none" w:sz="0" w:space="0" w:color="auto"/>
        <w:bottom w:val="none" w:sz="0" w:space="0" w:color="auto"/>
        <w:right w:val="none" w:sz="0" w:space="0" w:color="auto"/>
      </w:divBdr>
      <w:divsChild>
        <w:div w:id="1765682197">
          <w:marLeft w:val="0"/>
          <w:marRight w:val="0"/>
          <w:marTop w:val="0"/>
          <w:marBottom w:val="0"/>
          <w:divBdr>
            <w:top w:val="single" w:sz="2" w:space="0" w:color="000000"/>
            <w:left w:val="single" w:sz="2" w:space="0" w:color="000000"/>
            <w:bottom w:val="single" w:sz="2" w:space="0" w:color="000000"/>
            <w:right w:val="single" w:sz="2" w:space="0" w:color="000000"/>
          </w:divBdr>
          <w:divsChild>
            <w:div w:id="1569610858">
              <w:marLeft w:val="0"/>
              <w:marRight w:val="0"/>
              <w:marTop w:val="0"/>
              <w:marBottom w:val="0"/>
              <w:divBdr>
                <w:top w:val="single" w:sz="2" w:space="0" w:color="2C5A82"/>
                <w:left w:val="none" w:sz="0" w:space="0" w:color="auto"/>
                <w:bottom w:val="none" w:sz="0" w:space="0" w:color="auto"/>
                <w:right w:val="none" w:sz="0" w:space="0" w:color="auto"/>
              </w:divBdr>
              <w:divsChild>
                <w:div w:id="1336302384">
                  <w:marLeft w:val="0"/>
                  <w:marRight w:val="0"/>
                  <w:marTop w:val="0"/>
                  <w:marBottom w:val="0"/>
                  <w:divBdr>
                    <w:top w:val="single" w:sz="2" w:space="0" w:color="003869"/>
                    <w:left w:val="single" w:sz="2" w:space="0" w:color="003869"/>
                    <w:bottom w:val="single" w:sz="2" w:space="23" w:color="003869"/>
                    <w:right w:val="single" w:sz="2" w:space="0" w:color="003869"/>
                  </w:divBdr>
                </w:div>
              </w:divsChild>
            </w:div>
          </w:divsChild>
        </w:div>
      </w:divsChild>
    </w:div>
    <w:div w:id="1238514638">
      <w:bodyDiv w:val="1"/>
      <w:marLeft w:val="0"/>
      <w:marRight w:val="0"/>
      <w:marTop w:val="0"/>
      <w:marBottom w:val="0"/>
      <w:divBdr>
        <w:top w:val="none" w:sz="0" w:space="0" w:color="auto"/>
        <w:left w:val="none" w:sz="0" w:space="0" w:color="auto"/>
        <w:bottom w:val="none" w:sz="0" w:space="0" w:color="auto"/>
        <w:right w:val="none" w:sz="0" w:space="0" w:color="auto"/>
      </w:divBdr>
      <w:divsChild>
        <w:div w:id="61685052">
          <w:marLeft w:val="0"/>
          <w:marRight w:val="0"/>
          <w:marTop w:val="0"/>
          <w:marBottom w:val="0"/>
          <w:divBdr>
            <w:top w:val="single" w:sz="2" w:space="0" w:color="000000"/>
            <w:left w:val="single" w:sz="2" w:space="0" w:color="000000"/>
            <w:bottom w:val="single" w:sz="2" w:space="0" w:color="000000"/>
            <w:right w:val="single" w:sz="2" w:space="0" w:color="000000"/>
          </w:divBdr>
          <w:divsChild>
            <w:div w:id="1377461388">
              <w:marLeft w:val="0"/>
              <w:marRight w:val="0"/>
              <w:marTop w:val="0"/>
              <w:marBottom w:val="0"/>
              <w:divBdr>
                <w:top w:val="single" w:sz="2" w:space="0" w:color="2C5A82"/>
                <w:left w:val="none" w:sz="0" w:space="0" w:color="auto"/>
                <w:bottom w:val="none" w:sz="0" w:space="0" w:color="auto"/>
                <w:right w:val="none" w:sz="0" w:space="0" w:color="auto"/>
              </w:divBdr>
              <w:divsChild>
                <w:div w:id="987593936">
                  <w:marLeft w:val="0"/>
                  <w:marRight w:val="0"/>
                  <w:marTop w:val="0"/>
                  <w:marBottom w:val="0"/>
                  <w:divBdr>
                    <w:top w:val="single" w:sz="2" w:space="0" w:color="003869"/>
                    <w:left w:val="single" w:sz="2" w:space="0" w:color="003869"/>
                    <w:bottom w:val="single" w:sz="2" w:space="23" w:color="003869"/>
                    <w:right w:val="single" w:sz="2" w:space="0" w:color="003869"/>
                  </w:divBdr>
                  <w:divsChild>
                    <w:div w:id="13599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countingcoach.com/terms/M/monetary-unit-assumption.html" TargetMode="External"/><Relationship Id="rId13" Type="http://schemas.openxmlformats.org/officeDocument/2006/relationships/hyperlink" Target="http://www.accountingcoach.com/online-accounting-course/04Xpg01.html" TargetMode="External"/><Relationship Id="rId18" Type="http://schemas.openxmlformats.org/officeDocument/2006/relationships/hyperlink" Target="http://www.accountingcoach.com/terms/M/matching-principle.html" TargetMode="External"/><Relationship Id="rId3" Type="http://schemas.openxmlformats.org/officeDocument/2006/relationships/webSettings" Target="webSettings.xml"/><Relationship Id="rId21" Type="http://schemas.openxmlformats.org/officeDocument/2006/relationships/hyperlink" Target="http://www.accountingcoach.com/terms/F/full-disclosure-principle.html" TargetMode="External"/><Relationship Id="rId7" Type="http://schemas.openxmlformats.org/officeDocument/2006/relationships/hyperlink" Target="http://www.accountingcoach.com/terms/C/cost-principle.html" TargetMode="External"/><Relationship Id="rId12" Type="http://schemas.openxmlformats.org/officeDocument/2006/relationships/image" Target="media/image1.gif"/><Relationship Id="rId17" Type="http://schemas.openxmlformats.org/officeDocument/2006/relationships/hyperlink" Target="http://www.accountingcoach.com/terms/R/revenue-recognition-principle.html" TargetMode="External"/><Relationship Id="rId2" Type="http://schemas.openxmlformats.org/officeDocument/2006/relationships/settings" Target="settings.xml"/><Relationship Id="rId16" Type="http://schemas.openxmlformats.org/officeDocument/2006/relationships/hyperlink" Target="http://www.accountingcoach.com/terms/A/accrual-basis-of-accounting.html" TargetMode="External"/><Relationship Id="rId20" Type="http://schemas.openxmlformats.org/officeDocument/2006/relationships/hyperlink" Target="http://www.accountingcoach.com/terms/L/loss-on-sale-of-computer.html" TargetMode="External"/><Relationship Id="rId1" Type="http://schemas.openxmlformats.org/officeDocument/2006/relationships/styles" Target="styles.xml"/><Relationship Id="rId6" Type="http://schemas.openxmlformats.org/officeDocument/2006/relationships/hyperlink" Target="http://www.accountingcoach.com/terms/E/economic-entity-assumption.html" TargetMode="External"/><Relationship Id="rId11" Type="http://schemas.openxmlformats.org/officeDocument/2006/relationships/hyperlink" Target="http://www.accountingcoach.com/terms/G/going-concern-assumption.html" TargetMode="External"/><Relationship Id="rId5" Type="http://schemas.openxmlformats.org/officeDocument/2006/relationships/hyperlink" Target="http://www.accountingcoach.com/online-accounting-course/05Dpg01.html" TargetMode="External"/><Relationship Id="rId15" Type="http://schemas.openxmlformats.org/officeDocument/2006/relationships/hyperlink" Target="http://www.accountingcoach.com/terms/I/income-statement.html" TargetMode="External"/><Relationship Id="rId23" Type="http://schemas.openxmlformats.org/officeDocument/2006/relationships/theme" Target="theme/theme1.xml"/><Relationship Id="rId10" Type="http://schemas.openxmlformats.org/officeDocument/2006/relationships/hyperlink" Target="http://www.accountingcoach.com/terms/I/insurance-expense.html" TargetMode="External"/><Relationship Id="rId19" Type="http://schemas.openxmlformats.org/officeDocument/2006/relationships/hyperlink" Target="http://www.accountingcoach.com/terms/G/gain-on-sale-of-land.html" TargetMode="External"/><Relationship Id="rId4" Type="http://schemas.openxmlformats.org/officeDocument/2006/relationships/hyperlink" Target="http://www.accountingcoach.com/online-accounting-course/05Xpg01.html" TargetMode="External"/><Relationship Id="rId9" Type="http://schemas.openxmlformats.org/officeDocument/2006/relationships/hyperlink" Target="http://www.accountingcoach.com/terms/M/matching-principle.html" TargetMode="External"/><Relationship Id="rId14" Type="http://schemas.openxmlformats.org/officeDocument/2006/relationships/hyperlink" Target="http://www.accountingcoach.com/online-accounting-course/04Dpg01.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1216</Words>
  <Characters>6936</Characters>
  <Application>Microsoft Office Word</Application>
  <DocSecurity>0</DocSecurity>
  <Lines>57</Lines>
  <Paragraphs>16</Paragraphs>
  <ScaleCrop>false</ScaleCrop>
  <Company>Hewlett-Packard</Company>
  <LinksUpToDate>false</LinksUpToDate>
  <CharactersWithSpaces>8136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2</cp:revision>
  <dcterms:created xsi:type="dcterms:W3CDTF">2010-09-18T19:44:00Z</dcterms:created>
  <dcterms:modified xsi:type="dcterms:W3CDTF">2010-09-18T19:47:00Z</dcterms:modified>
</cp:coreProperties>
</file>