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FF8" w:rsidRPr="0039296F" w:rsidRDefault="006270C7" w:rsidP="00835FF8">
      <w:pPr>
        <w:shd w:val="clear" w:color="auto" w:fill="FFFFFF"/>
        <w:spacing w:after="0" w:line="240" w:lineRule="auto"/>
        <w:rPr>
          <w:b/>
          <w:bCs/>
          <w:u w:val="single"/>
        </w:rPr>
      </w:pPr>
      <w:r w:rsidRPr="0039296F">
        <w:rPr>
          <w:b/>
          <w:bCs/>
          <w:u w:val="single"/>
        </w:rPr>
        <w:t>Application of accounting theory, standards and principles</w:t>
      </w:r>
    </w:p>
    <w:p w:rsidR="006270C7" w:rsidRPr="0039296F" w:rsidRDefault="006270C7" w:rsidP="00835FF8">
      <w:pPr>
        <w:shd w:val="clear" w:color="auto" w:fill="FFFFFF"/>
        <w:spacing w:after="0" w:line="240" w:lineRule="auto"/>
        <w:rPr>
          <w:b/>
          <w:bCs/>
        </w:rPr>
      </w:pPr>
    </w:p>
    <w:p w:rsidR="004D7C87" w:rsidRPr="0039296F" w:rsidRDefault="004D7C87" w:rsidP="00835FF8">
      <w:pPr>
        <w:shd w:val="clear" w:color="auto" w:fill="FFFFFF"/>
        <w:spacing w:after="0" w:line="240" w:lineRule="auto"/>
        <w:rPr>
          <w:b/>
          <w:bCs/>
          <w:u w:val="single"/>
        </w:rPr>
      </w:pPr>
      <w:r w:rsidRPr="0039296F">
        <w:rPr>
          <w:b/>
          <w:bCs/>
          <w:u w:val="single"/>
        </w:rPr>
        <w:t xml:space="preserve">An Overview of </w:t>
      </w:r>
      <w:r w:rsidR="00AC7EED">
        <w:rPr>
          <w:b/>
          <w:bCs/>
          <w:u w:val="single"/>
        </w:rPr>
        <w:t xml:space="preserve">accounting theory, accounting concepts and </w:t>
      </w:r>
      <w:r w:rsidRPr="0039296F">
        <w:rPr>
          <w:b/>
          <w:bCs/>
          <w:u w:val="single"/>
        </w:rPr>
        <w:t>International Financial Reporting Standards</w:t>
      </w:r>
    </w:p>
    <w:p w:rsidR="004D7C87" w:rsidRPr="004D7C87" w:rsidRDefault="004D7C87" w:rsidP="004D7C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C87">
        <w:rPr>
          <w:rFonts w:ascii="Times New Roman" w:eastAsia="Times New Roman" w:hAnsi="Times New Roman" w:cs="Times New Roman"/>
          <w:b/>
          <w:bCs/>
          <w:sz w:val="24"/>
          <w:szCs w:val="24"/>
        </w:rPr>
        <w:t>Standards.</w:t>
      </w:r>
      <w:r w:rsidRPr="004D7C87">
        <w:rPr>
          <w:rFonts w:ascii="Times New Roman" w:eastAsia="Times New Roman" w:hAnsi="Times New Roman" w:cs="Times New Roman"/>
          <w:sz w:val="24"/>
          <w:szCs w:val="24"/>
        </w:rPr>
        <w:t xml:space="preserve"> International Accounting Standards (IASs) were issued by the </w:t>
      </w:r>
      <w:r w:rsidR="00AE7810">
        <w:rPr>
          <w:rFonts w:ascii="Times New Roman" w:eastAsia="Times New Roman" w:hAnsi="Times New Roman" w:cs="Times New Roman"/>
          <w:sz w:val="24"/>
          <w:szCs w:val="24"/>
          <w:u w:val="single"/>
        </w:rPr>
        <w:t>IASC</w:t>
      </w:r>
      <w:r w:rsidRPr="004D7C87">
        <w:rPr>
          <w:rFonts w:ascii="Times New Roman" w:eastAsia="Times New Roman" w:hAnsi="Times New Roman" w:cs="Times New Roman"/>
          <w:sz w:val="24"/>
          <w:szCs w:val="24"/>
        </w:rPr>
        <w:t xml:space="preserve"> from 1973 to 2000. The IASB replaced the </w:t>
      </w:r>
      <w:r w:rsidR="00AE7810">
        <w:rPr>
          <w:rFonts w:ascii="Times New Roman" w:eastAsia="Times New Roman" w:hAnsi="Times New Roman" w:cs="Times New Roman"/>
          <w:sz w:val="24"/>
          <w:szCs w:val="24"/>
        </w:rPr>
        <w:t>IASC</w:t>
      </w:r>
      <w:r w:rsidRPr="004D7C87">
        <w:rPr>
          <w:rFonts w:ascii="Times New Roman" w:eastAsia="Times New Roman" w:hAnsi="Times New Roman" w:cs="Times New Roman"/>
          <w:sz w:val="24"/>
          <w:szCs w:val="24"/>
        </w:rPr>
        <w:t xml:space="preserve"> in 2001. Since then, the IASB has amended some IASs and has proposed to amend others, has replaced some IASs with new International Financial Reporting Standards (IFRSs), and has adopted or proposed certain new IFRSs on topics for which there was no previous IAS. Through committees, both the </w:t>
      </w:r>
      <w:r w:rsidR="00AE7810">
        <w:rPr>
          <w:rFonts w:ascii="Times New Roman" w:eastAsia="Times New Roman" w:hAnsi="Times New Roman" w:cs="Times New Roman"/>
          <w:sz w:val="24"/>
          <w:szCs w:val="24"/>
        </w:rPr>
        <w:t>IASC</w:t>
      </w:r>
      <w:r w:rsidRPr="004D7C87">
        <w:rPr>
          <w:rFonts w:ascii="Times New Roman" w:eastAsia="Times New Roman" w:hAnsi="Times New Roman" w:cs="Times New Roman"/>
          <w:sz w:val="24"/>
          <w:szCs w:val="24"/>
        </w:rPr>
        <w:t xml:space="preserve"> and the IASB also have issued </w:t>
      </w:r>
      <w:hyperlink r:id="rId5" w:history="1">
        <w:r w:rsidRPr="0039296F">
          <w:rPr>
            <w:rFonts w:ascii="Times New Roman" w:eastAsia="Times New Roman" w:hAnsi="Times New Roman" w:cs="Times New Roman"/>
            <w:sz w:val="24"/>
            <w:szCs w:val="24"/>
            <w:u w:val="single"/>
          </w:rPr>
          <w:t>Interpretations of Standards</w:t>
        </w:r>
      </w:hyperlink>
      <w:r w:rsidRPr="004D7C87">
        <w:rPr>
          <w:rFonts w:ascii="Times New Roman" w:eastAsia="Times New Roman" w:hAnsi="Times New Roman" w:cs="Times New Roman"/>
          <w:sz w:val="24"/>
          <w:szCs w:val="24"/>
        </w:rPr>
        <w:t xml:space="preserve">. </w:t>
      </w:r>
    </w:p>
    <w:p w:rsidR="004D7C87" w:rsidRPr="004D7C87" w:rsidRDefault="004D7C87" w:rsidP="004D7C8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D7C87">
        <w:rPr>
          <w:rFonts w:ascii="Times New Roman" w:eastAsia="Times New Roman" w:hAnsi="Times New Roman" w:cs="Times New Roman"/>
          <w:b/>
          <w:bCs/>
          <w:sz w:val="24"/>
          <w:szCs w:val="24"/>
        </w:rPr>
        <w:t>Compliance with Standards.</w:t>
      </w:r>
      <w:r w:rsidRPr="004D7C87">
        <w:rPr>
          <w:rFonts w:ascii="Times New Roman" w:eastAsia="Times New Roman" w:hAnsi="Times New Roman" w:cs="Times New Roman"/>
          <w:sz w:val="24"/>
          <w:szCs w:val="24"/>
        </w:rPr>
        <w:t xml:space="preserve"> Financial statements may not be described as complying with IFRSs unless they comply with all of the requirements of each applicable standard and each applicable interpretation. </w:t>
      </w:r>
    </w:p>
    <w:p w:rsidR="004D7C87" w:rsidRPr="0039296F" w:rsidRDefault="004D7C87" w:rsidP="00835FF8">
      <w:pPr>
        <w:numPr>
          <w:ilvl w:val="0"/>
          <w:numId w:val="2"/>
        </w:numPr>
        <w:shd w:val="clear" w:color="auto" w:fill="FFFFFF"/>
        <w:spacing w:before="100" w:beforeAutospacing="1" w:after="0" w:afterAutospacing="1" w:line="240" w:lineRule="auto"/>
        <w:rPr>
          <w:rFonts w:ascii="Arial" w:eastAsia="Times New Roman" w:hAnsi="Arial" w:cs="Arial"/>
          <w:sz w:val="17"/>
          <w:szCs w:val="17"/>
        </w:rPr>
      </w:pPr>
      <w:r w:rsidRPr="004D7C87">
        <w:rPr>
          <w:rFonts w:ascii="Times New Roman" w:eastAsia="Times New Roman" w:hAnsi="Times New Roman" w:cs="Times New Roman"/>
          <w:b/>
          <w:bCs/>
          <w:sz w:val="24"/>
          <w:szCs w:val="24"/>
        </w:rPr>
        <w:t>IASB Framework.</w:t>
      </w:r>
      <w:r w:rsidRPr="004D7C87">
        <w:rPr>
          <w:rFonts w:ascii="Times New Roman" w:eastAsia="Times New Roman" w:hAnsi="Times New Roman" w:cs="Times New Roman"/>
          <w:sz w:val="24"/>
          <w:szCs w:val="24"/>
        </w:rPr>
        <w:t xml:space="preserve"> While not a standard, the IASB </w:t>
      </w:r>
      <w:r w:rsidRPr="004D7C87">
        <w:rPr>
          <w:rFonts w:ascii="Times New Roman" w:eastAsia="Times New Roman" w:hAnsi="Times New Roman" w:cs="Times New Roman"/>
          <w:i/>
          <w:iCs/>
          <w:sz w:val="24"/>
          <w:szCs w:val="24"/>
        </w:rPr>
        <w:t>Framework for the Preparation and Presentation of Financial Statements</w:t>
      </w:r>
      <w:r w:rsidRPr="004D7C87">
        <w:rPr>
          <w:rFonts w:ascii="Times New Roman" w:eastAsia="Times New Roman" w:hAnsi="Times New Roman" w:cs="Times New Roman"/>
          <w:sz w:val="24"/>
          <w:szCs w:val="24"/>
        </w:rPr>
        <w:t xml:space="preserve"> serves as a guide to resolving accounting issues that are not addressed directly in a standard. Moreover, in the absence of a standard or an interpretation that specifically applies to a transaction, IAS 8 requires that an entity must use its judgement in developing and applying an accounting policy that results in information that is relevant and reliable. In making that judgement, IAS 8.11 requires management to consider the definitions, recognition criteria and measurement concepts for assets, liabilities, income, and expenses in the </w:t>
      </w:r>
      <w:r w:rsidRPr="004D7C87">
        <w:rPr>
          <w:rFonts w:ascii="Times New Roman" w:eastAsia="Times New Roman" w:hAnsi="Times New Roman" w:cs="Times New Roman"/>
          <w:i/>
          <w:iCs/>
          <w:sz w:val="24"/>
          <w:szCs w:val="24"/>
        </w:rPr>
        <w:t>Framework</w:t>
      </w:r>
      <w:r w:rsidRPr="004D7C87">
        <w:rPr>
          <w:rFonts w:ascii="Times New Roman" w:eastAsia="Times New Roman" w:hAnsi="Times New Roman" w:cs="Times New Roman"/>
          <w:sz w:val="24"/>
          <w:szCs w:val="24"/>
        </w:rPr>
        <w:t>. The IASB adopted the Framework in April 2001.</w:t>
      </w:r>
    </w:p>
    <w:p w:rsidR="00835FF8" w:rsidRPr="00835FF8" w:rsidRDefault="00835FF8" w:rsidP="00835FF8">
      <w:pPr>
        <w:shd w:val="clear" w:color="auto" w:fill="FFFFFF"/>
        <w:spacing w:after="0" w:line="240" w:lineRule="auto"/>
        <w:rPr>
          <w:rFonts w:ascii="Times New Roman" w:eastAsia="Times New Roman" w:hAnsi="Times New Roman" w:cs="Times New Roman"/>
          <w:sz w:val="24"/>
          <w:szCs w:val="24"/>
        </w:rPr>
      </w:pPr>
      <w:r w:rsidRPr="00835FF8">
        <w:rPr>
          <w:rFonts w:ascii="Times New Roman" w:eastAsia="Times New Roman" w:hAnsi="Times New Roman" w:cs="Times New Roman"/>
          <w:sz w:val="24"/>
          <w:szCs w:val="24"/>
        </w:rPr>
        <w:t>International Financial Reporting Standards (IFRSs) are developed through an international consultation process, the "</w:t>
      </w:r>
      <w:r w:rsidRPr="0039296F">
        <w:rPr>
          <w:rFonts w:ascii="Times New Roman" w:eastAsia="Times New Roman" w:hAnsi="Times New Roman" w:cs="Times New Roman"/>
          <w:sz w:val="24"/>
          <w:szCs w:val="24"/>
        </w:rPr>
        <w:t>due process</w:t>
      </w:r>
      <w:r w:rsidRPr="00835FF8">
        <w:rPr>
          <w:rFonts w:ascii="Times New Roman" w:eastAsia="Times New Roman" w:hAnsi="Times New Roman" w:cs="Times New Roman"/>
          <w:sz w:val="24"/>
          <w:szCs w:val="24"/>
        </w:rPr>
        <w:t>", which invo</w:t>
      </w:r>
      <w:r w:rsidR="004D7C87" w:rsidRPr="0039296F">
        <w:rPr>
          <w:rFonts w:ascii="Times New Roman" w:eastAsia="Times New Roman" w:hAnsi="Times New Roman" w:cs="Times New Roman"/>
          <w:sz w:val="24"/>
          <w:szCs w:val="24"/>
        </w:rPr>
        <w:t xml:space="preserve">lves interested individuals and </w:t>
      </w:r>
      <w:r w:rsidRPr="00835FF8">
        <w:rPr>
          <w:rFonts w:ascii="Times New Roman" w:eastAsia="Times New Roman" w:hAnsi="Times New Roman" w:cs="Times New Roman"/>
          <w:sz w:val="24"/>
          <w:szCs w:val="24"/>
        </w:rPr>
        <w:t>organisations from around the world.</w:t>
      </w:r>
      <w:r w:rsidR="004D7C87" w:rsidRPr="0039296F">
        <w:rPr>
          <w:rFonts w:ascii="Times New Roman" w:eastAsia="Times New Roman" w:hAnsi="Times New Roman" w:cs="Times New Roman"/>
          <w:sz w:val="24"/>
          <w:szCs w:val="24"/>
        </w:rPr>
        <w:t xml:space="preserve"> </w:t>
      </w:r>
      <w:r w:rsidRPr="00835FF8">
        <w:rPr>
          <w:rFonts w:ascii="Times New Roman" w:eastAsia="Times New Roman" w:hAnsi="Times New Roman" w:cs="Times New Roman"/>
          <w:sz w:val="24"/>
          <w:szCs w:val="24"/>
        </w:rPr>
        <w:t>The due process comprises six stages, with the Trustees having the opportunity to ensure compliance at various points throughout:</w:t>
      </w:r>
    </w:p>
    <w:p w:rsidR="00835FF8" w:rsidRPr="00835FF8"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6" w:history="1">
        <w:r w:rsidR="00835FF8" w:rsidRPr="00835FF8">
          <w:rPr>
            <w:rFonts w:ascii="Times New Roman" w:eastAsia="Times New Roman" w:hAnsi="Times New Roman" w:cs="Times New Roman"/>
            <w:sz w:val="24"/>
            <w:szCs w:val="24"/>
          </w:rPr>
          <w:t>Setting the agenda</w:t>
        </w:r>
      </w:hyperlink>
      <w:r w:rsidR="00835FF8" w:rsidRPr="00835FF8">
        <w:rPr>
          <w:rFonts w:ascii="Times New Roman" w:eastAsia="Times New Roman" w:hAnsi="Times New Roman" w:cs="Times New Roman"/>
          <w:sz w:val="24"/>
          <w:szCs w:val="24"/>
        </w:rPr>
        <w:t xml:space="preserve"> </w:t>
      </w:r>
    </w:p>
    <w:p w:rsidR="00835FF8" w:rsidRPr="00835FF8"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7" w:history="1">
        <w:r w:rsidR="00835FF8" w:rsidRPr="00835FF8">
          <w:rPr>
            <w:rFonts w:ascii="Times New Roman" w:eastAsia="Times New Roman" w:hAnsi="Times New Roman" w:cs="Times New Roman"/>
            <w:sz w:val="24"/>
            <w:szCs w:val="24"/>
          </w:rPr>
          <w:t>Planning the project</w:t>
        </w:r>
      </w:hyperlink>
      <w:r w:rsidR="00835FF8" w:rsidRPr="00835FF8">
        <w:rPr>
          <w:rFonts w:ascii="Times New Roman" w:eastAsia="Times New Roman" w:hAnsi="Times New Roman" w:cs="Times New Roman"/>
          <w:sz w:val="24"/>
          <w:szCs w:val="24"/>
        </w:rPr>
        <w:t xml:space="preserve"> </w:t>
      </w:r>
    </w:p>
    <w:p w:rsidR="00835FF8" w:rsidRPr="00835FF8"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8" w:history="1">
        <w:r w:rsidR="00835FF8" w:rsidRPr="00835FF8">
          <w:rPr>
            <w:rFonts w:ascii="Times New Roman" w:eastAsia="Times New Roman" w:hAnsi="Times New Roman" w:cs="Times New Roman"/>
            <w:sz w:val="24"/>
            <w:szCs w:val="24"/>
          </w:rPr>
          <w:t>Developing and publishing the discussion paper</w:t>
        </w:r>
      </w:hyperlink>
      <w:r w:rsidR="00835FF8" w:rsidRPr="00835FF8">
        <w:rPr>
          <w:rFonts w:ascii="Times New Roman" w:eastAsia="Times New Roman" w:hAnsi="Times New Roman" w:cs="Times New Roman"/>
          <w:sz w:val="24"/>
          <w:szCs w:val="24"/>
        </w:rPr>
        <w:t xml:space="preserve"> </w:t>
      </w:r>
    </w:p>
    <w:p w:rsidR="00835FF8" w:rsidRPr="00835FF8"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9" w:history="1">
        <w:r w:rsidR="00835FF8" w:rsidRPr="00835FF8">
          <w:rPr>
            <w:rFonts w:ascii="Times New Roman" w:eastAsia="Times New Roman" w:hAnsi="Times New Roman" w:cs="Times New Roman"/>
            <w:sz w:val="24"/>
            <w:szCs w:val="24"/>
          </w:rPr>
          <w:t>Developing and publishing the exposure draft</w:t>
        </w:r>
      </w:hyperlink>
      <w:r w:rsidR="00835FF8" w:rsidRPr="00835FF8">
        <w:rPr>
          <w:rFonts w:ascii="Times New Roman" w:eastAsia="Times New Roman" w:hAnsi="Times New Roman" w:cs="Times New Roman"/>
          <w:sz w:val="24"/>
          <w:szCs w:val="24"/>
        </w:rPr>
        <w:t xml:space="preserve"> </w:t>
      </w:r>
    </w:p>
    <w:p w:rsidR="00835FF8" w:rsidRPr="00835FF8"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10" w:history="1">
        <w:r w:rsidR="00835FF8" w:rsidRPr="00835FF8">
          <w:rPr>
            <w:rFonts w:ascii="Times New Roman" w:eastAsia="Times New Roman" w:hAnsi="Times New Roman" w:cs="Times New Roman"/>
            <w:sz w:val="24"/>
            <w:szCs w:val="24"/>
          </w:rPr>
          <w:t xml:space="preserve">Developing and publishing the standard </w:t>
        </w:r>
      </w:hyperlink>
    </w:p>
    <w:p w:rsidR="00835FF8" w:rsidRPr="0039296F" w:rsidRDefault="00B110C8" w:rsidP="00835FF8">
      <w:pPr>
        <w:numPr>
          <w:ilvl w:val="0"/>
          <w:numId w:val="1"/>
        </w:numPr>
        <w:shd w:val="clear" w:color="auto" w:fill="FFFFFF"/>
        <w:spacing w:beforeAutospacing="1" w:after="0" w:afterAutospacing="1" w:line="240" w:lineRule="auto"/>
        <w:ind w:left="300" w:right="300"/>
        <w:rPr>
          <w:rFonts w:ascii="Times New Roman" w:eastAsia="Times New Roman" w:hAnsi="Times New Roman" w:cs="Times New Roman"/>
          <w:sz w:val="24"/>
          <w:szCs w:val="24"/>
        </w:rPr>
      </w:pPr>
      <w:hyperlink r:id="rId11" w:history="1">
        <w:r w:rsidR="00835FF8" w:rsidRPr="00835FF8">
          <w:rPr>
            <w:rFonts w:ascii="Times New Roman" w:eastAsia="Times New Roman" w:hAnsi="Times New Roman" w:cs="Times New Roman"/>
            <w:sz w:val="24"/>
            <w:szCs w:val="24"/>
          </w:rPr>
          <w:t>After the standard is issued</w:t>
        </w:r>
      </w:hyperlink>
    </w:p>
    <w:p w:rsidR="00B01474" w:rsidRPr="0039296F" w:rsidRDefault="00B01474" w:rsidP="00B01474">
      <w:pPr>
        <w:shd w:val="clear" w:color="auto" w:fill="FFFFFF"/>
        <w:spacing w:beforeAutospacing="1" w:after="0" w:afterAutospacing="1" w:line="240" w:lineRule="auto"/>
        <w:ind w:left="300" w:right="300"/>
        <w:rPr>
          <w:rFonts w:ascii="Times New Roman" w:eastAsia="Times New Roman" w:hAnsi="Times New Roman" w:cs="Times New Roman"/>
          <w:b/>
          <w:sz w:val="24"/>
          <w:szCs w:val="24"/>
          <w:u w:val="single"/>
        </w:rPr>
      </w:pPr>
      <w:r w:rsidRPr="0039296F">
        <w:rPr>
          <w:rFonts w:ascii="Times New Roman" w:eastAsia="Times New Roman" w:hAnsi="Times New Roman" w:cs="Times New Roman"/>
          <w:b/>
          <w:sz w:val="24"/>
          <w:szCs w:val="24"/>
          <w:u w:val="single"/>
        </w:rPr>
        <w:t>ISSUES IN THE APPLICABILITY OF ACCOUNTING STANDARDS</w:t>
      </w:r>
    </w:p>
    <w:p w:rsidR="00B01474" w:rsidRPr="0039296F" w:rsidRDefault="00B01474" w:rsidP="00B01474">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sidRPr="0039296F">
        <w:rPr>
          <w:rFonts w:ascii="Verdana" w:eastAsia="Times New Roman" w:hAnsi="Verdana" w:cs="Times New Roman"/>
          <w:sz w:val="20"/>
          <w:szCs w:val="20"/>
          <w:u w:val="single"/>
        </w:rPr>
        <w:t xml:space="preserve">Are the </w:t>
      </w:r>
      <w:r w:rsidR="00AE7810">
        <w:rPr>
          <w:rFonts w:ascii="Verdana" w:eastAsia="Times New Roman" w:hAnsi="Verdana" w:cs="Times New Roman"/>
          <w:sz w:val="20"/>
          <w:szCs w:val="20"/>
          <w:u w:val="single"/>
        </w:rPr>
        <w:t>IASB</w:t>
      </w:r>
      <w:r w:rsidRPr="0039296F">
        <w:rPr>
          <w:rFonts w:ascii="Verdana" w:eastAsia="Times New Roman" w:hAnsi="Verdana" w:cs="Times New Roman"/>
          <w:sz w:val="20"/>
          <w:szCs w:val="20"/>
          <w:u w:val="single"/>
        </w:rPr>
        <w:t xml:space="preserve"> Standards of Sufficiently High Quality?</w:t>
      </w:r>
    </w:p>
    <w:p w:rsidR="00B01474" w:rsidRPr="0039296F" w:rsidRDefault="00B01474" w:rsidP="00B01474">
      <w:p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When we refer to the need for high quality accounting standards, we mean that the standards must result in relevant, reliable information that is useful for investors, lenders, creditors and others who make capital allocation decisions. To that end, the standards must </w:t>
      </w:r>
    </w:p>
    <w:p w:rsidR="00B01474" w:rsidRPr="0039296F" w:rsidRDefault="00B01474" w:rsidP="00B0147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result in a consistent application that will allow investors to make a meaningful comparison of performance across time periods and among companies; </w:t>
      </w:r>
    </w:p>
    <w:p w:rsidR="00B01474" w:rsidRPr="0039296F" w:rsidRDefault="00B01474" w:rsidP="00B0147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 provide for transparency, so that the nature and the accounting treatment of the underlying transactions are apparent to the user; and </w:t>
      </w:r>
    </w:p>
    <w:p w:rsidR="00B01474" w:rsidRPr="0039296F" w:rsidRDefault="00B01474" w:rsidP="00B01474">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lastRenderedPageBreak/>
        <w:t xml:space="preserve"> </w:t>
      </w:r>
      <w:r w:rsidR="00C410FC" w:rsidRPr="0039296F">
        <w:rPr>
          <w:rFonts w:ascii="Times New Roman" w:eastAsia="Times New Roman" w:hAnsi="Times New Roman" w:cs="Times New Roman"/>
          <w:sz w:val="24"/>
          <w:szCs w:val="24"/>
        </w:rPr>
        <w:t>Provide</w:t>
      </w:r>
      <w:r w:rsidRPr="0039296F">
        <w:rPr>
          <w:rFonts w:ascii="Times New Roman" w:eastAsia="Times New Roman" w:hAnsi="Times New Roman" w:cs="Times New Roman"/>
          <w:sz w:val="24"/>
          <w:szCs w:val="24"/>
        </w:rPr>
        <w:t xml:space="preserve"> full disclosure, which includes information that supplements the basic financial statements, puts the presented information in context and facilitates an understanding of the accounting practices applied. Such standards should: </w:t>
      </w:r>
    </w:p>
    <w:p w:rsidR="00B01474" w:rsidRPr="0039296F" w:rsidRDefault="00B01474" w:rsidP="00B01474">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be consistent with an underlying accounting conceptual framework; </w:t>
      </w:r>
    </w:p>
    <w:p w:rsidR="00B01474" w:rsidRPr="0039296F" w:rsidRDefault="00B01474" w:rsidP="00B01474">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result in comparable accounting by registrants for similar transactions, by avoiding or minimizing alternative accounting treatments; </w:t>
      </w:r>
    </w:p>
    <w:p w:rsidR="00B01474" w:rsidRPr="0039296F" w:rsidRDefault="00B01474" w:rsidP="00B01474">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require consistent accounting policies from one period to the next; and </w:t>
      </w:r>
    </w:p>
    <w:p w:rsidR="00B01474" w:rsidRPr="0039296F" w:rsidRDefault="00C410FC" w:rsidP="00B01474">
      <w:pPr>
        <w:pStyle w:val="ListParagraph"/>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Be</w:t>
      </w:r>
      <w:r w:rsidR="00B01474" w:rsidRPr="0039296F">
        <w:rPr>
          <w:rFonts w:ascii="Times New Roman" w:eastAsia="Times New Roman" w:hAnsi="Times New Roman" w:cs="Times New Roman"/>
          <w:sz w:val="24"/>
          <w:szCs w:val="24"/>
        </w:rPr>
        <w:t xml:space="preserve"> clear and unambiguous. </w:t>
      </w:r>
    </w:p>
    <w:p w:rsidR="00B01474" w:rsidRPr="00B01474" w:rsidRDefault="00B01474" w:rsidP="00B01474">
      <w:p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In assessing the quality of the </w:t>
      </w:r>
      <w:r w:rsidR="00AE7810">
        <w:rPr>
          <w:rFonts w:ascii="Times New Roman" w:eastAsia="Times New Roman" w:hAnsi="Times New Roman" w:cs="Times New Roman"/>
          <w:sz w:val="24"/>
          <w:szCs w:val="24"/>
        </w:rPr>
        <w:t>IASB</w:t>
      </w:r>
      <w:r w:rsidRPr="00B01474">
        <w:rPr>
          <w:rFonts w:ascii="Times New Roman" w:eastAsia="Times New Roman" w:hAnsi="Times New Roman" w:cs="Times New Roman"/>
          <w:sz w:val="24"/>
          <w:szCs w:val="24"/>
        </w:rPr>
        <w:t xml:space="preserve"> standards, we are applying these criteria on a standard-by-standard basis, as well as to the </w:t>
      </w:r>
      <w:r w:rsidR="00AE7810">
        <w:rPr>
          <w:rFonts w:ascii="Times New Roman" w:eastAsia="Times New Roman" w:hAnsi="Times New Roman" w:cs="Times New Roman"/>
          <w:sz w:val="24"/>
          <w:szCs w:val="24"/>
        </w:rPr>
        <w:t>IASB</w:t>
      </w:r>
      <w:r w:rsidRPr="00B01474">
        <w:rPr>
          <w:rFonts w:ascii="Times New Roman" w:eastAsia="Times New Roman" w:hAnsi="Times New Roman" w:cs="Times New Roman"/>
          <w:sz w:val="24"/>
          <w:szCs w:val="24"/>
        </w:rPr>
        <w:t xml:space="preserve"> standards as a</w:t>
      </w:r>
      <w:r w:rsidRPr="0039296F">
        <w:rPr>
          <w:rFonts w:ascii="Times New Roman" w:eastAsia="Times New Roman" w:hAnsi="Times New Roman" w:cs="Times New Roman"/>
          <w:sz w:val="24"/>
          <w:szCs w:val="24"/>
        </w:rPr>
        <w:t xml:space="preserve"> whole. Issues that have arisen include</w:t>
      </w:r>
      <w:r w:rsidRPr="00B01474">
        <w:rPr>
          <w:rFonts w:ascii="Times New Roman" w:eastAsia="Times New Roman" w:hAnsi="Times New Roman" w:cs="Times New Roman"/>
          <w:sz w:val="24"/>
          <w:szCs w:val="24"/>
        </w:rPr>
        <w:t xml:space="preserve">: </w:t>
      </w:r>
    </w:p>
    <w:p w:rsidR="00B01474" w:rsidRPr="0039296F" w:rsidRDefault="00B01474" w:rsidP="00C410F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the ability to override an IAS where application of the IAS would not result in a "true and fair view" (see IAS 1);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the option to revalue property, plant and equipment to fair value (see IAS 16);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transition provisions that permit unrecognized minimum pension and employee benefit obligations (see IAS 19);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the amortization of negative goodwill to offset restructuring costs (see IAS 22);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unlimited useful lives for goodwill and other intangibles (see IAS 22 and IAS 38);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the capitalization of costs related to the development of internally generated intangible assets (see IAS 38); </w:t>
      </w:r>
    </w:p>
    <w:p w:rsidR="00B01474" w:rsidRPr="00B01474" w:rsidRDefault="00B01474" w:rsidP="00C410F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1474">
        <w:rPr>
          <w:rFonts w:ascii="Times New Roman" w:eastAsia="Times New Roman" w:hAnsi="Times New Roman" w:cs="Times New Roman"/>
          <w:sz w:val="24"/>
          <w:szCs w:val="24"/>
        </w:rPr>
        <w:t xml:space="preserve">the </w:t>
      </w:r>
      <w:proofErr w:type="spellStart"/>
      <w:r w:rsidRPr="00B01474">
        <w:rPr>
          <w:rFonts w:ascii="Times New Roman" w:eastAsia="Times New Roman" w:hAnsi="Times New Roman" w:cs="Times New Roman"/>
          <w:sz w:val="24"/>
          <w:szCs w:val="24"/>
        </w:rPr>
        <w:t>remeasurement</w:t>
      </w:r>
      <w:proofErr w:type="spellEnd"/>
      <w:r w:rsidRPr="00B01474">
        <w:rPr>
          <w:rFonts w:ascii="Times New Roman" w:eastAsia="Times New Roman" w:hAnsi="Times New Roman" w:cs="Times New Roman"/>
          <w:sz w:val="24"/>
          <w:szCs w:val="24"/>
        </w:rPr>
        <w:t xml:space="preserve"> of impaired assets at an amount other than fair value (see IAS 36); and </w:t>
      </w:r>
    </w:p>
    <w:p w:rsidR="00C410FC" w:rsidRPr="0039296F" w:rsidRDefault="00C410FC" w:rsidP="00BC215A">
      <w:pPr>
        <w:pStyle w:val="NormalWeb"/>
        <w:numPr>
          <w:ilvl w:val="0"/>
          <w:numId w:val="5"/>
        </w:numPr>
      </w:pPr>
      <w:r w:rsidRPr="0039296F">
        <w:rPr>
          <w:u w:val="single"/>
        </w:rPr>
        <w:t>The Need for a Financial Reporting Infrastructure</w:t>
      </w:r>
      <w:r w:rsidRPr="0039296F">
        <w:t xml:space="preserve"> </w:t>
      </w:r>
    </w:p>
    <w:p w:rsidR="00C410FC" w:rsidRPr="0039296F" w:rsidRDefault="00C410FC" w:rsidP="00EE4C31">
      <w:pPr>
        <w:pStyle w:val="NormalWeb"/>
        <w:rPr>
          <w:rFonts w:ascii="Times New Roman" w:hAnsi="Times New Roman"/>
          <w:sz w:val="24"/>
          <w:szCs w:val="24"/>
        </w:rPr>
      </w:pPr>
      <w:r w:rsidRPr="0039296F">
        <w:rPr>
          <w:rFonts w:ascii="Times New Roman" w:hAnsi="Times New Roman"/>
          <w:sz w:val="24"/>
          <w:szCs w:val="24"/>
        </w:rPr>
        <w:t xml:space="preserve">Effective financial reporting begins with management, which is responsible for implementing and applying properly a comprehensive body of accounting principles. Rigorous and consistent application of accounting standards also depends on implementation efforts of the standard-setter, auditors and regulators. There are concerns that current </w:t>
      </w:r>
      <w:r w:rsidR="00AE7810">
        <w:rPr>
          <w:rFonts w:ascii="Times New Roman" w:hAnsi="Times New Roman"/>
          <w:sz w:val="24"/>
          <w:szCs w:val="24"/>
        </w:rPr>
        <w:t>IASB</w:t>
      </w:r>
      <w:r w:rsidRPr="0039296F">
        <w:rPr>
          <w:rFonts w:ascii="Times New Roman" w:hAnsi="Times New Roman"/>
          <w:sz w:val="24"/>
          <w:szCs w:val="24"/>
        </w:rPr>
        <w:t xml:space="preserve"> standards may not be rigorously and consistently applied. For examp</w:t>
      </w:r>
      <w:r w:rsidR="00BC215A" w:rsidRPr="0039296F">
        <w:rPr>
          <w:rFonts w:ascii="Times New Roman" w:hAnsi="Times New Roman"/>
          <w:sz w:val="24"/>
          <w:szCs w:val="24"/>
        </w:rPr>
        <w:t xml:space="preserve">le, a recent study authored </w:t>
      </w:r>
      <w:r w:rsidR="003C0AF5" w:rsidRPr="0039296F">
        <w:rPr>
          <w:rFonts w:ascii="Times New Roman" w:hAnsi="Times New Roman"/>
          <w:sz w:val="24"/>
          <w:szCs w:val="24"/>
        </w:rPr>
        <w:t xml:space="preserve">by </w:t>
      </w:r>
      <w:r w:rsidR="00AE7810">
        <w:rPr>
          <w:rFonts w:ascii="Times New Roman" w:hAnsi="Times New Roman"/>
          <w:sz w:val="24"/>
          <w:szCs w:val="24"/>
        </w:rPr>
        <w:t>IASB</w:t>
      </w:r>
      <w:r w:rsidR="003C0AF5" w:rsidRPr="0039296F">
        <w:rPr>
          <w:rFonts w:ascii="Times New Roman" w:hAnsi="Times New Roman"/>
          <w:sz w:val="24"/>
          <w:szCs w:val="24"/>
        </w:rPr>
        <w:t xml:space="preserve"> identifies</w:t>
      </w:r>
      <w:r w:rsidRPr="0039296F">
        <w:rPr>
          <w:rFonts w:ascii="Times New Roman" w:hAnsi="Times New Roman"/>
          <w:sz w:val="24"/>
          <w:szCs w:val="24"/>
        </w:rPr>
        <w:t xml:space="preserve"> non-compliance with </w:t>
      </w:r>
      <w:r w:rsidR="00AE7810">
        <w:rPr>
          <w:rFonts w:ascii="Times New Roman" w:hAnsi="Times New Roman"/>
          <w:sz w:val="24"/>
          <w:szCs w:val="24"/>
        </w:rPr>
        <w:t>IASB</w:t>
      </w:r>
      <w:r w:rsidRPr="0039296F">
        <w:rPr>
          <w:rFonts w:ascii="Times New Roman" w:hAnsi="Times New Roman"/>
          <w:sz w:val="24"/>
          <w:szCs w:val="24"/>
        </w:rPr>
        <w:t xml:space="preserve"> standards by a number of the 125 companies surveyed. It also cites examples of auditors who failed to identify properly a lack of compliance with </w:t>
      </w:r>
      <w:r w:rsidR="00AE7810">
        <w:rPr>
          <w:rFonts w:ascii="Times New Roman" w:hAnsi="Times New Roman"/>
          <w:sz w:val="24"/>
          <w:szCs w:val="24"/>
        </w:rPr>
        <w:t>IASB</w:t>
      </w:r>
      <w:r w:rsidRPr="0039296F">
        <w:rPr>
          <w:rFonts w:ascii="Times New Roman" w:hAnsi="Times New Roman"/>
          <w:sz w:val="24"/>
          <w:szCs w:val="24"/>
        </w:rPr>
        <w:t xml:space="preserve"> requirements in their reports on an issuer's financial statements. </w:t>
      </w:r>
    </w:p>
    <w:p w:rsidR="003C0AF5" w:rsidRPr="0039296F" w:rsidRDefault="00AE7810" w:rsidP="003C0AF5">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Pr>
          <w:rFonts w:ascii="Verdana" w:eastAsia="Times New Roman" w:hAnsi="Verdana" w:cs="Times New Roman"/>
          <w:sz w:val="20"/>
          <w:szCs w:val="20"/>
          <w:u w:val="single"/>
        </w:rPr>
        <w:t>Can the IASB</w:t>
      </w:r>
      <w:r w:rsidR="003C0AF5" w:rsidRPr="0039296F">
        <w:rPr>
          <w:rFonts w:ascii="Verdana" w:eastAsia="Times New Roman" w:hAnsi="Verdana" w:cs="Times New Roman"/>
          <w:sz w:val="20"/>
          <w:szCs w:val="20"/>
          <w:u w:val="single"/>
        </w:rPr>
        <w:t xml:space="preserve"> Standards be rigorously Interpreted and Applied?</w:t>
      </w:r>
      <w:r w:rsidR="003C0AF5" w:rsidRPr="0039296F">
        <w:rPr>
          <w:rFonts w:ascii="Verdana" w:eastAsia="Times New Roman" w:hAnsi="Verdana" w:cs="Times New Roman"/>
          <w:sz w:val="20"/>
          <w:szCs w:val="20"/>
        </w:rPr>
        <w:t xml:space="preserve"> </w:t>
      </w:r>
    </w:p>
    <w:p w:rsidR="003C0AF5" w:rsidRPr="0039296F" w:rsidRDefault="003C0AF5" w:rsidP="00EE4C31">
      <w:p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High quality financial reporting cannot be guaranteed solely by developing accounting standards with the strongest theoretical bases; financial reporting may be weak if conceptually sound standards are not rigorously interpreted and applied. If accounting standards are to satisfy the objective of having similar transactions and events accounted for in similar ways, preparers must recognize their responsibility to apply these standards in a way that is faithful to both the requirements and intent of the standards, and auditors and regulators around the world must insist on rigorous interpretation and application of those standards. Otherwise, the comparability and transparency that are the objectives of common standards will be eroded. </w:t>
      </w:r>
      <w:r w:rsidR="00F634CE" w:rsidRPr="0039296F">
        <w:rPr>
          <w:rFonts w:ascii="Verdana" w:eastAsia="Times New Roman" w:hAnsi="Verdana" w:cs="Times New Roman"/>
          <w:sz w:val="20"/>
          <w:szCs w:val="20"/>
        </w:rPr>
        <w:t xml:space="preserve">In order for </w:t>
      </w:r>
      <w:proofErr w:type="spellStart"/>
      <w:r w:rsidR="00F634CE" w:rsidRPr="0039296F">
        <w:rPr>
          <w:rFonts w:ascii="Times New Roman" w:eastAsia="Times New Roman" w:hAnsi="Times New Roman" w:cs="Times New Roman"/>
          <w:sz w:val="24"/>
          <w:szCs w:val="24"/>
        </w:rPr>
        <w:t>any body</w:t>
      </w:r>
      <w:proofErr w:type="spellEnd"/>
      <w:r w:rsidR="00F634CE" w:rsidRPr="0039296F">
        <w:rPr>
          <w:rFonts w:ascii="Times New Roman" w:eastAsia="Times New Roman" w:hAnsi="Times New Roman" w:cs="Times New Roman"/>
          <w:sz w:val="24"/>
          <w:szCs w:val="24"/>
        </w:rPr>
        <w:t xml:space="preserve"> of standards to be able to be rigorously interpreted and applied, there must be a sufficient level of implementation guidance. Th</w:t>
      </w:r>
      <w:r w:rsidR="00AE7810">
        <w:rPr>
          <w:rFonts w:ascii="Times New Roman" w:eastAsia="Times New Roman" w:hAnsi="Times New Roman" w:cs="Times New Roman"/>
          <w:sz w:val="24"/>
          <w:szCs w:val="24"/>
        </w:rPr>
        <w:t>e IASB</w:t>
      </w:r>
      <w:r w:rsidR="00F634CE" w:rsidRPr="0039296F">
        <w:rPr>
          <w:rFonts w:ascii="Times New Roman" w:eastAsia="Times New Roman" w:hAnsi="Times New Roman" w:cs="Times New Roman"/>
          <w:sz w:val="24"/>
          <w:szCs w:val="24"/>
        </w:rPr>
        <w:t xml:space="preserve"> standards provide scant implementation guidance</w:t>
      </w:r>
    </w:p>
    <w:p w:rsidR="00F634CE" w:rsidRPr="0039296F" w:rsidRDefault="00F634CE" w:rsidP="00F634CE">
      <w:pPr>
        <w:pStyle w:val="ListParagraph"/>
        <w:numPr>
          <w:ilvl w:val="0"/>
          <w:numId w:val="5"/>
        </w:numPr>
        <w:spacing w:before="100" w:beforeAutospacing="1" w:after="100" w:afterAutospacing="1" w:line="240" w:lineRule="auto"/>
        <w:rPr>
          <w:rFonts w:ascii="Verdana" w:eastAsia="Times New Roman" w:hAnsi="Verdana" w:cs="Times New Roman"/>
          <w:sz w:val="20"/>
          <w:szCs w:val="20"/>
        </w:rPr>
      </w:pPr>
      <w:r w:rsidRPr="0039296F">
        <w:rPr>
          <w:rFonts w:ascii="Verdana" w:eastAsia="Times New Roman" w:hAnsi="Verdana" w:cs="Times New Roman"/>
          <w:sz w:val="20"/>
          <w:szCs w:val="20"/>
          <w:u w:val="single"/>
        </w:rPr>
        <w:lastRenderedPageBreak/>
        <w:t>The Interpretive Role of the Standard-Setter</w:t>
      </w:r>
      <w:r w:rsidRPr="0039296F">
        <w:rPr>
          <w:rFonts w:ascii="Verdana" w:eastAsia="Times New Roman" w:hAnsi="Verdana" w:cs="Times New Roman"/>
          <w:sz w:val="20"/>
          <w:szCs w:val="20"/>
        </w:rPr>
        <w:t xml:space="preserve"> </w:t>
      </w:r>
    </w:p>
    <w:p w:rsidR="00F634CE" w:rsidRPr="0039296F" w:rsidRDefault="00F634CE" w:rsidP="00EE4C31">
      <w:p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In order for a set of accounting standards to be fully operational, the standard-setter must support reasonably consistent application of its standards. A standard-setter's responsibility for ensuring consistent application of its standards includes providing an effective mechanism for identifying and addressing interpretive questions in an expeditious fashion. </w:t>
      </w:r>
    </w:p>
    <w:p w:rsidR="00F634CE" w:rsidRPr="0039296F" w:rsidRDefault="00F634CE" w:rsidP="00EE4C31">
      <w:p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The </w:t>
      </w:r>
      <w:r w:rsidR="00AE7810">
        <w:rPr>
          <w:rFonts w:ascii="Times New Roman" w:eastAsia="Times New Roman" w:hAnsi="Times New Roman" w:cs="Times New Roman"/>
          <w:sz w:val="24"/>
          <w:szCs w:val="24"/>
        </w:rPr>
        <w:t>IASB</w:t>
      </w:r>
      <w:r w:rsidRPr="0039296F">
        <w:rPr>
          <w:rFonts w:ascii="Times New Roman" w:eastAsia="Times New Roman" w:hAnsi="Times New Roman" w:cs="Times New Roman"/>
          <w:sz w:val="24"/>
          <w:szCs w:val="24"/>
        </w:rPr>
        <w:t xml:space="preserve"> began addressing interpretive issues in 1997 with the creation of its Standing Interpretations Committee (SIC) and later the International financial standards interpretation committee (IFRIC) to provide resolution of interpretive issues arising in the application of the </w:t>
      </w:r>
      <w:r w:rsidR="00AE7810">
        <w:rPr>
          <w:rFonts w:ascii="Times New Roman" w:eastAsia="Times New Roman" w:hAnsi="Times New Roman" w:cs="Times New Roman"/>
          <w:sz w:val="24"/>
          <w:szCs w:val="24"/>
        </w:rPr>
        <w:t>IASB</w:t>
      </w:r>
      <w:r w:rsidRPr="0039296F">
        <w:rPr>
          <w:rFonts w:ascii="Times New Roman" w:eastAsia="Times New Roman" w:hAnsi="Times New Roman" w:cs="Times New Roman"/>
          <w:sz w:val="24"/>
          <w:szCs w:val="24"/>
        </w:rPr>
        <w:t xml:space="preserve"> standards that are likely to receive divergent or unacceptable treatment in the absence of authoritative guidance. </w:t>
      </w:r>
    </w:p>
    <w:p w:rsidR="00383AE2" w:rsidRPr="005A5E04" w:rsidRDefault="00383AE2" w:rsidP="00383AE2">
      <w:p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 xml:space="preserve">In providing this interpretive role, the standards setter should have an </w:t>
      </w:r>
      <w:r w:rsidRPr="005A5E04">
        <w:rPr>
          <w:rFonts w:ascii="Times New Roman" w:eastAsia="Times New Roman" w:hAnsi="Times New Roman" w:cs="Times New Roman"/>
          <w:sz w:val="24"/>
          <w:szCs w:val="24"/>
        </w:rPr>
        <w:t>independent Board whose members are selected based on technical expertise, with oversight provided by an independent set of Trustees</w:t>
      </w:r>
      <w:r w:rsidRPr="0039296F">
        <w:rPr>
          <w:rFonts w:ascii="Times New Roman" w:eastAsia="Times New Roman" w:hAnsi="Times New Roman" w:cs="Times New Roman"/>
          <w:sz w:val="24"/>
          <w:szCs w:val="24"/>
        </w:rPr>
        <w:t xml:space="preserve">. </w:t>
      </w:r>
      <w:r w:rsidRPr="005A5E04">
        <w:rPr>
          <w:rFonts w:ascii="Times New Roman" w:eastAsia="Times New Roman" w:hAnsi="Times New Roman" w:cs="Times New Roman"/>
          <w:sz w:val="24"/>
          <w:szCs w:val="24"/>
        </w:rPr>
        <w:t xml:space="preserve">An effective high quality standard-setter is characterized by: </w:t>
      </w:r>
    </w:p>
    <w:p w:rsidR="00383AE2" w:rsidRPr="005A5E04" w:rsidRDefault="00383AE2" w:rsidP="00383A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A</w:t>
      </w:r>
      <w:r w:rsidRPr="005A5E04">
        <w:rPr>
          <w:rFonts w:ascii="Times New Roman" w:eastAsia="Times New Roman" w:hAnsi="Times New Roman" w:cs="Times New Roman"/>
          <w:sz w:val="24"/>
          <w:szCs w:val="24"/>
        </w:rPr>
        <w:t xml:space="preserve">n independent decision-making body; </w:t>
      </w:r>
    </w:p>
    <w:p w:rsidR="00383AE2" w:rsidRPr="005A5E04" w:rsidRDefault="00383AE2" w:rsidP="00383A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A</w:t>
      </w:r>
      <w:r w:rsidRPr="005A5E04">
        <w:rPr>
          <w:rFonts w:ascii="Times New Roman" w:eastAsia="Times New Roman" w:hAnsi="Times New Roman" w:cs="Times New Roman"/>
          <w:sz w:val="24"/>
          <w:szCs w:val="24"/>
        </w:rPr>
        <w:t xml:space="preserve">n active advisory function; </w:t>
      </w:r>
    </w:p>
    <w:p w:rsidR="00383AE2" w:rsidRPr="005A5E04" w:rsidRDefault="00383AE2" w:rsidP="00383A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A</w:t>
      </w:r>
      <w:r w:rsidRPr="005A5E04">
        <w:rPr>
          <w:rFonts w:ascii="Times New Roman" w:eastAsia="Times New Roman" w:hAnsi="Times New Roman" w:cs="Times New Roman"/>
          <w:sz w:val="24"/>
          <w:szCs w:val="24"/>
        </w:rPr>
        <w:t xml:space="preserve"> sound due process; </w:t>
      </w:r>
    </w:p>
    <w:p w:rsidR="00383AE2" w:rsidRPr="005A5E04" w:rsidRDefault="00383AE2" w:rsidP="00383A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A</w:t>
      </w:r>
      <w:r w:rsidRPr="005A5E04">
        <w:rPr>
          <w:rFonts w:ascii="Times New Roman" w:eastAsia="Times New Roman" w:hAnsi="Times New Roman" w:cs="Times New Roman"/>
          <w:sz w:val="24"/>
          <w:szCs w:val="24"/>
        </w:rPr>
        <w:t xml:space="preserve">n effective interpretive function; </w:t>
      </w:r>
    </w:p>
    <w:p w:rsidR="00383AE2" w:rsidRPr="005A5E04" w:rsidRDefault="00383AE2" w:rsidP="00383AE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I</w:t>
      </w:r>
      <w:r w:rsidRPr="005A5E04">
        <w:rPr>
          <w:rFonts w:ascii="Times New Roman" w:eastAsia="Times New Roman" w:hAnsi="Times New Roman" w:cs="Times New Roman"/>
          <w:sz w:val="24"/>
          <w:szCs w:val="24"/>
        </w:rPr>
        <w:t xml:space="preserve">ndependent oversight representing the public interest; and </w:t>
      </w:r>
    </w:p>
    <w:p w:rsidR="0039296F" w:rsidRDefault="00383AE2" w:rsidP="0039296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296F">
        <w:rPr>
          <w:rFonts w:ascii="Times New Roman" w:eastAsia="Times New Roman" w:hAnsi="Times New Roman" w:cs="Times New Roman"/>
          <w:sz w:val="24"/>
          <w:szCs w:val="24"/>
        </w:rPr>
        <w:t>A</w:t>
      </w:r>
      <w:r w:rsidRPr="005A5E04">
        <w:rPr>
          <w:rFonts w:ascii="Times New Roman" w:eastAsia="Times New Roman" w:hAnsi="Times New Roman" w:cs="Times New Roman"/>
          <w:sz w:val="24"/>
          <w:szCs w:val="24"/>
        </w:rPr>
        <w:t xml:space="preserve">dequate funding and staffing. </w:t>
      </w:r>
    </w:p>
    <w:p w:rsidR="003C46BB" w:rsidRPr="003C46BB" w:rsidRDefault="003C46BB" w:rsidP="003C46BB">
      <w:pPr>
        <w:pStyle w:val="ListParagraph"/>
        <w:numPr>
          <w:ilvl w:val="0"/>
          <w:numId w:val="5"/>
        </w:numPr>
        <w:spacing w:before="100" w:beforeAutospacing="1" w:after="100" w:afterAutospacing="1" w:line="240" w:lineRule="auto"/>
        <w:rPr>
          <w:rFonts w:ascii="Verdana" w:eastAsia="Times New Roman" w:hAnsi="Verdana" w:cs="Times New Roman"/>
          <w:sz w:val="20"/>
          <w:szCs w:val="20"/>
          <w:u w:val="single"/>
        </w:rPr>
      </w:pPr>
      <w:r w:rsidRPr="003C46BB">
        <w:rPr>
          <w:rFonts w:ascii="Verdana" w:eastAsia="Times New Roman" w:hAnsi="Verdana" w:cs="Times New Roman"/>
          <w:sz w:val="20"/>
          <w:szCs w:val="20"/>
          <w:u w:val="single"/>
        </w:rPr>
        <w:t>Enforceability of standards</w:t>
      </w:r>
    </w:p>
    <w:p w:rsidR="003C46BB" w:rsidRDefault="000A4164" w:rsidP="000A4164">
      <w:pPr>
        <w:autoSpaceDE w:val="0"/>
        <w:autoSpaceDN w:val="0"/>
        <w:adjustRightInd w:val="0"/>
        <w:spacing w:after="0" w:line="240" w:lineRule="auto"/>
        <w:rPr>
          <w:rFonts w:ascii="Times New Roman" w:hAnsi="Times New Roman" w:cs="Times New Roman"/>
          <w:sz w:val="24"/>
          <w:szCs w:val="24"/>
        </w:rPr>
      </w:pPr>
      <w:r w:rsidRPr="000A4164">
        <w:rPr>
          <w:rFonts w:ascii="Times New Roman" w:hAnsi="Times New Roman" w:cs="Times New Roman"/>
          <w:sz w:val="24"/>
          <w:szCs w:val="24"/>
        </w:rPr>
        <w:t>The full benefits of a global set of financial reporting standards such as IFRS will be</w:t>
      </w:r>
      <w:r w:rsidR="005938C6">
        <w:rPr>
          <w:rFonts w:ascii="Times New Roman" w:hAnsi="Times New Roman" w:cs="Times New Roman"/>
          <w:sz w:val="24"/>
          <w:szCs w:val="24"/>
        </w:rPr>
        <w:t xml:space="preserve"> </w:t>
      </w:r>
      <w:r>
        <w:rPr>
          <w:rFonts w:ascii="Times New Roman" w:hAnsi="Times New Roman" w:cs="Times New Roman"/>
          <w:sz w:val="24"/>
          <w:szCs w:val="24"/>
        </w:rPr>
        <w:t>r</w:t>
      </w:r>
      <w:r w:rsidRPr="000A4164">
        <w:rPr>
          <w:rFonts w:ascii="Times New Roman" w:hAnsi="Times New Roman" w:cs="Times New Roman"/>
          <w:sz w:val="24"/>
          <w:szCs w:val="24"/>
        </w:rPr>
        <w:t>ealized only when these standards are consistently enforced. Thus, IFRS consist of only one element of the financial reporting infrastructure. The institutions responsible for enforcing IFRS need to realize that, due to the growing globalization of financ</w:t>
      </w:r>
      <w:r w:rsidR="005938C6">
        <w:rPr>
          <w:rFonts w:ascii="Times New Roman" w:hAnsi="Times New Roman" w:cs="Times New Roman"/>
          <w:sz w:val="24"/>
          <w:szCs w:val="24"/>
        </w:rPr>
        <w:t xml:space="preserve">ial markets, their </w:t>
      </w:r>
      <w:r w:rsidRPr="000A4164">
        <w:rPr>
          <w:rFonts w:ascii="Times New Roman" w:hAnsi="Times New Roman" w:cs="Times New Roman"/>
          <w:sz w:val="24"/>
          <w:szCs w:val="24"/>
        </w:rPr>
        <w:t>enforcement</w:t>
      </w:r>
      <w:r w:rsidR="005938C6">
        <w:rPr>
          <w:rFonts w:ascii="Times New Roman" w:hAnsi="Times New Roman" w:cs="Times New Roman"/>
          <w:sz w:val="24"/>
          <w:szCs w:val="24"/>
        </w:rPr>
        <w:t xml:space="preserve"> </w:t>
      </w:r>
      <w:r w:rsidRPr="000A4164">
        <w:rPr>
          <w:rFonts w:ascii="Times New Roman" w:hAnsi="Times New Roman" w:cs="Times New Roman"/>
          <w:sz w:val="24"/>
          <w:szCs w:val="24"/>
        </w:rPr>
        <w:t>efforts often protect both domestic and international investors.</w:t>
      </w:r>
    </w:p>
    <w:p w:rsidR="00951EEA" w:rsidRDefault="00951EEA" w:rsidP="000A4164">
      <w:pPr>
        <w:autoSpaceDE w:val="0"/>
        <w:autoSpaceDN w:val="0"/>
        <w:adjustRightInd w:val="0"/>
        <w:spacing w:after="0" w:line="240" w:lineRule="auto"/>
        <w:rPr>
          <w:rFonts w:ascii="Times New Roman" w:hAnsi="Times New Roman" w:cs="Times New Roman"/>
          <w:sz w:val="24"/>
          <w:szCs w:val="24"/>
        </w:rPr>
      </w:pPr>
    </w:p>
    <w:p w:rsidR="00951EEA" w:rsidRPr="00951EEA" w:rsidRDefault="00951EEA" w:rsidP="00951EEA">
      <w:pPr>
        <w:pStyle w:val="ListParagraph"/>
        <w:numPr>
          <w:ilvl w:val="0"/>
          <w:numId w:val="5"/>
        </w:numPr>
        <w:spacing w:before="100" w:beforeAutospacing="1" w:after="100" w:afterAutospacing="1" w:line="240" w:lineRule="auto"/>
        <w:rPr>
          <w:rFonts w:ascii="Verdana" w:eastAsia="Times New Roman" w:hAnsi="Verdana" w:cs="Times New Roman"/>
          <w:sz w:val="20"/>
          <w:szCs w:val="20"/>
          <w:u w:val="single"/>
        </w:rPr>
      </w:pPr>
      <w:r w:rsidRPr="00951EEA">
        <w:rPr>
          <w:rFonts w:ascii="Verdana" w:eastAsia="Times New Roman" w:hAnsi="Verdana" w:cs="Times New Roman"/>
          <w:sz w:val="20"/>
          <w:szCs w:val="20"/>
          <w:u w:val="single"/>
        </w:rPr>
        <w:t>Technical issues</w:t>
      </w:r>
    </w:p>
    <w:p w:rsidR="00951EEA" w:rsidRDefault="00951EEA" w:rsidP="00951E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Practical implementation of IFRS requires adequate technical capacity among preparers, auditors, users and regulatory authorities. Countries that implement IFRS face a variety of</w:t>
      </w:r>
    </w:p>
    <w:p w:rsidR="00951EEA" w:rsidRPr="000A4164" w:rsidRDefault="00951EEA" w:rsidP="00951EE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capacity-related issues, depending on the approach they take.</w:t>
      </w:r>
    </w:p>
    <w:p w:rsidR="00A228C7" w:rsidRDefault="003C46BB" w:rsidP="00F92D0B">
      <w:pPr>
        <w:pStyle w:val="NormalWeb"/>
      </w:pPr>
      <w:r>
        <w:rPr>
          <w:b/>
          <w:bCs/>
        </w:rPr>
        <w:t>IFRS AND IAS SUMMARIES</w:t>
      </w:r>
      <w:r>
        <w:t xml:space="preserve"> </w:t>
      </w:r>
      <w:r w:rsidR="00F92D0B">
        <w:br/>
      </w:r>
      <w:r w:rsidR="00F92D0B">
        <w:br/>
      </w:r>
      <w:hyperlink r:id="rId12" w:history="1">
        <w:r w:rsidR="00F92D0B">
          <w:rPr>
            <w:rStyle w:val="Hyperlink"/>
          </w:rPr>
          <w:t>IFRS 1</w:t>
        </w:r>
      </w:hyperlink>
      <w:r w:rsidR="00F92D0B">
        <w:t xml:space="preserve"> </w:t>
      </w:r>
      <w:r w:rsidR="00F92D0B">
        <w:rPr>
          <w:i/>
          <w:iCs/>
        </w:rPr>
        <w:t>First-time Adoption of International Financial Reporting Standards</w:t>
      </w:r>
      <w:r w:rsidR="00F92D0B">
        <w:t xml:space="preserve"> </w:t>
      </w:r>
      <w:r w:rsidR="00F92D0B">
        <w:br/>
      </w:r>
      <w:hyperlink r:id="rId13" w:history="1">
        <w:r w:rsidR="00F92D0B">
          <w:rPr>
            <w:rStyle w:val="Hyperlink"/>
          </w:rPr>
          <w:t>IFRS 2</w:t>
        </w:r>
      </w:hyperlink>
      <w:r w:rsidR="00F92D0B">
        <w:t xml:space="preserve"> </w:t>
      </w:r>
      <w:r w:rsidR="00F92D0B">
        <w:rPr>
          <w:i/>
          <w:iCs/>
        </w:rPr>
        <w:t>Share-based Payment</w:t>
      </w:r>
      <w:r w:rsidR="00F92D0B">
        <w:t xml:space="preserve"> </w:t>
      </w:r>
      <w:r w:rsidR="00F92D0B">
        <w:br/>
      </w:r>
      <w:hyperlink r:id="rId14" w:history="1">
        <w:r w:rsidR="00F92D0B">
          <w:rPr>
            <w:rStyle w:val="Hyperlink"/>
          </w:rPr>
          <w:t>IFRS 3</w:t>
        </w:r>
      </w:hyperlink>
      <w:r w:rsidR="00F92D0B">
        <w:t xml:space="preserve"> </w:t>
      </w:r>
      <w:r w:rsidR="00F92D0B">
        <w:rPr>
          <w:i/>
          <w:iCs/>
        </w:rPr>
        <w:t>Business Combinations</w:t>
      </w:r>
      <w:r w:rsidR="00F92D0B">
        <w:t xml:space="preserve"> </w:t>
      </w:r>
      <w:r w:rsidR="00F92D0B">
        <w:br/>
      </w:r>
      <w:hyperlink r:id="rId15" w:tooltip="IFRS 4" w:history="1">
        <w:r w:rsidR="00F92D0B">
          <w:rPr>
            <w:rStyle w:val="Hyperlink"/>
          </w:rPr>
          <w:t>IFRS 4</w:t>
        </w:r>
      </w:hyperlink>
      <w:r w:rsidR="00F92D0B">
        <w:t>  Insurance Contracts</w:t>
      </w:r>
    </w:p>
    <w:p w:rsidR="00F92D0B" w:rsidRDefault="00B110C8" w:rsidP="00F92D0B">
      <w:pPr>
        <w:pStyle w:val="NormalWeb"/>
      </w:pPr>
      <w:hyperlink r:id="rId16" w:history="1">
        <w:r w:rsidR="00F92D0B">
          <w:rPr>
            <w:rStyle w:val="Hyperlink"/>
          </w:rPr>
          <w:t>IFRS 5</w:t>
        </w:r>
      </w:hyperlink>
      <w:r w:rsidR="00F92D0B">
        <w:t xml:space="preserve"> </w:t>
      </w:r>
      <w:r w:rsidR="00F92D0B">
        <w:rPr>
          <w:i/>
          <w:iCs/>
        </w:rPr>
        <w:t>Non-current Assets Held for Sale and Discontinued Operations</w:t>
      </w:r>
      <w:r w:rsidR="00A228C7">
        <w:t xml:space="preserve"> </w:t>
      </w:r>
      <w:r w:rsidR="00F92D0B">
        <w:br/>
      </w:r>
      <w:hyperlink r:id="rId17" w:history="1">
        <w:r w:rsidR="00F92D0B">
          <w:rPr>
            <w:rStyle w:val="Hyperlink"/>
          </w:rPr>
          <w:t>IAS 1</w:t>
        </w:r>
      </w:hyperlink>
      <w:r w:rsidR="00F92D0B">
        <w:t xml:space="preserve"> </w:t>
      </w:r>
      <w:r w:rsidR="00F92D0B">
        <w:rPr>
          <w:i/>
          <w:iCs/>
        </w:rPr>
        <w:t>Presentation of Financial Statements</w:t>
      </w:r>
      <w:r w:rsidR="00F92D0B">
        <w:t xml:space="preserve"> </w:t>
      </w:r>
      <w:r w:rsidR="00F92D0B">
        <w:br/>
      </w:r>
      <w:hyperlink r:id="rId18" w:history="1">
        <w:r w:rsidR="00F92D0B">
          <w:rPr>
            <w:rStyle w:val="Hyperlink"/>
          </w:rPr>
          <w:t>IAS 2</w:t>
        </w:r>
      </w:hyperlink>
      <w:r w:rsidR="00F92D0B">
        <w:t xml:space="preserve"> </w:t>
      </w:r>
      <w:r w:rsidR="00F92D0B">
        <w:rPr>
          <w:i/>
          <w:iCs/>
        </w:rPr>
        <w:t>Inventories</w:t>
      </w:r>
      <w:r w:rsidR="00F92D0B">
        <w:t xml:space="preserve"> </w:t>
      </w:r>
      <w:r w:rsidR="00F92D0B">
        <w:br/>
      </w:r>
      <w:hyperlink r:id="rId19" w:history="1">
        <w:r w:rsidR="00F92D0B">
          <w:rPr>
            <w:rStyle w:val="Hyperlink"/>
          </w:rPr>
          <w:t>IAS 7</w:t>
        </w:r>
      </w:hyperlink>
      <w:r w:rsidR="00F92D0B">
        <w:t xml:space="preserve"> </w:t>
      </w:r>
      <w:r w:rsidR="00F92D0B">
        <w:rPr>
          <w:i/>
          <w:iCs/>
        </w:rPr>
        <w:t>Cash Flow Statements</w:t>
      </w:r>
      <w:r w:rsidR="00F92D0B">
        <w:t xml:space="preserve"> </w:t>
      </w:r>
      <w:r w:rsidR="00F92D0B">
        <w:br/>
      </w:r>
      <w:hyperlink r:id="rId20" w:history="1">
        <w:r w:rsidR="00F92D0B">
          <w:rPr>
            <w:rStyle w:val="Hyperlink"/>
          </w:rPr>
          <w:t>IAS 8</w:t>
        </w:r>
      </w:hyperlink>
      <w:r w:rsidR="00F92D0B">
        <w:t xml:space="preserve"> </w:t>
      </w:r>
      <w:r w:rsidR="00F92D0B">
        <w:rPr>
          <w:i/>
          <w:iCs/>
        </w:rPr>
        <w:t>Accounting Policies, Changes in Accounting Estimates and Errors</w:t>
      </w:r>
      <w:r w:rsidR="00F92D0B">
        <w:t xml:space="preserve"> </w:t>
      </w:r>
      <w:r w:rsidR="00F92D0B">
        <w:br/>
      </w:r>
      <w:hyperlink r:id="rId21" w:history="1">
        <w:r w:rsidR="00F92D0B">
          <w:rPr>
            <w:rStyle w:val="Hyperlink"/>
          </w:rPr>
          <w:t>IAS 10</w:t>
        </w:r>
      </w:hyperlink>
      <w:r w:rsidR="00F92D0B">
        <w:t xml:space="preserve"> </w:t>
      </w:r>
      <w:r w:rsidR="00F92D0B">
        <w:rPr>
          <w:i/>
          <w:iCs/>
        </w:rPr>
        <w:t>Events After the Balance Sheet Date</w:t>
      </w:r>
      <w:r w:rsidR="00F92D0B">
        <w:t xml:space="preserve"> </w:t>
      </w:r>
      <w:r w:rsidR="00F92D0B">
        <w:br/>
      </w:r>
      <w:hyperlink r:id="rId22" w:history="1">
        <w:r w:rsidR="00F92D0B">
          <w:rPr>
            <w:rStyle w:val="Hyperlink"/>
          </w:rPr>
          <w:t>IAS 11</w:t>
        </w:r>
      </w:hyperlink>
      <w:r w:rsidR="00F92D0B">
        <w:t xml:space="preserve"> </w:t>
      </w:r>
      <w:r w:rsidR="00F92D0B">
        <w:rPr>
          <w:i/>
          <w:iCs/>
        </w:rPr>
        <w:t>Construction Contracts</w:t>
      </w:r>
      <w:r w:rsidR="00F92D0B">
        <w:t xml:space="preserve"> </w:t>
      </w:r>
      <w:r w:rsidR="00F92D0B">
        <w:br/>
      </w:r>
      <w:hyperlink r:id="rId23" w:history="1">
        <w:r w:rsidR="00F92D0B">
          <w:rPr>
            <w:rStyle w:val="Hyperlink"/>
          </w:rPr>
          <w:t>IAS 12</w:t>
        </w:r>
      </w:hyperlink>
      <w:r w:rsidR="00F92D0B">
        <w:t xml:space="preserve"> </w:t>
      </w:r>
      <w:r w:rsidR="00F92D0B">
        <w:rPr>
          <w:i/>
          <w:iCs/>
        </w:rPr>
        <w:t>Income Taxes</w:t>
      </w:r>
      <w:r w:rsidR="00F92D0B">
        <w:t xml:space="preserve"> </w:t>
      </w:r>
      <w:r w:rsidR="00F92D0B">
        <w:br/>
      </w:r>
      <w:hyperlink r:id="rId24" w:history="1">
        <w:r w:rsidR="00F92D0B">
          <w:rPr>
            <w:rStyle w:val="Hyperlink"/>
          </w:rPr>
          <w:t>IAS 14</w:t>
        </w:r>
      </w:hyperlink>
      <w:r w:rsidR="00F92D0B">
        <w:t xml:space="preserve"> </w:t>
      </w:r>
      <w:r w:rsidR="00F92D0B">
        <w:rPr>
          <w:i/>
          <w:iCs/>
        </w:rPr>
        <w:t>Segment Reporting</w:t>
      </w:r>
      <w:r w:rsidR="00F92D0B">
        <w:t xml:space="preserve"> </w:t>
      </w:r>
      <w:r w:rsidR="00F92D0B">
        <w:br/>
      </w:r>
      <w:hyperlink r:id="rId25" w:history="1">
        <w:r w:rsidR="00F92D0B">
          <w:rPr>
            <w:rStyle w:val="Hyperlink"/>
          </w:rPr>
          <w:t>IAS 16</w:t>
        </w:r>
      </w:hyperlink>
      <w:r w:rsidR="00F92D0B">
        <w:t xml:space="preserve"> </w:t>
      </w:r>
      <w:r w:rsidR="00F92D0B">
        <w:rPr>
          <w:i/>
          <w:iCs/>
        </w:rPr>
        <w:t>Property, Plant and Equipment</w:t>
      </w:r>
      <w:r w:rsidR="00F92D0B">
        <w:t xml:space="preserve"> </w:t>
      </w:r>
      <w:r w:rsidR="00F92D0B">
        <w:br/>
      </w:r>
      <w:hyperlink r:id="rId26" w:history="1">
        <w:r w:rsidR="00F92D0B">
          <w:rPr>
            <w:rStyle w:val="Hyperlink"/>
          </w:rPr>
          <w:t>IAS 17</w:t>
        </w:r>
      </w:hyperlink>
      <w:r w:rsidR="00F92D0B">
        <w:t xml:space="preserve"> </w:t>
      </w:r>
      <w:r w:rsidR="00F92D0B">
        <w:rPr>
          <w:i/>
          <w:iCs/>
        </w:rPr>
        <w:t>Leases</w:t>
      </w:r>
      <w:r w:rsidR="00F92D0B">
        <w:t xml:space="preserve"> </w:t>
      </w:r>
      <w:r w:rsidR="00F92D0B">
        <w:br/>
      </w:r>
      <w:hyperlink r:id="rId27" w:history="1">
        <w:r w:rsidR="00F92D0B">
          <w:rPr>
            <w:rStyle w:val="Hyperlink"/>
          </w:rPr>
          <w:t>IAS 18</w:t>
        </w:r>
      </w:hyperlink>
      <w:r w:rsidR="00F92D0B">
        <w:t xml:space="preserve"> </w:t>
      </w:r>
      <w:r w:rsidR="00F92D0B">
        <w:rPr>
          <w:i/>
          <w:iCs/>
        </w:rPr>
        <w:t>Revenue</w:t>
      </w:r>
      <w:r w:rsidR="00F92D0B">
        <w:t xml:space="preserve"> </w:t>
      </w:r>
      <w:r w:rsidR="00F92D0B">
        <w:br/>
      </w:r>
      <w:hyperlink r:id="rId28" w:history="1">
        <w:r w:rsidR="00F92D0B">
          <w:rPr>
            <w:rStyle w:val="Hyperlink"/>
          </w:rPr>
          <w:t>IAS 19</w:t>
        </w:r>
      </w:hyperlink>
      <w:r w:rsidR="00F92D0B">
        <w:t xml:space="preserve"> </w:t>
      </w:r>
      <w:r w:rsidR="00F92D0B">
        <w:rPr>
          <w:i/>
          <w:iCs/>
        </w:rPr>
        <w:t>Employee Benefits</w:t>
      </w:r>
      <w:r w:rsidR="00F92D0B">
        <w:t xml:space="preserve"> </w:t>
      </w:r>
      <w:r w:rsidR="00F92D0B">
        <w:br/>
      </w:r>
      <w:hyperlink r:id="rId29" w:history="1">
        <w:r w:rsidR="00F92D0B">
          <w:rPr>
            <w:rStyle w:val="Hyperlink"/>
          </w:rPr>
          <w:t>IAS 20</w:t>
        </w:r>
      </w:hyperlink>
      <w:r w:rsidR="00F92D0B">
        <w:t xml:space="preserve"> </w:t>
      </w:r>
      <w:r w:rsidR="00F92D0B">
        <w:rPr>
          <w:i/>
          <w:iCs/>
        </w:rPr>
        <w:t>Accounting for Government Grants and Disclosure of Government Assistance</w:t>
      </w:r>
      <w:r w:rsidR="00F92D0B">
        <w:t xml:space="preserve"> </w:t>
      </w:r>
      <w:r w:rsidR="00F92D0B">
        <w:br/>
      </w:r>
      <w:hyperlink r:id="rId30" w:history="1">
        <w:r w:rsidR="00F92D0B">
          <w:rPr>
            <w:rStyle w:val="Hyperlink"/>
          </w:rPr>
          <w:t>IAS 21</w:t>
        </w:r>
      </w:hyperlink>
      <w:r w:rsidR="00F92D0B">
        <w:t xml:space="preserve"> </w:t>
      </w:r>
      <w:r w:rsidR="00F92D0B">
        <w:rPr>
          <w:i/>
          <w:iCs/>
        </w:rPr>
        <w:t>The Effects of Changes in Foreign Exchange Rates</w:t>
      </w:r>
      <w:r w:rsidR="00F92D0B">
        <w:t xml:space="preserve"> </w:t>
      </w:r>
      <w:r w:rsidR="00F92D0B">
        <w:br/>
      </w:r>
      <w:hyperlink r:id="rId31" w:history="1">
        <w:r w:rsidR="00F92D0B">
          <w:rPr>
            <w:rStyle w:val="Hyperlink"/>
          </w:rPr>
          <w:t>IAS 23</w:t>
        </w:r>
      </w:hyperlink>
      <w:r w:rsidR="00F92D0B">
        <w:t xml:space="preserve"> </w:t>
      </w:r>
      <w:r w:rsidR="00F92D0B">
        <w:rPr>
          <w:i/>
          <w:iCs/>
        </w:rPr>
        <w:t>Borrowing Costs</w:t>
      </w:r>
      <w:r w:rsidR="00F92D0B">
        <w:t xml:space="preserve"> </w:t>
      </w:r>
      <w:r w:rsidR="00F92D0B">
        <w:br/>
      </w:r>
      <w:hyperlink r:id="rId32" w:history="1">
        <w:r w:rsidR="00F92D0B">
          <w:rPr>
            <w:rStyle w:val="Hyperlink"/>
          </w:rPr>
          <w:t>IAS 24</w:t>
        </w:r>
      </w:hyperlink>
      <w:r w:rsidR="00F92D0B">
        <w:t xml:space="preserve"> </w:t>
      </w:r>
      <w:r w:rsidR="00F92D0B">
        <w:rPr>
          <w:i/>
          <w:iCs/>
        </w:rPr>
        <w:t>Related Party Disclosures</w:t>
      </w:r>
      <w:r w:rsidR="00F92D0B">
        <w:t xml:space="preserve"> </w:t>
      </w:r>
      <w:r w:rsidR="00F92D0B">
        <w:br/>
      </w:r>
      <w:hyperlink r:id="rId33" w:history="1">
        <w:r w:rsidR="00F92D0B">
          <w:rPr>
            <w:rStyle w:val="Hyperlink"/>
          </w:rPr>
          <w:t>IAS 26</w:t>
        </w:r>
      </w:hyperlink>
      <w:r w:rsidR="00F92D0B">
        <w:t xml:space="preserve"> </w:t>
      </w:r>
      <w:r w:rsidR="00F92D0B">
        <w:rPr>
          <w:i/>
          <w:iCs/>
        </w:rPr>
        <w:t>Accounting and Reporting by Retirement Benefit Plans</w:t>
      </w:r>
      <w:r w:rsidR="00F92D0B">
        <w:t xml:space="preserve"> </w:t>
      </w:r>
      <w:r w:rsidR="00F92D0B">
        <w:br/>
      </w:r>
      <w:hyperlink r:id="rId34" w:history="1">
        <w:r w:rsidR="00F92D0B">
          <w:rPr>
            <w:rStyle w:val="Hyperlink"/>
          </w:rPr>
          <w:t>IAS 27</w:t>
        </w:r>
      </w:hyperlink>
      <w:r w:rsidR="00F92D0B">
        <w:t xml:space="preserve"> </w:t>
      </w:r>
      <w:r w:rsidR="00F92D0B">
        <w:rPr>
          <w:i/>
          <w:iCs/>
        </w:rPr>
        <w:t>Consolidated and Separate Financial Statements</w:t>
      </w:r>
      <w:r w:rsidR="00F92D0B">
        <w:t xml:space="preserve"> </w:t>
      </w:r>
      <w:r w:rsidR="00F92D0B">
        <w:br/>
      </w:r>
      <w:hyperlink r:id="rId35" w:history="1">
        <w:r w:rsidR="00F92D0B">
          <w:rPr>
            <w:rStyle w:val="Hyperlink"/>
          </w:rPr>
          <w:t>IAS 28</w:t>
        </w:r>
      </w:hyperlink>
      <w:r w:rsidR="00F92D0B">
        <w:t xml:space="preserve"> </w:t>
      </w:r>
      <w:r w:rsidR="00F92D0B">
        <w:rPr>
          <w:i/>
          <w:iCs/>
        </w:rPr>
        <w:t>Investments in Associates</w:t>
      </w:r>
      <w:r w:rsidR="00F92D0B">
        <w:t xml:space="preserve"> </w:t>
      </w:r>
      <w:r w:rsidR="00F92D0B">
        <w:br/>
      </w:r>
      <w:hyperlink r:id="rId36" w:history="1">
        <w:r w:rsidR="00F92D0B">
          <w:rPr>
            <w:rStyle w:val="Hyperlink"/>
          </w:rPr>
          <w:t>IAS 29</w:t>
        </w:r>
      </w:hyperlink>
      <w:r w:rsidR="00F92D0B">
        <w:t xml:space="preserve"> </w:t>
      </w:r>
      <w:r w:rsidR="00F92D0B">
        <w:rPr>
          <w:i/>
          <w:iCs/>
        </w:rPr>
        <w:t>Financial Reporting in Hyperinflationary Economies</w:t>
      </w:r>
      <w:r w:rsidR="00F92D0B">
        <w:t xml:space="preserve"> </w:t>
      </w:r>
      <w:r w:rsidR="00F92D0B">
        <w:br/>
      </w:r>
      <w:hyperlink r:id="rId37" w:history="1">
        <w:r w:rsidR="00F92D0B">
          <w:rPr>
            <w:rStyle w:val="Hyperlink"/>
          </w:rPr>
          <w:t>IAS 30</w:t>
        </w:r>
      </w:hyperlink>
      <w:r w:rsidR="00F92D0B">
        <w:t xml:space="preserve"> </w:t>
      </w:r>
      <w:r w:rsidR="00F92D0B">
        <w:rPr>
          <w:i/>
          <w:iCs/>
        </w:rPr>
        <w:t>Disclosures in the Financial Statements of Banks and Similar Financial Institutions</w:t>
      </w:r>
      <w:r w:rsidR="00F92D0B">
        <w:t xml:space="preserve"> </w:t>
      </w:r>
      <w:r w:rsidR="00F92D0B">
        <w:br/>
      </w:r>
      <w:hyperlink r:id="rId38" w:history="1">
        <w:r w:rsidR="00F92D0B">
          <w:rPr>
            <w:rStyle w:val="Hyperlink"/>
          </w:rPr>
          <w:t>IAS 31</w:t>
        </w:r>
      </w:hyperlink>
      <w:r w:rsidR="00F92D0B">
        <w:t xml:space="preserve"> </w:t>
      </w:r>
      <w:r w:rsidR="00F92D0B">
        <w:rPr>
          <w:i/>
          <w:iCs/>
        </w:rPr>
        <w:t>Interests in Joint Ventures</w:t>
      </w:r>
      <w:r w:rsidR="00F92D0B">
        <w:t xml:space="preserve"> </w:t>
      </w:r>
      <w:r w:rsidR="00F92D0B">
        <w:br/>
      </w:r>
      <w:hyperlink r:id="rId39" w:history="1">
        <w:r w:rsidR="00F92D0B">
          <w:rPr>
            <w:rStyle w:val="Hyperlink"/>
          </w:rPr>
          <w:t>IAS 32</w:t>
        </w:r>
      </w:hyperlink>
      <w:r w:rsidR="00F92D0B">
        <w:t xml:space="preserve"> </w:t>
      </w:r>
      <w:r w:rsidR="00F92D0B">
        <w:rPr>
          <w:i/>
          <w:iCs/>
        </w:rPr>
        <w:t>Financial Instruments: Disclosure and Presentation</w:t>
      </w:r>
      <w:r w:rsidR="00F92D0B">
        <w:t xml:space="preserve"> </w:t>
      </w:r>
      <w:r w:rsidR="00F92D0B">
        <w:br/>
      </w:r>
      <w:hyperlink r:id="rId40" w:history="1">
        <w:r w:rsidR="00F92D0B">
          <w:rPr>
            <w:rStyle w:val="Hyperlink"/>
          </w:rPr>
          <w:t>IAS 33</w:t>
        </w:r>
      </w:hyperlink>
      <w:r w:rsidR="00F92D0B">
        <w:t xml:space="preserve"> </w:t>
      </w:r>
      <w:r w:rsidR="00F92D0B">
        <w:rPr>
          <w:i/>
          <w:iCs/>
        </w:rPr>
        <w:t>Earnings per Share</w:t>
      </w:r>
      <w:r w:rsidR="00F92D0B">
        <w:t xml:space="preserve"> </w:t>
      </w:r>
      <w:r w:rsidR="00F92D0B">
        <w:br/>
      </w:r>
      <w:hyperlink r:id="rId41" w:history="1">
        <w:r w:rsidR="00F92D0B">
          <w:rPr>
            <w:rStyle w:val="Hyperlink"/>
          </w:rPr>
          <w:t>IAS 34</w:t>
        </w:r>
      </w:hyperlink>
      <w:r w:rsidR="00F92D0B">
        <w:t xml:space="preserve"> </w:t>
      </w:r>
      <w:r w:rsidR="00F92D0B">
        <w:rPr>
          <w:i/>
          <w:iCs/>
        </w:rPr>
        <w:t>Interim Financial Reporting</w:t>
      </w:r>
      <w:r w:rsidR="00F92D0B">
        <w:t xml:space="preserve"> </w:t>
      </w:r>
      <w:r w:rsidR="00F92D0B">
        <w:br/>
      </w:r>
      <w:hyperlink r:id="rId42" w:history="1">
        <w:r w:rsidR="00F92D0B">
          <w:rPr>
            <w:rStyle w:val="Hyperlink"/>
          </w:rPr>
          <w:t>IAS 36</w:t>
        </w:r>
      </w:hyperlink>
      <w:r w:rsidR="00F92D0B">
        <w:t xml:space="preserve"> </w:t>
      </w:r>
      <w:r w:rsidR="00F92D0B">
        <w:rPr>
          <w:i/>
          <w:iCs/>
        </w:rPr>
        <w:t>Impairment of Assets</w:t>
      </w:r>
      <w:r w:rsidR="00F92D0B">
        <w:t xml:space="preserve"> </w:t>
      </w:r>
      <w:r w:rsidR="00F92D0B">
        <w:br/>
      </w:r>
      <w:hyperlink r:id="rId43" w:history="1">
        <w:r w:rsidR="00F92D0B">
          <w:rPr>
            <w:rStyle w:val="Hyperlink"/>
          </w:rPr>
          <w:t>IAS 37</w:t>
        </w:r>
      </w:hyperlink>
      <w:r w:rsidR="00F92D0B">
        <w:t xml:space="preserve"> </w:t>
      </w:r>
      <w:r w:rsidR="00F92D0B">
        <w:rPr>
          <w:i/>
          <w:iCs/>
        </w:rPr>
        <w:t>Provisions, Contingent Liabilities and Contingent Assets</w:t>
      </w:r>
      <w:r w:rsidR="00F92D0B">
        <w:t xml:space="preserve"> </w:t>
      </w:r>
      <w:r w:rsidR="00F92D0B">
        <w:br/>
      </w:r>
      <w:hyperlink r:id="rId44" w:history="1">
        <w:r w:rsidR="00F92D0B">
          <w:rPr>
            <w:rStyle w:val="Hyperlink"/>
          </w:rPr>
          <w:t>IAS 38</w:t>
        </w:r>
      </w:hyperlink>
      <w:r w:rsidR="00F92D0B">
        <w:t xml:space="preserve"> </w:t>
      </w:r>
      <w:r w:rsidR="00F92D0B">
        <w:rPr>
          <w:i/>
          <w:iCs/>
        </w:rPr>
        <w:t>Intangible Assets</w:t>
      </w:r>
      <w:r w:rsidR="00F92D0B">
        <w:t xml:space="preserve"> </w:t>
      </w:r>
      <w:r w:rsidR="00F92D0B">
        <w:br/>
      </w:r>
      <w:hyperlink r:id="rId45" w:history="1">
        <w:r w:rsidR="00F92D0B">
          <w:rPr>
            <w:rStyle w:val="Hyperlink"/>
          </w:rPr>
          <w:t>IAS 39</w:t>
        </w:r>
      </w:hyperlink>
      <w:r w:rsidR="00F92D0B">
        <w:t xml:space="preserve"> </w:t>
      </w:r>
      <w:r w:rsidR="00F92D0B">
        <w:rPr>
          <w:i/>
          <w:iCs/>
        </w:rPr>
        <w:t>Financial Instruments: Recognition and Measurement</w:t>
      </w:r>
      <w:r w:rsidR="00F92D0B">
        <w:t>.</w:t>
      </w:r>
      <w:r w:rsidR="00F92D0B">
        <w:br/>
      </w:r>
      <w:hyperlink r:id="rId46" w:history="1">
        <w:r w:rsidR="00F92D0B">
          <w:rPr>
            <w:rStyle w:val="Hyperlink"/>
          </w:rPr>
          <w:t>IAS 40</w:t>
        </w:r>
      </w:hyperlink>
      <w:r w:rsidR="00F92D0B">
        <w:t xml:space="preserve"> </w:t>
      </w:r>
      <w:r w:rsidR="00F92D0B">
        <w:rPr>
          <w:i/>
          <w:iCs/>
        </w:rPr>
        <w:t>Investment Property</w:t>
      </w:r>
      <w:r w:rsidR="00F92D0B">
        <w:t xml:space="preserve"> </w:t>
      </w:r>
      <w:r w:rsidR="00F92D0B">
        <w:br/>
      </w:r>
      <w:hyperlink r:id="rId47" w:history="1">
        <w:r w:rsidR="00F92D0B">
          <w:rPr>
            <w:rStyle w:val="Hyperlink"/>
          </w:rPr>
          <w:t>IAS 41</w:t>
        </w:r>
      </w:hyperlink>
      <w:r w:rsidR="00F92D0B">
        <w:t xml:space="preserve"> </w:t>
      </w:r>
      <w:r w:rsidR="00F92D0B">
        <w:rPr>
          <w:i/>
          <w:iCs/>
        </w:rPr>
        <w:t>Agriculture</w:t>
      </w:r>
      <w:r w:rsidR="00F92D0B">
        <w:t xml:space="preserve"> </w:t>
      </w:r>
    </w:p>
    <w:p w:rsidR="00AC7EED" w:rsidRDefault="0022789C" w:rsidP="0022789C">
      <w:pPr>
        <w:spacing w:before="100" w:beforeAutospacing="1" w:after="100" w:afterAutospacing="1" w:line="240" w:lineRule="auto"/>
        <w:rPr>
          <w:rFonts w:ascii="Verdana" w:eastAsia="Times New Roman" w:hAnsi="Verdana" w:cs="Times New Roman"/>
          <w:b/>
          <w:sz w:val="20"/>
          <w:szCs w:val="20"/>
          <w:u w:val="single"/>
        </w:rPr>
      </w:pPr>
      <w:r w:rsidRPr="0022789C">
        <w:rPr>
          <w:rFonts w:ascii="Verdana" w:eastAsia="Times New Roman" w:hAnsi="Verdana" w:cs="Times New Roman"/>
          <w:b/>
          <w:sz w:val="20"/>
          <w:szCs w:val="20"/>
          <w:u w:val="single"/>
        </w:rPr>
        <w:t>ACCOUNTING THEORY</w:t>
      </w:r>
    </w:p>
    <w:p w:rsidR="0022789C" w:rsidRDefault="0022789C" w:rsidP="0022789C">
      <w:pPr>
        <w:spacing w:before="100" w:beforeAutospacing="1" w:after="100" w:afterAutospacing="1" w:line="240" w:lineRule="auto"/>
        <w:rPr>
          <w:color w:val="000000"/>
        </w:rPr>
      </w:pPr>
      <w:r>
        <w:rPr>
          <w:color w:val="000000"/>
        </w:rPr>
        <w:t xml:space="preserve">The basic concepts of accounting as we understand them today were first published in Italy in 1494 by Luca </w:t>
      </w:r>
      <w:proofErr w:type="spellStart"/>
      <w:r>
        <w:rPr>
          <w:color w:val="000000"/>
        </w:rPr>
        <w:t>Pacioli</w:t>
      </w:r>
      <w:proofErr w:type="spellEnd"/>
      <w:r>
        <w:rPr>
          <w:color w:val="000000"/>
        </w:rPr>
        <w:t xml:space="preserve"> (1445 - 1517.)  He described them in a section of his book on applied mathematics entitled </w:t>
      </w:r>
      <w:r>
        <w:rPr>
          <w:i/>
          <w:iCs/>
          <w:color w:val="000000"/>
        </w:rPr>
        <w:t xml:space="preserve">Summa de </w:t>
      </w:r>
      <w:proofErr w:type="spellStart"/>
      <w:r>
        <w:rPr>
          <w:i/>
          <w:iCs/>
          <w:color w:val="000000"/>
        </w:rPr>
        <w:t>Arithmetica</w:t>
      </w:r>
      <w:proofErr w:type="spellEnd"/>
      <w:r>
        <w:rPr>
          <w:i/>
          <w:iCs/>
          <w:color w:val="000000"/>
        </w:rPr>
        <w:t xml:space="preserve">, </w:t>
      </w:r>
      <w:proofErr w:type="spellStart"/>
      <w:r>
        <w:rPr>
          <w:i/>
          <w:iCs/>
          <w:color w:val="000000"/>
        </w:rPr>
        <w:t>geometria</w:t>
      </w:r>
      <w:proofErr w:type="spellEnd"/>
      <w:r>
        <w:rPr>
          <w:i/>
          <w:iCs/>
          <w:color w:val="000000"/>
        </w:rPr>
        <w:t xml:space="preserve">, </w:t>
      </w:r>
      <w:proofErr w:type="spellStart"/>
      <w:r>
        <w:rPr>
          <w:i/>
          <w:iCs/>
          <w:color w:val="000000"/>
        </w:rPr>
        <w:t>proportioni</w:t>
      </w:r>
      <w:proofErr w:type="spellEnd"/>
      <w:r>
        <w:rPr>
          <w:i/>
          <w:iCs/>
          <w:color w:val="000000"/>
        </w:rPr>
        <w:t xml:space="preserve"> </w:t>
      </w:r>
      <w:proofErr w:type="gramStart"/>
      <w:r>
        <w:rPr>
          <w:i/>
          <w:iCs/>
          <w:color w:val="000000"/>
        </w:rPr>
        <w:t>et</w:t>
      </w:r>
      <w:proofErr w:type="gramEnd"/>
      <w:r>
        <w:rPr>
          <w:i/>
          <w:iCs/>
          <w:color w:val="000000"/>
        </w:rPr>
        <w:t xml:space="preserve"> </w:t>
      </w:r>
      <w:proofErr w:type="spellStart"/>
      <w:r>
        <w:rPr>
          <w:i/>
          <w:iCs/>
          <w:color w:val="000000"/>
        </w:rPr>
        <w:t>Proportionalita</w:t>
      </w:r>
      <w:proofErr w:type="spellEnd"/>
      <w:r>
        <w:rPr>
          <w:color w:val="000000"/>
        </w:rPr>
        <w:t xml:space="preserve">.  </w:t>
      </w:r>
      <w:proofErr w:type="spellStart"/>
      <w:r>
        <w:rPr>
          <w:color w:val="000000"/>
        </w:rPr>
        <w:t>Pacioli</w:t>
      </w:r>
      <w:proofErr w:type="spellEnd"/>
      <w:r>
        <w:rPr>
          <w:color w:val="000000"/>
        </w:rPr>
        <w:t xml:space="preserve"> was a Franciscan monk whose life and work was dedicated to the glory of God.</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b/>
          <w:bCs/>
          <w:color w:val="000000"/>
          <w:sz w:val="18"/>
          <w:szCs w:val="18"/>
        </w:rPr>
        <w:t>Accounting</w:t>
      </w:r>
      <w:r w:rsidRPr="0022789C">
        <w:rPr>
          <w:rFonts w:ascii="Verdana" w:eastAsia="Times New Roman" w:hAnsi="Verdana" w:cs="Times New Roman"/>
          <w:color w:val="000000"/>
          <w:sz w:val="18"/>
          <w:szCs w:val="18"/>
        </w:rPr>
        <w:t xml:space="preserve"> is the process of measuring and recording the financial value of the assets and liabilities of a business and monitoring these values as they change with the passage of time.  When we refer to a </w:t>
      </w:r>
      <w:r w:rsidRPr="0022789C">
        <w:rPr>
          <w:rFonts w:ascii="Verdana" w:eastAsia="Times New Roman" w:hAnsi="Verdana" w:cs="Times New Roman"/>
          <w:b/>
          <w:bCs/>
          <w:color w:val="000000"/>
          <w:sz w:val="18"/>
          <w:szCs w:val="18"/>
        </w:rPr>
        <w:t>business</w:t>
      </w:r>
      <w:r w:rsidRPr="0022789C">
        <w:rPr>
          <w:rFonts w:ascii="Verdana" w:eastAsia="Times New Roman" w:hAnsi="Verdana" w:cs="Times New Roman"/>
          <w:color w:val="000000"/>
          <w:sz w:val="18"/>
          <w:szCs w:val="18"/>
        </w:rPr>
        <w:t xml:space="preserve"> we could be referring to an individual, a company or any other entity for which accounting records are to be kept (for example a church, club or other non-profit organisation.)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w:t>
      </w:r>
      <w:r w:rsidRPr="0022789C">
        <w:rPr>
          <w:rFonts w:ascii="Verdana" w:eastAsia="Times New Roman" w:hAnsi="Verdana" w:cs="Times New Roman"/>
          <w:b/>
          <w:bCs/>
          <w:color w:val="000000"/>
          <w:sz w:val="18"/>
          <w:szCs w:val="18"/>
        </w:rPr>
        <w:t>assets</w:t>
      </w:r>
      <w:r w:rsidRPr="0022789C">
        <w:rPr>
          <w:rFonts w:ascii="Verdana" w:eastAsia="Times New Roman" w:hAnsi="Verdana" w:cs="Times New Roman"/>
          <w:color w:val="000000"/>
          <w:sz w:val="18"/>
          <w:szCs w:val="18"/>
        </w:rPr>
        <w:t xml:space="preserve"> of a business are those things that belong to the business that have a positive financial value i.e. items that could be sold by the business in exchange for money.  Examples of assets include land, buildings, vehicles, stock, equipment, rare gold coins, </w:t>
      </w:r>
      <w:proofErr w:type="gramStart"/>
      <w:r w:rsidRPr="0022789C">
        <w:rPr>
          <w:rFonts w:ascii="Verdana" w:eastAsia="Times New Roman" w:hAnsi="Verdana" w:cs="Times New Roman"/>
          <w:color w:val="000000"/>
          <w:sz w:val="18"/>
          <w:szCs w:val="18"/>
        </w:rPr>
        <w:t>bank</w:t>
      </w:r>
      <w:proofErr w:type="gramEnd"/>
      <w:r w:rsidRPr="0022789C">
        <w:rPr>
          <w:rFonts w:ascii="Verdana" w:eastAsia="Times New Roman" w:hAnsi="Verdana" w:cs="Times New Roman"/>
          <w:color w:val="000000"/>
          <w:sz w:val="18"/>
          <w:szCs w:val="18"/>
        </w:rPr>
        <w:t xml:space="preserve"> accounts with positive balances and money owed to the business by its debtors.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w:t>
      </w:r>
      <w:r w:rsidRPr="0022789C">
        <w:rPr>
          <w:rFonts w:ascii="Verdana" w:eastAsia="Times New Roman" w:hAnsi="Verdana" w:cs="Times New Roman"/>
          <w:b/>
          <w:bCs/>
          <w:color w:val="000000"/>
          <w:sz w:val="18"/>
          <w:szCs w:val="18"/>
        </w:rPr>
        <w:t>liabilities</w:t>
      </w:r>
      <w:r w:rsidRPr="0022789C">
        <w:rPr>
          <w:rFonts w:ascii="Verdana" w:eastAsia="Times New Roman" w:hAnsi="Verdana" w:cs="Times New Roman"/>
          <w:color w:val="000000"/>
          <w:sz w:val="18"/>
          <w:szCs w:val="18"/>
        </w:rPr>
        <w:t xml:space="preserve"> of a business are those things that belong to the business but unlike assets have a negative financial value i.e. items that will require the payment of money by the business at some point in the future.  Examples of liabilities include unpaid bills, unpaid taxes, unpaid wages, rusty motor vehicles, stock that has passed its use-by date, overdrawn bank accounts and money owed by the business to its creditors.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w:t>
      </w:r>
      <w:r w:rsidRPr="0022789C">
        <w:rPr>
          <w:rFonts w:ascii="Verdana" w:eastAsia="Times New Roman" w:hAnsi="Verdana" w:cs="Times New Roman"/>
          <w:b/>
          <w:bCs/>
          <w:color w:val="000000"/>
          <w:sz w:val="18"/>
          <w:szCs w:val="18"/>
        </w:rPr>
        <w:t>equity</w:t>
      </w:r>
      <w:r w:rsidRPr="0022789C">
        <w:rPr>
          <w:rFonts w:ascii="Verdana" w:eastAsia="Times New Roman" w:hAnsi="Verdana" w:cs="Times New Roman"/>
          <w:color w:val="000000"/>
          <w:sz w:val="18"/>
          <w:szCs w:val="18"/>
        </w:rPr>
        <w:t xml:space="preserve"> of a business is defined as the value of the assets minus the value of the liabilities.  In other words the equity is the financial value that would be left if all the assets were sold and the money from the sale was used to pay off all the liabilities.  Another way of expressing this is to say that the equity is the amount of money that would be released if the business was to be wound up.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lastRenderedPageBreak/>
        <w:t xml:space="preserve">The assets, liabilities and equity of a business are all financial measurements that relate to a particular point in time.  The financial statement that is used to present this information is known as the </w:t>
      </w:r>
      <w:r w:rsidRPr="0022789C">
        <w:rPr>
          <w:rFonts w:ascii="Verdana" w:eastAsia="Times New Roman" w:hAnsi="Verdana" w:cs="Times New Roman"/>
          <w:b/>
          <w:bCs/>
          <w:color w:val="000000"/>
          <w:sz w:val="18"/>
          <w:szCs w:val="18"/>
        </w:rPr>
        <w:t>balance sheet</w:t>
      </w:r>
      <w:r w:rsidRPr="0022789C">
        <w:rPr>
          <w:rFonts w:ascii="Verdana" w:eastAsia="Times New Roman" w:hAnsi="Verdana" w:cs="Times New Roman"/>
          <w:color w:val="000000"/>
          <w:sz w:val="18"/>
          <w:szCs w:val="18"/>
        </w:rPr>
        <w:t xml:space="preserve">.  The balance sheet is a statement of the assets, liabilities and equity of a business as they exist at a particular point in time.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relationship between the assets, the liabilities and the equity can be represented algebraically by what is commonly known as the </w:t>
      </w:r>
      <w:r w:rsidRPr="0022789C">
        <w:rPr>
          <w:rFonts w:ascii="Verdana" w:eastAsia="Times New Roman" w:hAnsi="Verdana" w:cs="Times New Roman"/>
          <w:b/>
          <w:bCs/>
          <w:color w:val="000000"/>
          <w:sz w:val="18"/>
          <w:szCs w:val="18"/>
        </w:rPr>
        <w:t>accounting equation</w:t>
      </w:r>
      <w:r w:rsidRPr="0022789C">
        <w:rPr>
          <w:rFonts w:ascii="Verdana" w:eastAsia="Times New Roman" w:hAnsi="Verdana" w:cs="Times New Roman"/>
          <w:color w:val="000000"/>
          <w:sz w:val="18"/>
          <w:szCs w:val="18"/>
        </w:rPr>
        <w:t xml:space="preserve">.  If we use the letter A to represent the assets, the letter L to represent the liabilities and the letter P to represent the equity then the accounting equation is </w:t>
      </w:r>
    </w:p>
    <w:p w:rsidR="0022789C" w:rsidRPr="0022789C" w:rsidRDefault="0022789C" w:rsidP="0022789C">
      <w:pPr>
        <w:spacing w:before="100" w:beforeAutospacing="1" w:after="100" w:afterAutospacing="1" w:line="240" w:lineRule="auto"/>
        <w:jc w:val="center"/>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P = A - L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This equation states that the equity is the value of the assets minus the value of the liabilities.  This equation is more commonly written as </w:t>
      </w:r>
    </w:p>
    <w:p w:rsidR="0022789C" w:rsidRPr="0022789C" w:rsidRDefault="0022789C" w:rsidP="0022789C">
      <w:pPr>
        <w:spacing w:before="100" w:beforeAutospacing="1" w:after="100" w:afterAutospacing="1" w:line="240" w:lineRule="auto"/>
        <w:jc w:val="center"/>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 L + P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This equation states that the value of the assets is equal to the value of the liabilities plus the equity.  This is just another way of saying the same thing.  Because the equity is defined as the value of the assets minus the value of the liabilities then this equation is always true by definition.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balance sheet is commonly divided into two sections.  One section shows the value of the assets and the other section shows the value of the liabilities and the equity.  Each section will be broken down into more or less detail depending on the intended use of the balance sheet.  Because the accounting equation is always true the totals of each of the two sections of the balance sheet should always be the same i.e. the balance sheet should always be in balance.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financial measurements we have looked at so far are used to describe the financial position of a business at a particular point in time.  For this reason the balance sheet is also known as the </w:t>
      </w:r>
      <w:r w:rsidRPr="0022789C">
        <w:rPr>
          <w:rFonts w:ascii="Verdana" w:eastAsia="Times New Roman" w:hAnsi="Verdana" w:cs="Times New Roman"/>
          <w:b/>
          <w:bCs/>
          <w:color w:val="000000"/>
          <w:sz w:val="18"/>
          <w:szCs w:val="18"/>
        </w:rPr>
        <w:t>statement of financial position</w:t>
      </w:r>
      <w:r w:rsidRPr="0022789C">
        <w:rPr>
          <w:rFonts w:ascii="Verdana" w:eastAsia="Times New Roman" w:hAnsi="Verdana" w:cs="Times New Roman"/>
          <w:color w:val="000000"/>
          <w:sz w:val="18"/>
          <w:szCs w:val="18"/>
        </w:rPr>
        <w:t xml:space="preserve">.  It presents a summary of the business' financial position at a particular point in time.  However in order to gain a complete financial picture of a business we need to recognise that the financial position of the business is undergoing constant change.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As a business engages in various commercial activities such as buying, selling, manufacturing, maintaining equipment, paying rent and other expenses, borrowing, lending or investing then the value of the assets, liabilities and equity will change and these changes will have an effect on the balance sheet.  The only thing we can be sure about at any point in time is that the accounting equation A = L + P will always apply.  In other words even though the balance sheet is always changing from day to day we can be certain that it will always balance or should do so if it has been prepared correctly.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Recognising that the financial position of a business is constantly changing leads us to the definition of two additional financial measurements that relate to a period of time (unlike assets, liabilities and equity that relate to a particular point in time.)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w:t>
      </w:r>
      <w:r w:rsidRPr="0022789C">
        <w:rPr>
          <w:rFonts w:ascii="Verdana" w:eastAsia="Times New Roman" w:hAnsi="Verdana" w:cs="Times New Roman"/>
          <w:b/>
          <w:bCs/>
          <w:color w:val="000000"/>
          <w:sz w:val="18"/>
          <w:szCs w:val="18"/>
        </w:rPr>
        <w:t>income</w:t>
      </w:r>
      <w:r w:rsidRPr="0022789C">
        <w:rPr>
          <w:rFonts w:ascii="Verdana" w:eastAsia="Times New Roman" w:hAnsi="Verdana" w:cs="Times New Roman"/>
          <w:color w:val="000000"/>
          <w:sz w:val="18"/>
          <w:szCs w:val="18"/>
        </w:rPr>
        <w:t xml:space="preserve"> of a business is the sum of those things that increase the value of the assets without any corresponding increase in the liabilities or any new investment by the owners of the business.  Examples include revenue from the sale of goods, equipment or services supplied, rent or interest received and capital gains.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w:t>
      </w:r>
      <w:r w:rsidRPr="0022789C">
        <w:rPr>
          <w:rFonts w:ascii="Verdana" w:eastAsia="Times New Roman" w:hAnsi="Verdana" w:cs="Times New Roman"/>
          <w:b/>
          <w:bCs/>
          <w:color w:val="000000"/>
          <w:sz w:val="18"/>
          <w:szCs w:val="18"/>
        </w:rPr>
        <w:t>expenses</w:t>
      </w:r>
      <w:r w:rsidRPr="0022789C">
        <w:rPr>
          <w:rFonts w:ascii="Verdana" w:eastAsia="Times New Roman" w:hAnsi="Verdana" w:cs="Times New Roman"/>
          <w:color w:val="000000"/>
          <w:sz w:val="18"/>
          <w:szCs w:val="18"/>
        </w:rPr>
        <w:t xml:space="preserve"> of a business are those things that reduce the value of the assets without any corresponding reduction in the liabilities or any capital drawings by the owners.  Examples include the cost of stock and raw materials, rent or interest </w:t>
      </w:r>
      <w:proofErr w:type="gramStart"/>
      <w:r w:rsidRPr="0022789C">
        <w:rPr>
          <w:rFonts w:ascii="Verdana" w:eastAsia="Times New Roman" w:hAnsi="Verdana" w:cs="Times New Roman"/>
          <w:color w:val="000000"/>
          <w:sz w:val="18"/>
          <w:szCs w:val="18"/>
        </w:rPr>
        <w:t>paid,</w:t>
      </w:r>
      <w:proofErr w:type="gramEnd"/>
      <w:r w:rsidRPr="0022789C">
        <w:rPr>
          <w:rFonts w:ascii="Verdana" w:eastAsia="Times New Roman" w:hAnsi="Verdana" w:cs="Times New Roman"/>
          <w:color w:val="000000"/>
          <w:sz w:val="18"/>
          <w:szCs w:val="18"/>
        </w:rPr>
        <w:t xml:space="preserve"> electricity bills, telephone, wages, taxes, dividends, depreciation and donations to charity.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income and expenses of a business are financial measurements that relate to a specified period of time rather than a specific point in time.  The financial statement that is used to present this information is known as the </w:t>
      </w:r>
      <w:r w:rsidRPr="0022789C">
        <w:rPr>
          <w:rFonts w:ascii="Verdana" w:eastAsia="Times New Roman" w:hAnsi="Verdana" w:cs="Times New Roman"/>
          <w:b/>
          <w:bCs/>
          <w:color w:val="000000"/>
          <w:sz w:val="18"/>
          <w:szCs w:val="18"/>
        </w:rPr>
        <w:t>income statement</w:t>
      </w:r>
      <w:r w:rsidRPr="0022789C">
        <w:rPr>
          <w:rFonts w:ascii="Verdana" w:eastAsia="Times New Roman" w:hAnsi="Verdana" w:cs="Times New Roman"/>
          <w:color w:val="000000"/>
          <w:sz w:val="18"/>
          <w:szCs w:val="18"/>
        </w:rPr>
        <w:t xml:space="preserve">.  The income statement is a statement of the income and expenses of a business as they occur during a specific period.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lastRenderedPageBreak/>
        <w:t xml:space="preserve">If we use the letter I to represent the income over a specified period of time and the letter E to represent the expenses over that same period we can represent the relationship between the assets, the liabilities, the equity, the income and the expenses by using a modified form of the accounting equation as follows </w:t>
      </w:r>
    </w:p>
    <w:p w:rsidR="0022789C" w:rsidRPr="0022789C" w:rsidRDefault="0022789C" w:rsidP="0022789C">
      <w:pPr>
        <w:spacing w:before="100" w:beforeAutospacing="1" w:after="100" w:afterAutospacing="1" w:line="240" w:lineRule="auto"/>
        <w:jc w:val="center"/>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 L + P + (I - 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This equation states that the value of the assets is equal to the value of the liabilities plus the equity plus the excess of income over expenses.  Another way of writing this equation is </w:t>
      </w:r>
    </w:p>
    <w:p w:rsidR="0022789C" w:rsidRPr="0022789C" w:rsidRDefault="0022789C" w:rsidP="0022789C">
      <w:pPr>
        <w:spacing w:before="100" w:beforeAutospacing="1" w:after="100" w:afterAutospacing="1" w:line="240" w:lineRule="auto"/>
        <w:jc w:val="center"/>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 E = L + P + I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This equation states that the value of the assets plus the expenses is equal to the value of the liabilities plus the equity plus the income.  This is just another way of saying the same thing.  However it is helpful to express it in this way when we come to consider the practice of bookkeeping below.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The income statement is commonly divided into two sections in a similar fashion to the balance sheet.  One section shows the total income and the other section shows the total expenses.  Like the balance sheet each section will be broken down into more or less detail depending on its intended use.  However unlike the balance sheet the totals of each of the two sections are unlikely to be the same.  The difference will usually be shown as a separate item at the bottom of the income statement and if the total income exceeds the total expenses it will be given a title such as </w:t>
      </w:r>
      <w:r w:rsidRPr="0022789C">
        <w:rPr>
          <w:rFonts w:ascii="Verdana" w:eastAsia="Times New Roman" w:hAnsi="Verdana" w:cs="Times New Roman"/>
          <w:b/>
          <w:bCs/>
          <w:color w:val="000000"/>
          <w:sz w:val="18"/>
          <w:szCs w:val="18"/>
        </w:rPr>
        <w:t>retained earnings</w:t>
      </w:r>
      <w:r w:rsidRPr="0022789C">
        <w:rPr>
          <w:rFonts w:ascii="Verdana" w:eastAsia="Times New Roman" w:hAnsi="Verdana" w:cs="Times New Roman"/>
          <w:color w:val="000000"/>
          <w:sz w:val="18"/>
          <w:szCs w:val="18"/>
        </w:rPr>
        <w:t xml:space="preserve">, </w:t>
      </w:r>
      <w:r w:rsidRPr="0022789C">
        <w:rPr>
          <w:rFonts w:ascii="Verdana" w:eastAsia="Times New Roman" w:hAnsi="Verdana" w:cs="Times New Roman"/>
          <w:b/>
          <w:bCs/>
          <w:color w:val="000000"/>
          <w:sz w:val="18"/>
          <w:szCs w:val="18"/>
        </w:rPr>
        <w:t>net profit</w:t>
      </w:r>
      <w:r w:rsidRPr="0022789C">
        <w:rPr>
          <w:rFonts w:ascii="Verdana" w:eastAsia="Times New Roman" w:hAnsi="Verdana" w:cs="Times New Roman"/>
          <w:color w:val="000000"/>
          <w:sz w:val="18"/>
          <w:szCs w:val="18"/>
        </w:rPr>
        <w:t xml:space="preserve"> or </w:t>
      </w:r>
      <w:r w:rsidRPr="0022789C">
        <w:rPr>
          <w:rFonts w:ascii="Verdana" w:eastAsia="Times New Roman" w:hAnsi="Verdana" w:cs="Times New Roman"/>
          <w:b/>
          <w:bCs/>
          <w:color w:val="000000"/>
          <w:sz w:val="18"/>
          <w:szCs w:val="18"/>
        </w:rPr>
        <w:t>excess of income over expenditure</w:t>
      </w:r>
      <w:r w:rsidRPr="0022789C">
        <w:rPr>
          <w:rFonts w:ascii="Verdana" w:eastAsia="Times New Roman" w:hAnsi="Verdana" w:cs="Times New Roman"/>
          <w:color w:val="000000"/>
          <w:sz w:val="18"/>
          <w:szCs w:val="18"/>
        </w:rPr>
        <w:t xml:space="preserve">.  If the total expenses exceed the total income it will instead be called something like </w:t>
      </w:r>
      <w:r w:rsidRPr="0022789C">
        <w:rPr>
          <w:rFonts w:ascii="Verdana" w:eastAsia="Times New Roman" w:hAnsi="Verdana" w:cs="Times New Roman"/>
          <w:b/>
          <w:bCs/>
          <w:color w:val="000000"/>
          <w:sz w:val="18"/>
          <w:szCs w:val="18"/>
        </w:rPr>
        <w:t>retained loss</w:t>
      </w:r>
      <w:r w:rsidRPr="0022789C">
        <w:rPr>
          <w:rFonts w:ascii="Verdana" w:eastAsia="Times New Roman" w:hAnsi="Verdana" w:cs="Times New Roman"/>
          <w:color w:val="000000"/>
          <w:sz w:val="18"/>
          <w:szCs w:val="18"/>
        </w:rPr>
        <w:t xml:space="preserve">, </w:t>
      </w:r>
      <w:r w:rsidRPr="0022789C">
        <w:rPr>
          <w:rFonts w:ascii="Verdana" w:eastAsia="Times New Roman" w:hAnsi="Verdana" w:cs="Times New Roman"/>
          <w:b/>
          <w:bCs/>
          <w:color w:val="000000"/>
          <w:sz w:val="18"/>
          <w:szCs w:val="18"/>
        </w:rPr>
        <w:t>net loss</w:t>
      </w:r>
      <w:r w:rsidRPr="0022789C">
        <w:rPr>
          <w:rFonts w:ascii="Verdana" w:eastAsia="Times New Roman" w:hAnsi="Verdana" w:cs="Times New Roman"/>
          <w:color w:val="000000"/>
          <w:sz w:val="18"/>
          <w:szCs w:val="18"/>
        </w:rPr>
        <w:t xml:space="preserve"> or </w:t>
      </w:r>
      <w:r w:rsidRPr="0022789C">
        <w:rPr>
          <w:rFonts w:ascii="Verdana" w:eastAsia="Times New Roman" w:hAnsi="Verdana" w:cs="Times New Roman"/>
          <w:b/>
          <w:bCs/>
          <w:color w:val="000000"/>
          <w:sz w:val="18"/>
          <w:szCs w:val="18"/>
        </w:rPr>
        <w:t>excess of expenditure over income</w:t>
      </w:r>
      <w:r w:rsidRPr="0022789C">
        <w:rPr>
          <w:rFonts w:ascii="Verdana" w:eastAsia="Times New Roman" w:hAnsi="Verdana" w:cs="Times New Roman"/>
          <w:color w:val="000000"/>
          <w:sz w:val="18"/>
          <w:szCs w:val="18"/>
        </w:rPr>
        <w:t xml:space="preserv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Income and expenses are financial measurements that relate to the performance of a business during a specified period of time.  For this reason the income statement is also known as the </w:t>
      </w:r>
      <w:r w:rsidRPr="0022789C">
        <w:rPr>
          <w:rFonts w:ascii="Verdana" w:eastAsia="Times New Roman" w:hAnsi="Verdana" w:cs="Times New Roman"/>
          <w:b/>
          <w:bCs/>
          <w:color w:val="000000"/>
          <w:sz w:val="18"/>
          <w:szCs w:val="18"/>
        </w:rPr>
        <w:t>statement of financial performance</w:t>
      </w:r>
      <w:r w:rsidRPr="0022789C">
        <w:rPr>
          <w:rFonts w:ascii="Verdana" w:eastAsia="Times New Roman" w:hAnsi="Verdana" w:cs="Times New Roman"/>
          <w:color w:val="000000"/>
          <w:sz w:val="18"/>
          <w:szCs w:val="18"/>
        </w:rPr>
        <w:t xml:space="preserve">.  It describes the performance of a business during a specified period.  It is sometimes also referred to as the </w:t>
      </w:r>
      <w:r w:rsidRPr="0022789C">
        <w:rPr>
          <w:rFonts w:ascii="Verdana" w:eastAsia="Times New Roman" w:hAnsi="Verdana" w:cs="Times New Roman"/>
          <w:b/>
          <w:bCs/>
          <w:color w:val="000000"/>
          <w:sz w:val="18"/>
          <w:szCs w:val="18"/>
        </w:rPr>
        <w:t>profit and loss statement</w:t>
      </w:r>
      <w:r w:rsidRPr="0022789C">
        <w:rPr>
          <w:rFonts w:ascii="Verdana" w:eastAsia="Times New Roman" w:hAnsi="Verdana" w:cs="Times New Roman"/>
          <w:color w:val="000000"/>
          <w:sz w:val="18"/>
          <w:szCs w:val="18"/>
        </w:rPr>
        <w:t xml:space="preserv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In order to produce a balance sheet or an income statement it is necessary to have a systematic method of recording all the activities or events that have an effect on the financial measurements (A, L, P, I and E) described above.  Traditionally these events were entered by hand into a set of </w:t>
      </w:r>
      <w:r w:rsidRPr="0022789C">
        <w:rPr>
          <w:rFonts w:ascii="Verdana" w:eastAsia="Times New Roman" w:hAnsi="Verdana" w:cs="Times New Roman"/>
          <w:b/>
          <w:bCs/>
          <w:color w:val="000000"/>
          <w:sz w:val="18"/>
          <w:szCs w:val="18"/>
        </w:rPr>
        <w:t>books</w:t>
      </w:r>
      <w:r w:rsidRPr="0022789C">
        <w:rPr>
          <w:rFonts w:ascii="Verdana" w:eastAsia="Times New Roman" w:hAnsi="Verdana" w:cs="Times New Roman"/>
          <w:color w:val="000000"/>
          <w:sz w:val="18"/>
          <w:szCs w:val="18"/>
        </w:rPr>
        <w:t xml:space="preserve"> or </w:t>
      </w:r>
      <w:r w:rsidRPr="0022789C">
        <w:rPr>
          <w:rFonts w:ascii="Verdana" w:eastAsia="Times New Roman" w:hAnsi="Verdana" w:cs="Times New Roman"/>
          <w:b/>
          <w:bCs/>
          <w:color w:val="000000"/>
          <w:sz w:val="18"/>
          <w:szCs w:val="18"/>
        </w:rPr>
        <w:t>accounts</w:t>
      </w:r>
      <w:r w:rsidRPr="0022789C">
        <w:rPr>
          <w:rFonts w:ascii="Verdana" w:eastAsia="Times New Roman" w:hAnsi="Verdana" w:cs="Times New Roman"/>
          <w:color w:val="000000"/>
          <w:sz w:val="18"/>
          <w:szCs w:val="18"/>
        </w:rPr>
        <w:t xml:space="preserve">.  More recently it has become common practice to enter these into a computer accounting system.  Each entry is referred to as an </w:t>
      </w:r>
      <w:r w:rsidRPr="0022789C">
        <w:rPr>
          <w:rFonts w:ascii="Verdana" w:eastAsia="Times New Roman" w:hAnsi="Verdana" w:cs="Times New Roman"/>
          <w:b/>
          <w:bCs/>
          <w:color w:val="000000"/>
          <w:sz w:val="18"/>
          <w:szCs w:val="18"/>
        </w:rPr>
        <w:t>entry</w:t>
      </w:r>
      <w:r w:rsidRPr="0022789C">
        <w:rPr>
          <w:rFonts w:ascii="Verdana" w:eastAsia="Times New Roman" w:hAnsi="Verdana" w:cs="Times New Roman"/>
          <w:color w:val="000000"/>
          <w:sz w:val="18"/>
          <w:szCs w:val="18"/>
        </w:rPr>
        <w:t xml:space="preserve"> and the practice of maintaining these entries in the accounts is referred to as </w:t>
      </w:r>
      <w:r w:rsidRPr="0022789C">
        <w:rPr>
          <w:rFonts w:ascii="Verdana" w:eastAsia="Times New Roman" w:hAnsi="Verdana" w:cs="Times New Roman"/>
          <w:b/>
          <w:bCs/>
          <w:color w:val="000000"/>
          <w:sz w:val="18"/>
          <w:szCs w:val="18"/>
        </w:rPr>
        <w:t>bookkeeping</w:t>
      </w:r>
      <w:r w:rsidRPr="0022789C">
        <w:rPr>
          <w:rFonts w:ascii="Verdana" w:eastAsia="Times New Roman" w:hAnsi="Verdana" w:cs="Times New Roman"/>
          <w:color w:val="000000"/>
          <w:sz w:val="18"/>
          <w:szCs w:val="18"/>
        </w:rPr>
        <w:t xml:space="preserve">.  The act of placing a particular entry into an account is known as </w:t>
      </w:r>
      <w:r w:rsidRPr="0022789C">
        <w:rPr>
          <w:rFonts w:ascii="Verdana" w:eastAsia="Times New Roman" w:hAnsi="Verdana" w:cs="Times New Roman"/>
          <w:b/>
          <w:bCs/>
          <w:color w:val="000000"/>
          <w:sz w:val="18"/>
          <w:szCs w:val="18"/>
        </w:rPr>
        <w:t>posting</w:t>
      </w:r>
      <w:r w:rsidRPr="0022789C">
        <w:rPr>
          <w:rFonts w:ascii="Verdana" w:eastAsia="Times New Roman" w:hAnsi="Verdana" w:cs="Times New Roman"/>
          <w:color w:val="000000"/>
          <w:sz w:val="18"/>
          <w:szCs w:val="18"/>
        </w:rPr>
        <w:t xml:space="preserve">.  The total of all the entries in an account is known as the </w:t>
      </w:r>
      <w:r w:rsidRPr="0022789C">
        <w:rPr>
          <w:rFonts w:ascii="Verdana" w:eastAsia="Times New Roman" w:hAnsi="Verdana" w:cs="Times New Roman"/>
          <w:b/>
          <w:bCs/>
          <w:color w:val="000000"/>
          <w:sz w:val="18"/>
          <w:szCs w:val="18"/>
        </w:rPr>
        <w:t>balance</w:t>
      </w:r>
      <w:r w:rsidRPr="0022789C">
        <w:rPr>
          <w:rFonts w:ascii="Verdana" w:eastAsia="Times New Roman" w:hAnsi="Verdana" w:cs="Times New Roman"/>
          <w:color w:val="000000"/>
          <w:sz w:val="18"/>
          <w:szCs w:val="18"/>
        </w:rPr>
        <w:t xml:space="preserve"> of that account.  The accounts themselves are referred to collectively as </w:t>
      </w:r>
      <w:r w:rsidRPr="0022789C">
        <w:rPr>
          <w:rFonts w:ascii="Verdana" w:eastAsia="Times New Roman" w:hAnsi="Verdana" w:cs="Times New Roman"/>
          <w:b/>
          <w:bCs/>
          <w:color w:val="000000"/>
          <w:sz w:val="18"/>
          <w:szCs w:val="18"/>
        </w:rPr>
        <w:t>the general ledger</w:t>
      </w:r>
      <w:r w:rsidRPr="0022789C">
        <w:rPr>
          <w:rFonts w:ascii="Verdana" w:eastAsia="Times New Roman" w:hAnsi="Verdana" w:cs="Times New Roman"/>
          <w:color w:val="000000"/>
          <w:sz w:val="18"/>
          <w:szCs w:val="18"/>
        </w:rPr>
        <w:t xml:space="preserve"> or sometimes just </w:t>
      </w:r>
      <w:r w:rsidRPr="0022789C">
        <w:rPr>
          <w:rFonts w:ascii="Verdana" w:eastAsia="Times New Roman" w:hAnsi="Verdana" w:cs="Times New Roman"/>
          <w:b/>
          <w:bCs/>
          <w:color w:val="000000"/>
          <w:sz w:val="18"/>
          <w:szCs w:val="18"/>
        </w:rPr>
        <w:t>the ledger</w:t>
      </w:r>
      <w:r w:rsidRPr="0022789C">
        <w:rPr>
          <w:rFonts w:ascii="Verdana" w:eastAsia="Times New Roman" w:hAnsi="Verdana" w:cs="Times New Roman"/>
          <w:color w:val="000000"/>
          <w:sz w:val="18"/>
          <w:szCs w:val="18"/>
        </w:rPr>
        <w:t xml:space="preserv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Because each business will have different assets, liabilities, income, expenses and equity categories the accounts it uses to record its activities will vary from one business to another.  This set of accounts that a business creates in the general ledger is known as the </w:t>
      </w:r>
      <w:r w:rsidRPr="0022789C">
        <w:rPr>
          <w:rFonts w:ascii="Verdana" w:eastAsia="Times New Roman" w:hAnsi="Verdana" w:cs="Times New Roman"/>
          <w:b/>
          <w:bCs/>
          <w:color w:val="000000"/>
          <w:sz w:val="18"/>
          <w:szCs w:val="18"/>
        </w:rPr>
        <w:t>chart of accounts</w:t>
      </w:r>
      <w:r w:rsidRPr="0022789C">
        <w:rPr>
          <w:rFonts w:ascii="Verdana" w:eastAsia="Times New Roman" w:hAnsi="Verdana" w:cs="Times New Roman"/>
          <w:color w:val="000000"/>
          <w:sz w:val="18"/>
          <w:szCs w:val="18"/>
        </w:rPr>
        <w:t xml:space="preserv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Each account in the ledger will be categorised into one of the five types of financial measurements described above (A, L, P, I or E.)  Because the accounting equation </w:t>
      </w:r>
    </w:p>
    <w:p w:rsidR="0022789C" w:rsidRPr="0022789C" w:rsidRDefault="0022789C" w:rsidP="0022789C">
      <w:pPr>
        <w:spacing w:before="100" w:beforeAutospacing="1" w:after="100" w:afterAutospacing="1" w:line="240" w:lineRule="auto"/>
        <w:jc w:val="center"/>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 E = L + P + I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proofErr w:type="gramStart"/>
      <w:r w:rsidRPr="0022789C">
        <w:rPr>
          <w:rFonts w:ascii="Verdana" w:eastAsia="Times New Roman" w:hAnsi="Verdana" w:cs="Times New Roman"/>
          <w:color w:val="000000"/>
          <w:sz w:val="18"/>
          <w:szCs w:val="18"/>
        </w:rPr>
        <w:t>is</w:t>
      </w:r>
      <w:proofErr w:type="gramEnd"/>
      <w:r w:rsidRPr="0022789C">
        <w:rPr>
          <w:rFonts w:ascii="Verdana" w:eastAsia="Times New Roman" w:hAnsi="Verdana" w:cs="Times New Roman"/>
          <w:color w:val="000000"/>
          <w:sz w:val="18"/>
          <w:szCs w:val="18"/>
        </w:rPr>
        <w:t xml:space="preserve"> always true the total of all the A and E account balances in the ledger must be equal to the total of all the L, P and I account balances if the ledger is to represent a logically correct picture of the finances of the business.  If this is the case then we say that the accounts are </w:t>
      </w:r>
      <w:r w:rsidRPr="0022789C">
        <w:rPr>
          <w:rFonts w:ascii="Verdana" w:eastAsia="Times New Roman" w:hAnsi="Verdana" w:cs="Times New Roman"/>
          <w:b/>
          <w:bCs/>
          <w:color w:val="000000"/>
          <w:sz w:val="18"/>
          <w:szCs w:val="18"/>
        </w:rPr>
        <w:t>in balance</w:t>
      </w:r>
      <w:r w:rsidRPr="0022789C">
        <w:rPr>
          <w:rFonts w:ascii="Verdana" w:eastAsia="Times New Roman" w:hAnsi="Verdana" w:cs="Times New Roman"/>
          <w:color w:val="000000"/>
          <w:sz w:val="18"/>
          <w:szCs w:val="18"/>
        </w:rPr>
        <w:t xml:space="preserve"> or that the ledger is in balance.  For the ledger to remain in balance whenever an entry is posted to an account matching account entries must be posted at the same time to ensure that the total of the A and E account balances remain the same as the total of the L, P and I account balances.  For this reason bookkeeping is often referred to as </w:t>
      </w:r>
      <w:r w:rsidRPr="0022789C">
        <w:rPr>
          <w:rFonts w:ascii="Verdana" w:eastAsia="Times New Roman" w:hAnsi="Verdana" w:cs="Times New Roman"/>
          <w:b/>
          <w:bCs/>
          <w:color w:val="000000"/>
          <w:sz w:val="18"/>
          <w:szCs w:val="18"/>
        </w:rPr>
        <w:t>double-entry bookkeeping</w:t>
      </w:r>
      <w:r w:rsidRPr="0022789C">
        <w:rPr>
          <w:rFonts w:ascii="Verdana" w:eastAsia="Times New Roman" w:hAnsi="Verdana" w:cs="Times New Roman"/>
          <w:color w:val="000000"/>
          <w:sz w:val="18"/>
          <w:szCs w:val="18"/>
        </w:rPr>
        <w:t xml:space="preserv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lastRenderedPageBreak/>
        <w:t xml:space="preserve">Most postings consist of two entries but there is no reason why there cannot be three or more entries posted at the same time provided that the ledger remains in balance.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Traditionally a report was prepared showing the total of the A and E account balances and the total of the L, P and I account balances to ensure that these totals were the same.  This report was known as a </w:t>
      </w:r>
      <w:r w:rsidRPr="0022789C">
        <w:rPr>
          <w:rFonts w:ascii="Verdana" w:eastAsia="Times New Roman" w:hAnsi="Verdana" w:cs="Times New Roman"/>
          <w:b/>
          <w:bCs/>
          <w:color w:val="000000"/>
          <w:sz w:val="18"/>
          <w:szCs w:val="18"/>
        </w:rPr>
        <w:t>trial balance</w:t>
      </w:r>
      <w:r w:rsidRPr="0022789C">
        <w:rPr>
          <w:rFonts w:ascii="Verdana" w:eastAsia="Times New Roman" w:hAnsi="Verdana" w:cs="Times New Roman"/>
          <w:color w:val="000000"/>
          <w:sz w:val="18"/>
          <w:szCs w:val="18"/>
        </w:rPr>
        <w:t xml:space="preserve">.  Because most computer accounting systems will not allow entries to be posted unless the accounts remain in balance this has in many ways obviated the need for a trial balance.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An entry that increases the balance of an A or E account or reduces the balance of an L, P or I account is known as a </w:t>
      </w:r>
      <w:r w:rsidRPr="0022789C">
        <w:rPr>
          <w:rFonts w:ascii="Verdana" w:eastAsia="Times New Roman" w:hAnsi="Verdana" w:cs="Times New Roman"/>
          <w:b/>
          <w:bCs/>
          <w:color w:val="000000"/>
          <w:sz w:val="18"/>
          <w:szCs w:val="18"/>
        </w:rPr>
        <w:t>debit</w:t>
      </w:r>
      <w:r w:rsidRPr="0022789C">
        <w:rPr>
          <w:rFonts w:ascii="Verdana" w:eastAsia="Times New Roman" w:hAnsi="Verdana" w:cs="Times New Roman"/>
          <w:color w:val="000000"/>
          <w:sz w:val="18"/>
          <w:szCs w:val="18"/>
        </w:rPr>
        <w:t xml:space="preserve">.  An entry that reduces the balance of an A or E account or increases the balance of an L, P or I account is referred to as a </w:t>
      </w:r>
      <w:r w:rsidRPr="0022789C">
        <w:rPr>
          <w:rFonts w:ascii="Verdana" w:eastAsia="Times New Roman" w:hAnsi="Verdana" w:cs="Times New Roman"/>
          <w:b/>
          <w:bCs/>
          <w:color w:val="000000"/>
          <w:sz w:val="18"/>
          <w:szCs w:val="18"/>
        </w:rPr>
        <w:t>credit</w:t>
      </w:r>
      <w:r w:rsidRPr="0022789C">
        <w:rPr>
          <w:rFonts w:ascii="Verdana" w:eastAsia="Times New Roman" w:hAnsi="Verdana" w:cs="Times New Roman"/>
          <w:color w:val="000000"/>
          <w:sz w:val="18"/>
          <w:szCs w:val="18"/>
        </w:rPr>
        <w:t xml:space="preserve">.  Traditionally hand-written books were divided into two columns.  Debits were entered into the left-hand column and credits into the right.  In fact the traditional definition of a debit is an entry on the left-hand side of an account.  Conversely a credit was defined as an entry on the right-hand side of an account.  In order for the ledger to remain in balance the total debits must equal the total credits.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It is interesting to note that neither of these definitions of debit and credit </w:t>
      </w:r>
      <w:proofErr w:type="gramStart"/>
      <w:r w:rsidRPr="0022789C">
        <w:rPr>
          <w:rFonts w:ascii="Verdana" w:eastAsia="Times New Roman" w:hAnsi="Verdana" w:cs="Times New Roman"/>
          <w:color w:val="000000"/>
          <w:sz w:val="18"/>
          <w:szCs w:val="18"/>
        </w:rPr>
        <w:t>are</w:t>
      </w:r>
      <w:proofErr w:type="gramEnd"/>
      <w:r w:rsidRPr="0022789C">
        <w:rPr>
          <w:rFonts w:ascii="Verdana" w:eastAsia="Times New Roman" w:hAnsi="Verdana" w:cs="Times New Roman"/>
          <w:color w:val="000000"/>
          <w:sz w:val="18"/>
          <w:szCs w:val="18"/>
        </w:rPr>
        <w:t xml:space="preserve"> intuitive or immediately obvious.  Neither can they be deduced easily from their commonly understood meanings.  This partly explains why students who are learning accounting for the first time have difficulty understanding the meaning of debits and credits.  The traditional definitions come from the commonly established practice of manual double-entry bookkeeping that puts debits on the left and credits on the right.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It is worthwhile repeating the more precise definitions of debit and credit given above as they are derived from the accounting equation since familiarity with them is essential for a proper application of accounting practice to the process of setting up and maintaining a general ledger.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w:t>
      </w:r>
      <w:r w:rsidRPr="0022789C">
        <w:rPr>
          <w:rFonts w:ascii="Verdana" w:eastAsia="Times New Roman" w:hAnsi="Verdana" w:cs="Times New Roman"/>
          <w:b/>
          <w:bCs/>
          <w:color w:val="000000"/>
          <w:sz w:val="18"/>
          <w:szCs w:val="18"/>
        </w:rPr>
        <w:t>debit</w:t>
      </w:r>
      <w:r w:rsidRPr="0022789C">
        <w:rPr>
          <w:rFonts w:ascii="Verdana" w:eastAsia="Times New Roman" w:hAnsi="Verdana" w:cs="Times New Roman"/>
          <w:color w:val="000000"/>
          <w:sz w:val="18"/>
          <w:szCs w:val="18"/>
        </w:rPr>
        <w:t xml:space="preserve"> is an entry in a general ledger account that increases its balance if it is an A or E account and reduces its balance if it is an L, P or I account. </w:t>
      </w:r>
    </w:p>
    <w:p w:rsidR="0022789C" w:rsidRPr="0022789C" w:rsidRDefault="0022789C" w:rsidP="0022789C">
      <w:pPr>
        <w:spacing w:before="100" w:beforeAutospacing="1" w:after="100" w:afterAutospacing="1" w:line="240" w:lineRule="auto"/>
        <w:rPr>
          <w:rFonts w:ascii="Verdana" w:eastAsia="Times New Roman" w:hAnsi="Verdana" w:cs="Times New Roman"/>
          <w:color w:val="000000"/>
          <w:sz w:val="18"/>
          <w:szCs w:val="18"/>
        </w:rPr>
      </w:pPr>
      <w:r w:rsidRPr="0022789C">
        <w:rPr>
          <w:rFonts w:ascii="Verdana" w:eastAsia="Times New Roman" w:hAnsi="Verdana" w:cs="Times New Roman"/>
          <w:color w:val="000000"/>
          <w:sz w:val="18"/>
          <w:szCs w:val="18"/>
        </w:rPr>
        <w:t xml:space="preserve">A </w:t>
      </w:r>
      <w:r w:rsidRPr="0022789C">
        <w:rPr>
          <w:rFonts w:ascii="Verdana" w:eastAsia="Times New Roman" w:hAnsi="Verdana" w:cs="Times New Roman"/>
          <w:b/>
          <w:bCs/>
          <w:color w:val="000000"/>
          <w:sz w:val="18"/>
          <w:szCs w:val="18"/>
        </w:rPr>
        <w:t>credit</w:t>
      </w:r>
      <w:r w:rsidRPr="0022789C">
        <w:rPr>
          <w:rFonts w:ascii="Verdana" w:eastAsia="Times New Roman" w:hAnsi="Verdana" w:cs="Times New Roman"/>
          <w:color w:val="000000"/>
          <w:sz w:val="18"/>
          <w:szCs w:val="18"/>
        </w:rPr>
        <w:t xml:space="preserve"> is an entry in a general ledger account that reduces its balance if it is an A or E account and increases its balance if it is an L, P or I account. </w:t>
      </w:r>
    </w:p>
    <w:p w:rsidR="0022789C" w:rsidRPr="0022789C" w:rsidRDefault="0022789C" w:rsidP="0022789C">
      <w:pPr>
        <w:spacing w:before="100" w:beforeAutospacing="1" w:after="100" w:afterAutospacing="1" w:line="240" w:lineRule="auto"/>
        <w:rPr>
          <w:rFonts w:ascii="Verdana" w:eastAsia="Times New Roman" w:hAnsi="Verdana" w:cs="Times New Roman"/>
          <w:b/>
          <w:sz w:val="20"/>
          <w:szCs w:val="20"/>
          <w:u w:val="single"/>
        </w:rPr>
      </w:pPr>
    </w:p>
    <w:p w:rsidR="0039296F" w:rsidRPr="005A5E04" w:rsidRDefault="0039296F" w:rsidP="0039296F">
      <w:pPr>
        <w:spacing w:before="100" w:beforeAutospacing="1" w:after="100" w:afterAutospacing="1" w:line="240" w:lineRule="auto"/>
        <w:rPr>
          <w:rFonts w:ascii="Times New Roman" w:eastAsia="Times New Roman" w:hAnsi="Times New Roman" w:cs="Times New Roman"/>
          <w:sz w:val="24"/>
          <w:szCs w:val="24"/>
        </w:rPr>
      </w:pPr>
    </w:p>
    <w:p w:rsidR="00383AE2" w:rsidRPr="0039296F" w:rsidRDefault="00383AE2" w:rsidP="00F634CE">
      <w:pPr>
        <w:pStyle w:val="ListParagraph"/>
        <w:spacing w:before="100" w:beforeAutospacing="1" w:after="100" w:afterAutospacing="1" w:line="240" w:lineRule="auto"/>
        <w:rPr>
          <w:rFonts w:ascii="Times New Roman" w:eastAsia="Times New Roman" w:hAnsi="Times New Roman" w:cs="Times New Roman"/>
          <w:sz w:val="24"/>
          <w:szCs w:val="24"/>
        </w:rPr>
      </w:pPr>
    </w:p>
    <w:p w:rsidR="003C0AF5" w:rsidRPr="0039296F" w:rsidRDefault="003C0AF5" w:rsidP="00F634CE">
      <w:pPr>
        <w:pStyle w:val="NormalWeb"/>
        <w:ind w:left="720"/>
        <w:rPr>
          <w:rFonts w:ascii="Times New Roman" w:hAnsi="Times New Roman"/>
          <w:sz w:val="24"/>
          <w:szCs w:val="24"/>
        </w:rPr>
      </w:pPr>
    </w:p>
    <w:p w:rsidR="00C410FC" w:rsidRPr="00B01474" w:rsidRDefault="00C410FC" w:rsidP="00C410FC">
      <w:pPr>
        <w:spacing w:before="100" w:beforeAutospacing="1" w:after="100" w:afterAutospacing="1" w:line="240" w:lineRule="auto"/>
        <w:rPr>
          <w:rFonts w:ascii="Times New Roman" w:eastAsia="Times New Roman" w:hAnsi="Times New Roman" w:cs="Times New Roman"/>
          <w:sz w:val="24"/>
          <w:szCs w:val="24"/>
        </w:rPr>
      </w:pPr>
    </w:p>
    <w:p w:rsidR="00B01474" w:rsidRPr="00835FF8" w:rsidRDefault="00B01474" w:rsidP="00B01474">
      <w:pPr>
        <w:shd w:val="clear" w:color="auto" w:fill="FFFFFF"/>
        <w:spacing w:beforeAutospacing="1" w:after="0" w:afterAutospacing="1" w:line="240" w:lineRule="auto"/>
        <w:ind w:left="300" w:right="300"/>
        <w:rPr>
          <w:rFonts w:ascii="Times New Roman" w:eastAsia="Times New Roman" w:hAnsi="Times New Roman" w:cs="Times New Roman"/>
          <w:b/>
          <w:sz w:val="24"/>
          <w:szCs w:val="24"/>
          <w:u w:val="single"/>
        </w:rPr>
      </w:pPr>
    </w:p>
    <w:p w:rsidR="005D227C" w:rsidRPr="0039296F" w:rsidRDefault="005D227C"/>
    <w:sectPr w:rsidR="005D227C" w:rsidRPr="0039296F" w:rsidSect="003E26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0" type="#_x0000_t75" style="width:3in;height:3in" o:bullet="t"/>
    </w:pict>
  </w:numPicBullet>
  <w:numPicBullet w:numPicBulletId="1">
    <w:pict>
      <v:shape id="_x0000_i1191" type="#_x0000_t75" style="width:3in;height:3in" o:bullet="t"/>
    </w:pict>
  </w:numPicBullet>
  <w:numPicBullet w:numPicBulletId="2">
    <w:pict>
      <v:shape id="_x0000_i1192" type="#_x0000_t75" style="width:3in;height:3in" o:bullet="t"/>
    </w:pict>
  </w:numPicBullet>
  <w:numPicBullet w:numPicBulletId="3">
    <w:pict>
      <v:shape id="_x0000_i1193" type="#_x0000_t75" style="width:4.5pt;height:6.75pt" o:bullet="t">
        <v:imagedata r:id="rId1" o:title="dot_orange"/>
      </v:shape>
    </w:pict>
  </w:numPicBullet>
  <w:numPicBullet w:numPicBulletId="4">
    <w:pict>
      <v:shape id="_x0000_i1194" type="#_x0000_t75" style="width:3in;height:3in" o:bullet="t"/>
    </w:pict>
  </w:numPicBullet>
  <w:numPicBullet w:numPicBulletId="5">
    <w:pict>
      <v:shape id="_x0000_i1195" type="#_x0000_t75" style="width:3in;height:3in" o:bullet="t"/>
    </w:pict>
  </w:numPicBullet>
  <w:numPicBullet w:numPicBulletId="6">
    <w:pict>
      <v:shape id="_x0000_i1196" type="#_x0000_t75" style="width:3in;height:3in" o:bullet="t"/>
    </w:pict>
  </w:numPicBullet>
  <w:numPicBullet w:numPicBulletId="7">
    <w:pict>
      <v:shape id="_x0000_i1197" type="#_x0000_t75" style="width:3in;height:3in" o:bullet="t"/>
    </w:pict>
  </w:numPicBullet>
  <w:numPicBullet w:numPicBulletId="8">
    <w:pict>
      <v:shape id="_x0000_i1198" type="#_x0000_t75" style="width:3in;height:3in" o:bullet="t"/>
    </w:pict>
  </w:numPicBullet>
  <w:numPicBullet w:numPicBulletId="9">
    <w:pict>
      <v:shape id="_x0000_i1199" type="#_x0000_t75" style="width:3in;height:3in" o:bullet="t"/>
    </w:pict>
  </w:numPicBullet>
  <w:numPicBullet w:numPicBulletId="10">
    <w:pict>
      <v:shape id="_x0000_i1200" type="#_x0000_t75" style="width:3in;height:3in" o:bullet="t"/>
    </w:pict>
  </w:numPicBullet>
  <w:numPicBullet w:numPicBulletId="11">
    <w:pict>
      <v:shape id="_x0000_i1201" type="#_x0000_t75" style="width:3in;height:3in" o:bullet="t"/>
    </w:pict>
  </w:numPicBullet>
  <w:numPicBullet w:numPicBulletId="12">
    <w:pict>
      <v:shape id="_x0000_i1202" type="#_x0000_t75" style="width:3in;height:3in" o:bullet="t"/>
    </w:pict>
  </w:numPicBullet>
  <w:numPicBullet w:numPicBulletId="13">
    <w:pict>
      <v:shape id="_x0000_i1203" type="#_x0000_t75" style="width:3in;height:3in" o:bullet="t"/>
    </w:pict>
  </w:numPicBullet>
  <w:numPicBullet w:numPicBulletId="14">
    <w:pict>
      <v:shape id="_x0000_i1204" type="#_x0000_t75" style="width:3in;height:3in" o:bullet="t"/>
    </w:pict>
  </w:numPicBullet>
  <w:numPicBullet w:numPicBulletId="15">
    <w:pict>
      <v:shape id="_x0000_i1205" type="#_x0000_t75" style="width:3in;height:3in" o:bullet="t"/>
    </w:pict>
  </w:numPicBullet>
  <w:numPicBullet w:numPicBulletId="16">
    <w:pict>
      <v:shape id="_x0000_i1206" type="#_x0000_t75" style="width:3in;height:3in" o:bullet="t"/>
    </w:pict>
  </w:numPicBullet>
  <w:numPicBullet w:numPicBulletId="17">
    <w:pict>
      <v:shape id="_x0000_i1207" type="#_x0000_t75" style="width:3in;height:3in" o:bullet="t"/>
    </w:pict>
  </w:numPicBullet>
  <w:numPicBullet w:numPicBulletId="18">
    <w:pict>
      <v:shape id="_x0000_i1208" type="#_x0000_t75" style="width:3in;height:3in" o:bullet="t"/>
    </w:pict>
  </w:numPicBullet>
  <w:numPicBullet w:numPicBulletId="19">
    <w:pict>
      <v:shape id="_x0000_i1209" type="#_x0000_t75" style="width:3in;height:3in" o:bullet="t"/>
    </w:pict>
  </w:numPicBullet>
  <w:numPicBullet w:numPicBulletId="20">
    <w:pict>
      <v:shape id="_x0000_i1210" type="#_x0000_t75" style="width:3in;height:3in" o:bullet="t"/>
    </w:pict>
  </w:numPicBullet>
  <w:numPicBullet w:numPicBulletId="21">
    <w:pict>
      <v:shape id="_x0000_i1211" type="#_x0000_t75" style="width:3in;height:3in" o:bullet="t"/>
    </w:pict>
  </w:numPicBullet>
  <w:numPicBullet w:numPicBulletId="22">
    <w:pict>
      <v:shape id="_x0000_i1212" type="#_x0000_t75" style="width:3in;height:3in" o:bullet="t"/>
    </w:pict>
  </w:numPicBullet>
  <w:numPicBullet w:numPicBulletId="23">
    <w:pict>
      <v:shape id="_x0000_i1213" type="#_x0000_t75" style="width:3in;height:3in" o:bullet="t"/>
    </w:pict>
  </w:numPicBullet>
  <w:numPicBullet w:numPicBulletId="24">
    <w:pict>
      <v:shape id="_x0000_i1214" type="#_x0000_t75" style="width:3in;height:3in" o:bullet="t"/>
    </w:pict>
  </w:numPicBullet>
  <w:numPicBullet w:numPicBulletId="25">
    <w:pict>
      <v:shape id="_x0000_i1215" type="#_x0000_t75" style="width:3in;height:3in" o:bullet="t"/>
    </w:pict>
  </w:numPicBullet>
  <w:numPicBullet w:numPicBulletId="26">
    <w:pict>
      <v:shape id="_x0000_i1216" type="#_x0000_t75" style="width:3in;height:3in" o:bullet="t"/>
    </w:pict>
  </w:numPicBullet>
  <w:numPicBullet w:numPicBulletId="27">
    <w:pict>
      <v:shape id="_x0000_i1217" type="#_x0000_t75" style="width:3in;height:3in" o:bullet="t"/>
    </w:pict>
  </w:numPicBullet>
  <w:numPicBullet w:numPicBulletId="28">
    <w:pict>
      <v:shape id="_x0000_i1218" type="#_x0000_t75" style="width:3in;height:3in" o:bullet="t"/>
    </w:pict>
  </w:numPicBullet>
  <w:numPicBullet w:numPicBulletId="29">
    <w:pict>
      <v:shape id="_x0000_i1219" type="#_x0000_t75" style="width:3in;height:3in" o:bullet="t"/>
    </w:pict>
  </w:numPicBullet>
  <w:numPicBullet w:numPicBulletId="30">
    <w:pict>
      <v:shape id="_x0000_i1220" type="#_x0000_t75" style="width:3in;height:3in" o:bullet="t"/>
    </w:pict>
  </w:numPicBullet>
  <w:numPicBullet w:numPicBulletId="31">
    <w:pict>
      <v:shape id="_x0000_i1221" type="#_x0000_t75" style="width:3in;height:3in" o:bullet="t"/>
    </w:pict>
  </w:numPicBullet>
  <w:numPicBullet w:numPicBulletId="32">
    <w:pict>
      <v:shape id="_x0000_i1222" type="#_x0000_t75" style="width:3in;height:3in" o:bullet="t"/>
    </w:pict>
  </w:numPicBullet>
  <w:numPicBullet w:numPicBulletId="33">
    <w:pict>
      <v:shape id="_x0000_i1223" type="#_x0000_t75" style="width:3in;height:3in" o:bullet="t"/>
    </w:pict>
  </w:numPicBullet>
  <w:numPicBullet w:numPicBulletId="34">
    <w:pict>
      <v:shape id="_x0000_i1224" type="#_x0000_t75" style="width:3in;height:3in" o:bullet="t"/>
    </w:pict>
  </w:numPicBullet>
  <w:numPicBullet w:numPicBulletId="35">
    <w:pict>
      <v:shape id="_x0000_i1225" type="#_x0000_t75" style="width:3in;height:3in" o:bullet="t"/>
    </w:pict>
  </w:numPicBullet>
  <w:numPicBullet w:numPicBulletId="36">
    <w:pict>
      <v:shape id="_x0000_i1226" type="#_x0000_t75" style="width:3in;height:3in" o:bullet="t"/>
    </w:pict>
  </w:numPicBullet>
  <w:numPicBullet w:numPicBulletId="37">
    <w:pict>
      <v:shape id="_x0000_i1227" type="#_x0000_t75" style="width:3in;height:3in" o:bullet="t"/>
    </w:pict>
  </w:numPicBullet>
  <w:numPicBullet w:numPicBulletId="38">
    <w:pict>
      <v:shape id="_x0000_i1228" type="#_x0000_t75" style="width:3in;height:3in" o:bullet="t"/>
    </w:pict>
  </w:numPicBullet>
  <w:numPicBullet w:numPicBulletId="39">
    <w:pict>
      <v:shape id="_x0000_i1229" type="#_x0000_t75" style="width:3in;height:3in" o:bullet="t"/>
    </w:pict>
  </w:numPicBullet>
  <w:numPicBullet w:numPicBulletId="40">
    <w:pict>
      <v:shape id="_x0000_i1230" type="#_x0000_t75" style="width:3in;height:3in" o:bullet="t"/>
    </w:pict>
  </w:numPicBullet>
  <w:abstractNum w:abstractNumId="0">
    <w:nsid w:val="16A440F4"/>
    <w:multiLevelType w:val="multilevel"/>
    <w:tmpl w:val="1F16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D4E27"/>
    <w:multiLevelType w:val="hybridMultilevel"/>
    <w:tmpl w:val="FB98B4B4"/>
    <w:lvl w:ilvl="0" w:tplc="0E06775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91C0241"/>
    <w:multiLevelType w:val="multilevel"/>
    <w:tmpl w:val="95F0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E3E1F"/>
    <w:multiLevelType w:val="hybridMultilevel"/>
    <w:tmpl w:val="AA82CF32"/>
    <w:lvl w:ilvl="0" w:tplc="F70C1568">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D15A04"/>
    <w:multiLevelType w:val="multilevel"/>
    <w:tmpl w:val="4124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330856"/>
    <w:multiLevelType w:val="multilevel"/>
    <w:tmpl w:val="063EC7D6"/>
    <w:lvl w:ilvl="0">
      <w:start w:val="1"/>
      <w:numFmt w:val="bullet"/>
      <w:lvlText w:val=""/>
      <w:lvlPicBulletId w:val="4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1C4C4F"/>
    <w:multiLevelType w:val="multilevel"/>
    <w:tmpl w:val="733ADB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C748D8"/>
    <w:multiLevelType w:val="multilevel"/>
    <w:tmpl w:val="8A0E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73ED6"/>
    <w:multiLevelType w:val="multilevel"/>
    <w:tmpl w:val="AF2C9BD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8"/>
  </w:num>
  <w:num w:numId="5">
    <w:abstractNumId w:val="3"/>
  </w:num>
  <w:num w:numId="6">
    <w:abstractNumId w:val="1"/>
  </w:num>
  <w:num w:numId="7">
    <w:abstractNumId w:val="0"/>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35FF8"/>
    <w:rsid w:val="000A4164"/>
    <w:rsid w:val="0022789C"/>
    <w:rsid w:val="00383AE2"/>
    <w:rsid w:val="0039296F"/>
    <w:rsid w:val="003C0AF5"/>
    <w:rsid w:val="003C46BB"/>
    <w:rsid w:val="003E264F"/>
    <w:rsid w:val="004D7C87"/>
    <w:rsid w:val="004E2CDF"/>
    <w:rsid w:val="005938C6"/>
    <w:rsid w:val="005D227C"/>
    <w:rsid w:val="006270C7"/>
    <w:rsid w:val="008067EB"/>
    <w:rsid w:val="00835FF8"/>
    <w:rsid w:val="00951EEA"/>
    <w:rsid w:val="00A228C7"/>
    <w:rsid w:val="00AC7EED"/>
    <w:rsid w:val="00AE7810"/>
    <w:rsid w:val="00B01474"/>
    <w:rsid w:val="00B110C8"/>
    <w:rsid w:val="00BC215A"/>
    <w:rsid w:val="00C410FC"/>
    <w:rsid w:val="00EE4C31"/>
    <w:rsid w:val="00F634CE"/>
    <w:rsid w:val="00F92D0B"/>
    <w:rsid w:val="00FE29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FF8"/>
    <w:rPr>
      <w:b/>
      <w:bCs/>
    </w:rPr>
  </w:style>
  <w:style w:type="character" w:styleId="Hyperlink">
    <w:name w:val="Hyperlink"/>
    <w:basedOn w:val="DefaultParagraphFont"/>
    <w:uiPriority w:val="99"/>
    <w:semiHidden/>
    <w:unhideWhenUsed/>
    <w:rsid w:val="004D7C87"/>
    <w:rPr>
      <w:color w:val="0000FF"/>
      <w:u w:val="single"/>
    </w:rPr>
  </w:style>
  <w:style w:type="paragraph" w:styleId="NormalWeb">
    <w:name w:val="Normal (Web)"/>
    <w:basedOn w:val="Normal"/>
    <w:uiPriority w:val="99"/>
    <w:semiHidden/>
    <w:unhideWhenUsed/>
    <w:rsid w:val="00B01474"/>
    <w:pPr>
      <w:spacing w:before="100" w:beforeAutospacing="1" w:after="100" w:afterAutospacing="1" w:line="240" w:lineRule="auto"/>
    </w:pPr>
    <w:rPr>
      <w:rFonts w:ascii="Verdana" w:eastAsia="Times New Roman" w:hAnsi="Verdana" w:cs="Times New Roman"/>
      <w:sz w:val="20"/>
      <w:szCs w:val="20"/>
    </w:rPr>
  </w:style>
  <w:style w:type="paragraph" w:styleId="ListParagraph">
    <w:name w:val="List Paragraph"/>
    <w:basedOn w:val="Normal"/>
    <w:uiPriority w:val="34"/>
    <w:qFormat/>
    <w:rsid w:val="00B01474"/>
    <w:pPr>
      <w:ind w:left="720"/>
      <w:contextualSpacing/>
    </w:pPr>
  </w:style>
</w:styles>
</file>

<file path=word/webSettings.xml><?xml version="1.0" encoding="utf-8"?>
<w:webSettings xmlns:r="http://schemas.openxmlformats.org/officeDocument/2006/relationships" xmlns:w="http://schemas.openxmlformats.org/wordprocessingml/2006/main">
  <w:divs>
    <w:div w:id="41440441">
      <w:bodyDiv w:val="1"/>
      <w:marLeft w:val="0"/>
      <w:marRight w:val="0"/>
      <w:marTop w:val="0"/>
      <w:marBottom w:val="0"/>
      <w:divBdr>
        <w:top w:val="none" w:sz="0" w:space="0" w:color="auto"/>
        <w:left w:val="none" w:sz="0" w:space="0" w:color="auto"/>
        <w:bottom w:val="none" w:sz="0" w:space="0" w:color="auto"/>
        <w:right w:val="none" w:sz="0" w:space="0" w:color="auto"/>
      </w:divBdr>
    </w:div>
    <w:div w:id="1980960641">
      <w:bodyDiv w:val="1"/>
      <w:marLeft w:val="0"/>
      <w:marRight w:val="0"/>
      <w:marTop w:val="0"/>
      <w:marBottom w:val="0"/>
      <w:divBdr>
        <w:top w:val="none" w:sz="0" w:space="0" w:color="auto"/>
        <w:left w:val="none" w:sz="0" w:space="0" w:color="auto"/>
        <w:bottom w:val="none" w:sz="0" w:space="0" w:color="auto"/>
        <w:right w:val="none" w:sz="0" w:space="0" w:color="auto"/>
      </w:divBdr>
      <w:divsChild>
        <w:div w:id="1078863584">
          <w:marLeft w:val="0"/>
          <w:marRight w:val="0"/>
          <w:marTop w:val="0"/>
          <w:marBottom w:val="0"/>
          <w:divBdr>
            <w:top w:val="none" w:sz="0" w:space="0" w:color="auto"/>
            <w:left w:val="none" w:sz="0" w:space="0" w:color="auto"/>
            <w:bottom w:val="none" w:sz="0" w:space="0" w:color="auto"/>
            <w:right w:val="none" w:sz="0" w:space="0" w:color="auto"/>
          </w:divBdr>
          <w:divsChild>
            <w:div w:id="304747703">
              <w:marLeft w:val="150"/>
              <w:marRight w:val="150"/>
              <w:marTop w:val="0"/>
              <w:marBottom w:val="0"/>
              <w:divBdr>
                <w:top w:val="none" w:sz="0" w:space="0" w:color="auto"/>
                <w:left w:val="none" w:sz="0" w:space="0" w:color="auto"/>
                <w:bottom w:val="none" w:sz="0" w:space="0" w:color="auto"/>
                <w:right w:val="none" w:sz="0" w:space="0" w:color="auto"/>
              </w:divBdr>
              <w:divsChild>
                <w:div w:id="907691100">
                  <w:marLeft w:val="0"/>
                  <w:marRight w:val="0"/>
                  <w:marTop w:val="0"/>
                  <w:marBottom w:val="0"/>
                  <w:divBdr>
                    <w:top w:val="none" w:sz="0" w:space="0" w:color="auto"/>
                    <w:left w:val="none" w:sz="0" w:space="0" w:color="auto"/>
                    <w:bottom w:val="single" w:sz="2" w:space="8" w:color="D1D2D4"/>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rchive.iasb.org.uk/uploaded_files/documents/8_63_ifrs02-sum.pdf" TargetMode="External"/><Relationship Id="rId18" Type="http://schemas.openxmlformats.org/officeDocument/2006/relationships/hyperlink" Target="http://archive.iasb.org.uk/uploaded_files/documents/8_63_ias02-sum.pdf" TargetMode="External"/><Relationship Id="rId26" Type="http://schemas.openxmlformats.org/officeDocument/2006/relationships/hyperlink" Target="http://archive.iasb.org.uk/uploaded_files/documents/8_63_ias17-sum.pdf" TargetMode="External"/><Relationship Id="rId39" Type="http://schemas.openxmlformats.org/officeDocument/2006/relationships/hyperlink" Target="http://archive.iasb.org.uk/uploaded_files/documents/8_63_ias32-sum.pdf" TargetMode="External"/><Relationship Id="rId3" Type="http://schemas.openxmlformats.org/officeDocument/2006/relationships/settings" Target="settings.xml"/><Relationship Id="rId21" Type="http://schemas.openxmlformats.org/officeDocument/2006/relationships/hyperlink" Target="http://archive.iasb.org.uk/uploaded_files/documents/8_63_ias10-sum.pdf" TargetMode="External"/><Relationship Id="rId34" Type="http://schemas.openxmlformats.org/officeDocument/2006/relationships/hyperlink" Target="http://archive.iasb.org.uk/uploaded_files/documents/8_63_ias27-sum.pdf" TargetMode="External"/><Relationship Id="rId42" Type="http://schemas.openxmlformats.org/officeDocument/2006/relationships/hyperlink" Target="http://archive.iasb.org.uk/uploaded_files/documents/8_63_ias36-sum.pdf" TargetMode="External"/><Relationship Id="rId47" Type="http://schemas.openxmlformats.org/officeDocument/2006/relationships/hyperlink" Target="http://archive.iasb.org.uk/uploaded_files/documents/8_63_ias41-sum.pdf" TargetMode="External"/><Relationship Id="rId7" Type="http://schemas.openxmlformats.org/officeDocument/2006/relationships/hyperlink" Target="http://www.ifrs.org/How+we+develop+standards/Project+planning.htm" TargetMode="External"/><Relationship Id="rId12" Type="http://schemas.openxmlformats.org/officeDocument/2006/relationships/hyperlink" Target="http://archive.iasb.org.uk/uploaded_files/documents/8_63_ifrs01-sum.pdf" TargetMode="External"/><Relationship Id="rId17" Type="http://schemas.openxmlformats.org/officeDocument/2006/relationships/hyperlink" Target="http://archive.iasb.org.uk/uploaded_files/documents/8_63_ias01-sum.pdf" TargetMode="External"/><Relationship Id="rId25" Type="http://schemas.openxmlformats.org/officeDocument/2006/relationships/hyperlink" Target="http://archive.iasb.org.uk/uploaded_files/documents/8_63_ias16-sum.pdf" TargetMode="External"/><Relationship Id="rId33" Type="http://schemas.openxmlformats.org/officeDocument/2006/relationships/hyperlink" Target="http://archive.iasb.org.uk/uploaded_files/documents/8_63_ias26-sum.pdf" TargetMode="External"/><Relationship Id="rId38" Type="http://schemas.openxmlformats.org/officeDocument/2006/relationships/hyperlink" Target="http://archive.iasb.org.uk/uploaded_files/documents/8_63_ias31-sum.pdf" TargetMode="External"/><Relationship Id="rId46" Type="http://schemas.openxmlformats.org/officeDocument/2006/relationships/hyperlink" Target="http://archive.iasb.org.uk/uploaded_files/documents/8_63_ias40-sum.pdf" TargetMode="External"/><Relationship Id="rId2" Type="http://schemas.openxmlformats.org/officeDocument/2006/relationships/styles" Target="styles.xml"/><Relationship Id="rId16" Type="http://schemas.openxmlformats.org/officeDocument/2006/relationships/hyperlink" Target="http://archive.iasb.org.uk/uploaded_files/documents/8_63_ifrs05-sum.pdf" TargetMode="External"/><Relationship Id="rId20" Type="http://schemas.openxmlformats.org/officeDocument/2006/relationships/hyperlink" Target="http://archive.iasb.org.uk/uploaded_files/documents/8_63_ias08-sum.pdf" TargetMode="External"/><Relationship Id="rId29" Type="http://schemas.openxmlformats.org/officeDocument/2006/relationships/hyperlink" Target="http://archive.iasb.org.uk/uploaded_files/documents/8_63_ias20-sum.pdf" TargetMode="External"/><Relationship Id="rId41" Type="http://schemas.openxmlformats.org/officeDocument/2006/relationships/hyperlink" Target="http://archive.iasb.org.uk/uploaded_files/documents/8_63_ias34-sum.pdf" TargetMode="External"/><Relationship Id="rId1" Type="http://schemas.openxmlformats.org/officeDocument/2006/relationships/numbering" Target="numbering.xml"/><Relationship Id="rId6" Type="http://schemas.openxmlformats.org/officeDocument/2006/relationships/hyperlink" Target="http://www.ifrs.org/How+we+develop+standards/Setting+the+agenda.htm" TargetMode="External"/><Relationship Id="rId11" Type="http://schemas.openxmlformats.org/officeDocument/2006/relationships/hyperlink" Target="http://www.ifrs.org/How+we+develop+standards/Procedures+after+an+IFRS+is+issued.htm" TargetMode="External"/><Relationship Id="rId24" Type="http://schemas.openxmlformats.org/officeDocument/2006/relationships/hyperlink" Target="http://archive.iasb.org.uk/uploaded_files/documents/8_63_ias14-sum.pdf" TargetMode="External"/><Relationship Id="rId32" Type="http://schemas.openxmlformats.org/officeDocument/2006/relationships/hyperlink" Target="http://archive.iasb.org.uk/uploaded_files/documents/8_63_ias24-sum.pdf" TargetMode="External"/><Relationship Id="rId37" Type="http://schemas.openxmlformats.org/officeDocument/2006/relationships/hyperlink" Target="http://archive.iasb.org.uk/uploaded_files/documents/8_63_ias30-sum.pdf" TargetMode="External"/><Relationship Id="rId40" Type="http://schemas.openxmlformats.org/officeDocument/2006/relationships/hyperlink" Target="http://archive.iasb.org.uk/uploaded_files/documents/8_63_ias33-sum.pdf" TargetMode="External"/><Relationship Id="rId45" Type="http://schemas.openxmlformats.org/officeDocument/2006/relationships/hyperlink" Target="http://archive.iasb.org.uk/uploaded_files/documents/8_63_ias39-sum.pdf" TargetMode="External"/><Relationship Id="rId5" Type="http://schemas.openxmlformats.org/officeDocument/2006/relationships/hyperlink" Target="http://www.iasplus.com/interps/interps.htm" TargetMode="External"/><Relationship Id="rId15" Type="http://schemas.openxmlformats.org/officeDocument/2006/relationships/hyperlink" Target="http://archive.iasb.org.uk/uploaded_files/documents/8_63_ifrs04-sum.pdf" TargetMode="External"/><Relationship Id="rId23" Type="http://schemas.openxmlformats.org/officeDocument/2006/relationships/hyperlink" Target="http://archive.iasb.org.uk/uploaded_files/documents/8_63_ias12-sum.pdf" TargetMode="External"/><Relationship Id="rId28" Type="http://schemas.openxmlformats.org/officeDocument/2006/relationships/hyperlink" Target="http://archive.iasb.org.uk/uploaded_files/documents/8_63_ias19-sum.pdf" TargetMode="External"/><Relationship Id="rId36" Type="http://schemas.openxmlformats.org/officeDocument/2006/relationships/hyperlink" Target="http://archive.iasb.org.uk/uploaded_files/documents/8_63_ias29-sum.pdf" TargetMode="External"/><Relationship Id="rId49" Type="http://schemas.openxmlformats.org/officeDocument/2006/relationships/theme" Target="theme/theme1.xml"/><Relationship Id="rId10" Type="http://schemas.openxmlformats.org/officeDocument/2006/relationships/hyperlink" Target="http://www.ifrs.org/How+we+develop+standards/Development+and+publication+of+an+IFRS.htm" TargetMode="External"/><Relationship Id="rId19" Type="http://schemas.openxmlformats.org/officeDocument/2006/relationships/hyperlink" Target="http://archive.iasb.org.uk/uploaded_files/documents/8_63_ias07-sum.pdf" TargetMode="External"/><Relationship Id="rId31" Type="http://schemas.openxmlformats.org/officeDocument/2006/relationships/hyperlink" Target="http://archive.iasb.org.uk/uploaded_files/documents/8_63_ias23-sum.pdf" TargetMode="External"/><Relationship Id="rId44" Type="http://schemas.openxmlformats.org/officeDocument/2006/relationships/hyperlink" Target="http://archive.iasb.org.uk/uploaded_files/documents/8_63_ias38-sum.pdf" TargetMode="External"/><Relationship Id="rId4" Type="http://schemas.openxmlformats.org/officeDocument/2006/relationships/webSettings" Target="webSettings.xml"/><Relationship Id="rId9" Type="http://schemas.openxmlformats.org/officeDocument/2006/relationships/hyperlink" Target="http://www.ifrs.org/How+we+develop+standards/Development+and+publication+of+an+exposure+draft.htm" TargetMode="External"/><Relationship Id="rId14" Type="http://schemas.openxmlformats.org/officeDocument/2006/relationships/hyperlink" Target="http://archive.iasb.org.uk/uploaded_files/documents/8_63_ifrs03-sum.pdf" TargetMode="External"/><Relationship Id="rId22" Type="http://schemas.openxmlformats.org/officeDocument/2006/relationships/hyperlink" Target="http://archive.iasb.org.uk/uploaded_files/documents/8_63_ias11-sum.pdf" TargetMode="External"/><Relationship Id="rId27" Type="http://schemas.openxmlformats.org/officeDocument/2006/relationships/hyperlink" Target="http://archive.iasb.org.uk/uploaded_files/documents/8_63_ias18-sum.pdf" TargetMode="External"/><Relationship Id="rId30" Type="http://schemas.openxmlformats.org/officeDocument/2006/relationships/hyperlink" Target="http://archive.iasb.org.uk/uploaded_files/documents/8_63_ias21-sum.pdf" TargetMode="External"/><Relationship Id="rId35" Type="http://schemas.openxmlformats.org/officeDocument/2006/relationships/hyperlink" Target="http://archive.iasb.org.uk/uploaded_files/documents/8_63_ias28-sum.pdf" TargetMode="External"/><Relationship Id="rId43" Type="http://schemas.openxmlformats.org/officeDocument/2006/relationships/hyperlink" Target="http://archive.iasb.org.uk/uploaded_files/documents/8_63_ias37-sum.pdf" TargetMode="External"/><Relationship Id="rId48" Type="http://schemas.openxmlformats.org/officeDocument/2006/relationships/fontTable" Target="fontTable.xml"/><Relationship Id="rId8" Type="http://schemas.openxmlformats.org/officeDocument/2006/relationships/hyperlink" Target="http://www.ifrs.org/How+we+develop+standards/Development+and+publication.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17</cp:revision>
  <dcterms:created xsi:type="dcterms:W3CDTF">2010-09-17T21:23:00Z</dcterms:created>
  <dcterms:modified xsi:type="dcterms:W3CDTF">2010-09-23T21:16:00Z</dcterms:modified>
</cp:coreProperties>
</file>