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371" w:rsidRPr="004515C4" w:rsidRDefault="00BB3371" w:rsidP="00FB13A4">
      <w:pPr>
        <w:pStyle w:val="Heading2"/>
        <w:ind w:left="-709"/>
        <w:rPr>
          <w:rFonts w:ascii="Arial" w:hAnsi="Arial" w:cs="Arial"/>
          <w:color w:val="auto"/>
        </w:rPr>
      </w:pPr>
      <w:r w:rsidRPr="004515C4">
        <w:rPr>
          <w:rFonts w:ascii="Arial" w:hAnsi="Arial" w:cs="Arial"/>
          <w:color w:val="auto"/>
        </w:rPr>
        <w:t>Introduction</w:t>
      </w:r>
      <w:r w:rsidR="00974D61" w:rsidRPr="004515C4">
        <w:rPr>
          <w:rFonts w:ascii="Arial" w:hAnsi="Arial" w:cs="Arial"/>
          <w:color w:val="auto"/>
        </w:rPr>
        <w:t xml:space="preserve"> to </w:t>
      </w:r>
      <w:r w:rsidR="00CA77CD">
        <w:rPr>
          <w:rFonts w:ascii="Arial" w:hAnsi="Arial" w:cs="Arial"/>
          <w:color w:val="auto"/>
        </w:rPr>
        <w:t>the</w:t>
      </w:r>
      <w:r w:rsidR="00653CD2">
        <w:rPr>
          <w:rFonts w:ascii="Arial" w:hAnsi="Arial" w:cs="Arial"/>
          <w:color w:val="auto"/>
        </w:rPr>
        <w:t xml:space="preserve"> Evaluation </w:t>
      </w:r>
      <w:r w:rsidR="00CA77CD">
        <w:rPr>
          <w:rFonts w:ascii="Arial" w:hAnsi="Arial" w:cs="Arial"/>
          <w:color w:val="auto"/>
        </w:rPr>
        <w:t xml:space="preserve">of </w:t>
      </w:r>
      <w:r w:rsidR="00CA77CD" w:rsidRPr="004515C4">
        <w:rPr>
          <w:rFonts w:ascii="Arial" w:hAnsi="Arial" w:cs="Arial"/>
          <w:color w:val="auto"/>
        </w:rPr>
        <w:t>Business</w:t>
      </w:r>
      <w:r w:rsidRPr="004515C4">
        <w:rPr>
          <w:rFonts w:ascii="Arial" w:hAnsi="Arial" w:cs="Arial"/>
          <w:color w:val="auto"/>
        </w:rPr>
        <w:t xml:space="preserve"> Investments</w:t>
      </w:r>
    </w:p>
    <w:p w:rsidR="00BB3371" w:rsidRPr="004515C4" w:rsidRDefault="00BB3371" w:rsidP="00FB13A4">
      <w:pPr>
        <w:pStyle w:val="NormalWeb"/>
        <w:shd w:val="clear" w:color="auto" w:fill="FFFFFF"/>
        <w:ind w:left="-709"/>
        <w:rPr>
          <w:color w:val="auto"/>
        </w:rPr>
      </w:pPr>
      <w:r w:rsidRPr="004515C4">
        <w:rPr>
          <w:color w:val="auto"/>
        </w:rPr>
        <w:t>Businesses often face the need to spend large amounts of money on assets that will be functional for many years. Here are a few examples:</w:t>
      </w:r>
    </w:p>
    <w:p w:rsidR="00BB3371" w:rsidRPr="004515C4" w:rsidRDefault="00BB3371" w:rsidP="00FB13A4">
      <w:pPr>
        <w:numPr>
          <w:ilvl w:val="0"/>
          <w:numId w:val="1"/>
        </w:numPr>
        <w:shd w:val="clear" w:color="auto" w:fill="FFFFFF"/>
        <w:spacing w:before="100" w:beforeAutospacing="1" w:after="100" w:afterAutospacing="1" w:line="240" w:lineRule="auto"/>
        <w:ind w:left="-709"/>
        <w:rPr>
          <w:rFonts w:ascii="Arial" w:hAnsi="Arial" w:cs="Arial"/>
          <w:sz w:val="18"/>
          <w:szCs w:val="18"/>
        </w:rPr>
      </w:pPr>
      <w:r w:rsidRPr="004515C4">
        <w:rPr>
          <w:rFonts w:ascii="Arial" w:hAnsi="Arial" w:cs="Arial"/>
          <w:sz w:val="18"/>
          <w:szCs w:val="18"/>
        </w:rPr>
        <w:t xml:space="preserve">Equipment to improve an unsafe work situation or to protect the environment </w:t>
      </w:r>
    </w:p>
    <w:p w:rsidR="00BB3371" w:rsidRPr="004515C4" w:rsidRDefault="00BB3371" w:rsidP="00FB13A4">
      <w:pPr>
        <w:numPr>
          <w:ilvl w:val="0"/>
          <w:numId w:val="1"/>
        </w:numPr>
        <w:shd w:val="clear" w:color="auto" w:fill="FFFFFF"/>
        <w:spacing w:before="100" w:beforeAutospacing="1" w:after="100" w:afterAutospacing="1" w:line="240" w:lineRule="auto"/>
        <w:ind w:left="-709"/>
        <w:rPr>
          <w:rFonts w:ascii="Arial" w:hAnsi="Arial" w:cs="Arial"/>
          <w:sz w:val="18"/>
          <w:szCs w:val="18"/>
        </w:rPr>
      </w:pPr>
      <w:r w:rsidRPr="004515C4">
        <w:rPr>
          <w:rFonts w:ascii="Arial" w:hAnsi="Arial" w:cs="Arial"/>
          <w:sz w:val="18"/>
          <w:szCs w:val="18"/>
        </w:rPr>
        <w:t xml:space="preserve">Equipment to test the consistency of products as required by the customer </w:t>
      </w:r>
    </w:p>
    <w:p w:rsidR="00BB3371" w:rsidRPr="004515C4" w:rsidRDefault="00BB3371" w:rsidP="00FB13A4">
      <w:pPr>
        <w:numPr>
          <w:ilvl w:val="0"/>
          <w:numId w:val="1"/>
        </w:numPr>
        <w:shd w:val="clear" w:color="auto" w:fill="FFFFFF"/>
        <w:spacing w:before="100" w:beforeAutospacing="1" w:after="100" w:afterAutospacing="1" w:line="240" w:lineRule="auto"/>
        <w:ind w:left="-709"/>
        <w:rPr>
          <w:rFonts w:ascii="Arial" w:hAnsi="Arial" w:cs="Arial"/>
          <w:sz w:val="18"/>
          <w:szCs w:val="18"/>
        </w:rPr>
      </w:pPr>
      <w:r w:rsidRPr="004515C4">
        <w:rPr>
          <w:rFonts w:ascii="Arial" w:hAnsi="Arial" w:cs="Arial"/>
          <w:sz w:val="18"/>
          <w:szCs w:val="18"/>
        </w:rPr>
        <w:t xml:space="preserve">Equipment to package, label, and ship products according to the customer’s specifications </w:t>
      </w:r>
    </w:p>
    <w:p w:rsidR="00BB3371" w:rsidRPr="004515C4" w:rsidRDefault="00BB3371" w:rsidP="00FB13A4">
      <w:pPr>
        <w:numPr>
          <w:ilvl w:val="0"/>
          <w:numId w:val="1"/>
        </w:numPr>
        <w:shd w:val="clear" w:color="auto" w:fill="FFFFFF"/>
        <w:spacing w:before="100" w:beforeAutospacing="1" w:after="100" w:afterAutospacing="1" w:line="240" w:lineRule="auto"/>
        <w:ind w:left="-709"/>
        <w:rPr>
          <w:rFonts w:ascii="Arial" w:hAnsi="Arial" w:cs="Arial"/>
          <w:sz w:val="18"/>
          <w:szCs w:val="18"/>
        </w:rPr>
      </w:pPr>
      <w:r w:rsidRPr="004515C4">
        <w:rPr>
          <w:rFonts w:ascii="Arial" w:hAnsi="Arial" w:cs="Arial"/>
          <w:sz w:val="18"/>
          <w:szCs w:val="18"/>
        </w:rPr>
        <w:t xml:space="preserve">Equipment to reduce labor costs and improve the quality of products </w:t>
      </w:r>
    </w:p>
    <w:p w:rsidR="00BB3371" w:rsidRPr="004515C4" w:rsidRDefault="00BB3371" w:rsidP="00FB13A4">
      <w:pPr>
        <w:numPr>
          <w:ilvl w:val="0"/>
          <w:numId w:val="1"/>
        </w:numPr>
        <w:shd w:val="clear" w:color="auto" w:fill="FFFFFF"/>
        <w:spacing w:before="100" w:beforeAutospacing="1" w:after="100" w:afterAutospacing="1" w:line="240" w:lineRule="auto"/>
        <w:ind w:left="-709"/>
        <w:rPr>
          <w:rFonts w:ascii="Arial" w:hAnsi="Arial" w:cs="Arial"/>
          <w:sz w:val="18"/>
          <w:szCs w:val="18"/>
        </w:rPr>
      </w:pPr>
      <w:r w:rsidRPr="004515C4">
        <w:rPr>
          <w:rFonts w:ascii="Arial" w:hAnsi="Arial" w:cs="Arial"/>
          <w:sz w:val="18"/>
          <w:szCs w:val="18"/>
        </w:rPr>
        <w:t xml:space="preserve">Purchase of a building instead of leasing space </w:t>
      </w:r>
    </w:p>
    <w:p w:rsidR="00BB3371" w:rsidRPr="004515C4" w:rsidRDefault="00BB3371" w:rsidP="00FB13A4">
      <w:pPr>
        <w:pStyle w:val="NormalWeb"/>
        <w:shd w:val="clear" w:color="auto" w:fill="FFFFFF"/>
        <w:ind w:left="-709"/>
        <w:rPr>
          <w:color w:val="auto"/>
        </w:rPr>
      </w:pPr>
      <w:r w:rsidRPr="004515C4">
        <w:rPr>
          <w:color w:val="auto"/>
        </w:rPr>
        <w:t xml:space="preserve">Expenditures made for long-term assets are referred to as </w:t>
      </w:r>
      <w:hyperlink r:id="rId5" w:history="1">
        <w:r w:rsidRPr="004515C4">
          <w:rPr>
            <w:rStyle w:val="Hyperlink"/>
            <w:b/>
            <w:bCs/>
            <w:color w:val="auto"/>
          </w:rPr>
          <w:t>capital expenditures</w:t>
        </w:r>
      </w:hyperlink>
      <w:r w:rsidRPr="004515C4">
        <w:rPr>
          <w:color w:val="auto"/>
        </w:rPr>
        <w:t xml:space="preserve"> and are recorded as assets on the balance sheet. During the years that these assets (other than land) are used, their costs are systematically moved from the balance sheet to the income statement through </w:t>
      </w:r>
      <w:hyperlink r:id="rId6" w:history="1">
        <w:r w:rsidRPr="004515C4">
          <w:rPr>
            <w:rStyle w:val="Hyperlink"/>
            <w:b/>
            <w:bCs/>
            <w:color w:val="auto"/>
          </w:rPr>
          <w:t>Depreciation Expense</w:t>
        </w:r>
      </w:hyperlink>
      <w:r w:rsidRPr="004515C4">
        <w:rPr>
          <w:color w:val="auto"/>
        </w:rPr>
        <w:t>.</w:t>
      </w:r>
    </w:p>
    <w:p w:rsidR="00BB3371" w:rsidRPr="004515C4" w:rsidRDefault="00BB3371" w:rsidP="00FB13A4">
      <w:pPr>
        <w:shd w:val="clear" w:color="auto" w:fill="FFFFFF"/>
        <w:ind w:left="-709"/>
        <w:rPr>
          <w:rFonts w:ascii="Arial" w:hAnsi="Arial" w:cs="Arial"/>
          <w:sz w:val="18"/>
          <w:szCs w:val="18"/>
        </w:rPr>
      </w:pPr>
      <w:bookmarkStart w:id="0" w:name="capital-budgeting"/>
      <w:bookmarkEnd w:id="0"/>
    </w:p>
    <w:p w:rsidR="00BB3371" w:rsidRPr="004515C4" w:rsidRDefault="00BB3371" w:rsidP="00FB13A4">
      <w:pPr>
        <w:shd w:val="clear" w:color="auto" w:fill="FFFFFF"/>
        <w:ind w:left="-709"/>
        <w:rPr>
          <w:rFonts w:ascii="Arial" w:eastAsia="Times New Roman" w:hAnsi="Arial" w:cs="Arial"/>
          <w:b/>
          <w:bCs/>
          <w:sz w:val="25"/>
          <w:szCs w:val="25"/>
        </w:rPr>
      </w:pPr>
      <w:r w:rsidRPr="004515C4">
        <w:rPr>
          <w:rFonts w:ascii="Arial" w:eastAsia="Times New Roman" w:hAnsi="Arial" w:cs="Arial"/>
          <w:b/>
          <w:bCs/>
          <w:sz w:val="25"/>
          <w:szCs w:val="25"/>
        </w:rPr>
        <w:t>Capital Budgeting</w:t>
      </w:r>
    </w:p>
    <w:p w:rsidR="00BB3371" w:rsidRPr="004515C4" w:rsidRDefault="00BB3371" w:rsidP="00FB13A4">
      <w:pPr>
        <w:pStyle w:val="NormalWeb"/>
        <w:shd w:val="clear" w:color="auto" w:fill="FFFFFF"/>
        <w:ind w:left="-709"/>
        <w:rPr>
          <w:color w:val="auto"/>
        </w:rPr>
      </w:pPr>
      <w:r w:rsidRPr="004515C4">
        <w:rPr>
          <w:color w:val="auto"/>
        </w:rPr>
        <w:t>Limitations such as time, money, and logistics frequently prevent a company from moving forward with too many major expenditure projects at the same time. Instead, a company will often rank its projects by priority and profitability. By using a process called capital budgeting, the company decides which capital expenditure projects will be undertaken and when.</w:t>
      </w:r>
    </w:p>
    <w:p w:rsidR="00BB3371" w:rsidRPr="004515C4" w:rsidRDefault="00BB3371" w:rsidP="00FB13A4">
      <w:pPr>
        <w:shd w:val="clear" w:color="auto" w:fill="FFFFFF"/>
        <w:ind w:left="-709"/>
        <w:rPr>
          <w:rFonts w:ascii="Arial" w:hAnsi="Arial" w:cs="Arial"/>
          <w:sz w:val="18"/>
          <w:szCs w:val="18"/>
        </w:rPr>
      </w:pPr>
    </w:p>
    <w:p w:rsidR="00BB3371" w:rsidRPr="004515C4" w:rsidRDefault="00BB3371" w:rsidP="00FB13A4">
      <w:pPr>
        <w:pStyle w:val="NormalWeb"/>
        <w:shd w:val="clear" w:color="auto" w:fill="FFFFFF"/>
        <w:ind w:left="-709"/>
        <w:rPr>
          <w:color w:val="auto"/>
        </w:rPr>
      </w:pPr>
      <w:r w:rsidRPr="004515C4">
        <w:rPr>
          <w:color w:val="auto"/>
        </w:rPr>
        <w:t>At the top of the list of capital expenditure projects are those for which no real choice exists (e.g., installing an updated sewer line within the plant to replace one that is leaking, correcting a safety hazard, correcting a code violation, etc). The remaining capital expenditures are usually ranked according to their profitability using a capital budgeting model.</w:t>
      </w:r>
    </w:p>
    <w:p w:rsidR="00BB3371" w:rsidRPr="004515C4" w:rsidRDefault="00BB3371" w:rsidP="00FB13A4">
      <w:pPr>
        <w:shd w:val="clear" w:color="auto" w:fill="FFFFFF"/>
        <w:spacing w:after="240"/>
        <w:ind w:left="-709"/>
        <w:rPr>
          <w:rFonts w:ascii="Arial" w:hAnsi="Arial" w:cs="Arial"/>
          <w:sz w:val="18"/>
          <w:szCs w:val="18"/>
        </w:rPr>
      </w:pPr>
    </w:p>
    <w:p w:rsidR="00BB3371" w:rsidRPr="004515C4" w:rsidRDefault="00BB3371" w:rsidP="00FB13A4">
      <w:pPr>
        <w:pStyle w:val="Heading2"/>
        <w:ind w:left="-709"/>
        <w:rPr>
          <w:rFonts w:ascii="Arial" w:hAnsi="Arial" w:cs="Arial"/>
          <w:color w:val="auto"/>
        </w:rPr>
      </w:pPr>
      <w:bookmarkStart w:id="1" w:name="capital-budgeting-models"/>
      <w:bookmarkEnd w:id="1"/>
      <w:r w:rsidRPr="004515C4">
        <w:rPr>
          <w:rFonts w:ascii="Arial" w:hAnsi="Arial" w:cs="Arial"/>
          <w:color w:val="auto"/>
        </w:rPr>
        <w:t>Capital Budgeting Models</w:t>
      </w:r>
    </w:p>
    <w:p w:rsidR="00BB3371" w:rsidRPr="004515C4" w:rsidRDefault="00BB3371" w:rsidP="00FB13A4">
      <w:pPr>
        <w:pStyle w:val="NormalWeb"/>
        <w:shd w:val="clear" w:color="auto" w:fill="FFFFFF"/>
        <w:ind w:left="-709"/>
        <w:rPr>
          <w:color w:val="auto"/>
        </w:rPr>
      </w:pPr>
      <w:r w:rsidRPr="004515C4">
        <w:rPr>
          <w:color w:val="auto"/>
        </w:rPr>
        <w:t>There are a number of capital budgeting models available that assess and rank capital expenditure proposals. Four of the most common models for evaluating business investments:</w:t>
      </w:r>
    </w:p>
    <w:p w:rsidR="00BB3371" w:rsidRPr="004515C4" w:rsidRDefault="00BB3371" w:rsidP="00FB13A4">
      <w:pPr>
        <w:numPr>
          <w:ilvl w:val="0"/>
          <w:numId w:val="2"/>
        </w:numPr>
        <w:shd w:val="clear" w:color="auto" w:fill="FFFFFF"/>
        <w:spacing w:before="100" w:beforeAutospacing="1" w:after="100" w:afterAutospacing="1" w:line="240" w:lineRule="auto"/>
        <w:ind w:left="-709"/>
        <w:rPr>
          <w:rFonts w:ascii="Arial" w:hAnsi="Arial" w:cs="Arial"/>
          <w:sz w:val="18"/>
          <w:szCs w:val="18"/>
        </w:rPr>
      </w:pPr>
      <w:r w:rsidRPr="004515C4">
        <w:rPr>
          <w:rFonts w:ascii="Arial" w:hAnsi="Arial" w:cs="Arial"/>
          <w:sz w:val="18"/>
          <w:szCs w:val="18"/>
        </w:rPr>
        <w:t xml:space="preserve">Accounting rate of return </w:t>
      </w:r>
    </w:p>
    <w:p w:rsidR="00BB3371" w:rsidRPr="004515C4" w:rsidRDefault="00BB3371" w:rsidP="00FB13A4">
      <w:pPr>
        <w:numPr>
          <w:ilvl w:val="0"/>
          <w:numId w:val="2"/>
        </w:numPr>
        <w:shd w:val="clear" w:color="auto" w:fill="FFFFFF"/>
        <w:spacing w:before="100" w:beforeAutospacing="1" w:after="100" w:afterAutospacing="1" w:line="240" w:lineRule="auto"/>
        <w:ind w:left="-709"/>
        <w:rPr>
          <w:rFonts w:ascii="Arial" w:hAnsi="Arial" w:cs="Arial"/>
          <w:sz w:val="18"/>
          <w:szCs w:val="18"/>
        </w:rPr>
      </w:pPr>
      <w:r w:rsidRPr="004515C4">
        <w:rPr>
          <w:rFonts w:ascii="Arial" w:hAnsi="Arial" w:cs="Arial"/>
          <w:sz w:val="18"/>
          <w:szCs w:val="18"/>
        </w:rPr>
        <w:t xml:space="preserve">Payback </w:t>
      </w:r>
    </w:p>
    <w:p w:rsidR="00BB3371" w:rsidRPr="004515C4" w:rsidRDefault="00BB3371" w:rsidP="00FB13A4">
      <w:pPr>
        <w:numPr>
          <w:ilvl w:val="0"/>
          <w:numId w:val="2"/>
        </w:numPr>
        <w:shd w:val="clear" w:color="auto" w:fill="FFFFFF"/>
        <w:spacing w:before="100" w:beforeAutospacing="1" w:after="100" w:afterAutospacing="1" w:line="240" w:lineRule="auto"/>
        <w:ind w:left="-709"/>
        <w:rPr>
          <w:rFonts w:ascii="Arial" w:hAnsi="Arial" w:cs="Arial"/>
          <w:sz w:val="18"/>
          <w:szCs w:val="18"/>
        </w:rPr>
      </w:pPr>
      <w:r w:rsidRPr="004515C4">
        <w:rPr>
          <w:rFonts w:ascii="Arial" w:hAnsi="Arial" w:cs="Arial"/>
          <w:sz w:val="18"/>
          <w:szCs w:val="18"/>
        </w:rPr>
        <w:t xml:space="preserve">Net present value </w:t>
      </w:r>
    </w:p>
    <w:p w:rsidR="00BB3371" w:rsidRPr="004515C4" w:rsidRDefault="00BB3371" w:rsidP="00FB13A4">
      <w:pPr>
        <w:numPr>
          <w:ilvl w:val="0"/>
          <w:numId w:val="2"/>
        </w:numPr>
        <w:shd w:val="clear" w:color="auto" w:fill="FFFFFF"/>
        <w:spacing w:before="100" w:beforeAutospacing="1" w:after="100" w:afterAutospacing="1" w:line="240" w:lineRule="auto"/>
        <w:ind w:left="-709"/>
        <w:rPr>
          <w:rFonts w:ascii="Arial" w:hAnsi="Arial" w:cs="Arial"/>
          <w:sz w:val="18"/>
          <w:szCs w:val="18"/>
        </w:rPr>
      </w:pPr>
      <w:r w:rsidRPr="004515C4">
        <w:rPr>
          <w:rFonts w:ascii="Arial" w:hAnsi="Arial" w:cs="Arial"/>
          <w:sz w:val="18"/>
          <w:szCs w:val="18"/>
        </w:rPr>
        <w:t xml:space="preserve">Internal rate of return </w:t>
      </w:r>
    </w:p>
    <w:p w:rsidR="00BB3371" w:rsidRPr="004515C4" w:rsidRDefault="00BB3371" w:rsidP="00FB13A4">
      <w:pPr>
        <w:shd w:val="clear" w:color="auto" w:fill="FFFFFF"/>
        <w:spacing w:after="0"/>
        <w:ind w:left="-709"/>
        <w:rPr>
          <w:rFonts w:ascii="Arial" w:hAnsi="Arial" w:cs="Arial"/>
          <w:sz w:val="18"/>
          <w:szCs w:val="18"/>
        </w:rPr>
      </w:pPr>
    </w:p>
    <w:p w:rsidR="00BB3371" w:rsidRPr="004515C4" w:rsidRDefault="00BB3371" w:rsidP="00FB13A4">
      <w:pPr>
        <w:pStyle w:val="NormalWeb"/>
        <w:shd w:val="clear" w:color="auto" w:fill="FFFFFF"/>
        <w:ind w:left="-709"/>
        <w:rPr>
          <w:color w:val="auto"/>
        </w:rPr>
      </w:pPr>
      <w:r w:rsidRPr="004515C4">
        <w:rPr>
          <w:color w:val="auto"/>
        </w:rPr>
        <w:t>While each of these models has its benefi</w:t>
      </w:r>
      <w:r w:rsidR="00E03E2B" w:rsidRPr="004515C4">
        <w:rPr>
          <w:color w:val="auto"/>
        </w:rPr>
        <w:t xml:space="preserve">ts and drawbacks, </w:t>
      </w:r>
      <w:r w:rsidRPr="004515C4">
        <w:rPr>
          <w:color w:val="auto"/>
        </w:rPr>
        <w:t>financial managers prefer the net present value and the internal rate of return methods. There are two reasons why these models are favored: (a) all of the cash flows over the entire length of the project are considered, and (b) the future cash flows are discounted to reflect the time value of money.</w:t>
      </w:r>
    </w:p>
    <w:p w:rsidR="00BB3371" w:rsidRPr="004515C4" w:rsidRDefault="00BB3371" w:rsidP="00FB13A4">
      <w:pPr>
        <w:shd w:val="clear" w:color="auto" w:fill="FFFFFF"/>
        <w:spacing w:after="240"/>
        <w:ind w:left="-709"/>
        <w:rPr>
          <w:rFonts w:ascii="Arial" w:hAnsi="Arial" w:cs="Arial"/>
          <w:sz w:val="18"/>
          <w:szCs w:val="18"/>
        </w:rPr>
      </w:pPr>
    </w:p>
    <w:p w:rsidR="00BB3371" w:rsidRPr="004515C4" w:rsidRDefault="00BB3371" w:rsidP="00FB13A4">
      <w:pPr>
        <w:pStyle w:val="NormalWeb"/>
        <w:shd w:val="clear" w:color="auto" w:fill="FFFFFF"/>
        <w:ind w:left="-709"/>
        <w:rPr>
          <w:color w:val="auto"/>
        </w:rPr>
      </w:pPr>
      <w:r w:rsidRPr="004515C4">
        <w:rPr>
          <w:color w:val="auto"/>
        </w:rPr>
        <w:t>The following table highlights the differences among the four models:</w:t>
      </w:r>
    </w:p>
    <w:p w:rsidR="00974D61" w:rsidRPr="004515C4" w:rsidRDefault="00974D61" w:rsidP="00FB13A4">
      <w:pPr>
        <w:pStyle w:val="NormalWeb"/>
        <w:shd w:val="clear" w:color="auto" w:fill="FFFFFF"/>
        <w:rPr>
          <w:color w:val="auto"/>
        </w:rPr>
      </w:pPr>
    </w:p>
    <w:p w:rsidR="00BB3371" w:rsidRPr="004515C4" w:rsidRDefault="00BB3371" w:rsidP="00FB13A4">
      <w:pPr>
        <w:shd w:val="clear" w:color="auto" w:fill="FFFFFF"/>
        <w:rPr>
          <w:rFonts w:ascii="Arial" w:hAnsi="Arial" w:cs="Arial"/>
          <w:sz w:val="18"/>
          <w:szCs w:val="18"/>
        </w:rPr>
      </w:pPr>
    </w:p>
    <w:tbl>
      <w:tblPr>
        <w:tblW w:w="9465" w:type="dxa"/>
        <w:jc w:val="center"/>
        <w:tblCellSpacing w:w="0" w:type="dxa"/>
        <w:tblInd w:w="-2147" w:type="dxa"/>
        <w:tblBorders>
          <w:top w:val="outset" w:sz="6" w:space="0" w:color="auto"/>
          <w:left w:val="outset" w:sz="6" w:space="0" w:color="auto"/>
          <w:bottom w:val="outset" w:sz="6" w:space="0" w:color="auto"/>
          <w:right w:val="outset" w:sz="6" w:space="0" w:color="auto"/>
        </w:tblBorders>
        <w:shd w:val="clear" w:color="auto" w:fill="FFFDDA"/>
        <w:tblCellMar>
          <w:top w:w="90" w:type="dxa"/>
          <w:left w:w="90" w:type="dxa"/>
          <w:bottom w:w="90" w:type="dxa"/>
          <w:right w:w="90" w:type="dxa"/>
        </w:tblCellMar>
        <w:tblLook w:val="04A0"/>
      </w:tblPr>
      <w:tblGrid>
        <w:gridCol w:w="2688"/>
        <w:gridCol w:w="3091"/>
        <w:gridCol w:w="3686"/>
      </w:tblGrid>
      <w:tr w:rsidR="00FB13A4" w:rsidRPr="004515C4" w:rsidTr="00FB13A4">
        <w:trPr>
          <w:tblCellSpacing w:w="0" w:type="dxa"/>
          <w:jc w:val="center"/>
        </w:trPr>
        <w:tc>
          <w:tcPr>
            <w:tcW w:w="2688"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jc w:val="center"/>
              <w:rPr>
                <w:rFonts w:ascii="Arial" w:hAnsi="Arial" w:cs="Arial"/>
                <w:sz w:val="18"/>
                <w:szCs w:val="18"/>
              </w:rPr>
            </w:pPr>
            <w:r w:rsidRPr="004515C4">
              <w:rPr>
                <w:rFonts w:ascii="Arial" w:hAnsi="Arial" w:cs="Arial"/>
                <w:sz w:val="18"/>
                <w:szCs w:val="18"/>
                <w:u w:val="single"/>
              </w:rPr>
              <w:t>Method</w:t>
            </w:r>
          </w:p>
        </w:tc>
        <w:tc>
          <w:tcPr>
            <w:tcW w:w="3091"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jc w:val="center"/>
              <w:rPr>
                <w:rFonts w:ascii="Arial" w:hAnsi="Arial" w:cs="Arial"/>
                <w:sz w:val="18"/>
                <w:szCs w:val="18"/>
              </w:rPr>
            </w:pPr>
            <w:r w:rsidRPr="004515C4">
              <w:rPr>
                <w:rFonts w:ascii="Arial" w:hAnsi="Arial" w:cs="Arial"/>
                <w:sz w:val="18"/>
                <w:szCs w:val="18"/>
                <w:u w:val="single"/>
              </w:rPr>
              <w:t>Information Used</w:t>
            </w:r>
          </w:p>
        </w:tc>
        <w:tc>
          <w:tcPr>
            <w:tcW w:w="3686"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jc w:val="center"/>
              <w:rPr>
                <w:rFonts w:ascii="Arial" w:hAnsi="Arial" w:cs="Arial"/>
                <w:sz w:val="18"/>
                <w:szCs w:val="18"/>
              </w:rPr>
            </w:pPr>
            <w:r w:rsidRPr="004515C4">
              <w:rPr>
                <w:rFonts w:ascii="Arial" w:hAnsi="Arial" w:cs="Arial"/>
                <w:sz w:val="18"/>
                <w:szCs w:val="18"/>
                <w:u w:val="single"/>
              </w:rPr>
              <w:t>Time Period Covered</w:t>
            </w:r>
          </w:p>
        </w:tc>
      </w:tr>
      <w:tr w:rsidR="00FB13A4" w:rsidRPr="004515C4" w:rsidTr="00FB13A4">
        <w:trPr>
          <w:tblCellSpacing w:w="0" w:type="dxa"/>
          <w:jc w:val="center"/>
        </w:trPr>
        <w:tc>
          <w:tcPr>
            <w:tcW w:w="2688"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b/>
                <w:bCs/>
                <w:sz w:val="18"/>
                <w:szCs w:val="18"/>
              </w:rPr>
              <w:t xml:space="preserve">                  </w:t>
            </w:r>
            <w:r w:rsidRPr="004515C4">
              <w:rPr>
                <w:rFonts w:ascii="Arial" w:hAnsi="Arial" w:cs="Arial"/>
                <w:b/>
                <w:bCs/>
                <w:sz w:val="18"/>
                <w:szCs w:val="18"/>
              </w:rPr>
              <w:t>Accounting Rate of Return</w:t>
            </w:r>
          </w:p>
        </w:tc>
        <w:tc>
          <w:tcPr>
            <w:tcW w:w="3091"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sz w:val="18"/>
                <w:szCs w:val="18"/>
              </w:rPr>
              <w:t xml:space="preserve">               </w:t>
            </w:r>
            <w:r w:rsidRPr="004515C4">
              <w:rPr>
                <w:rFonts w:ascii="Arial" w:hAnsi="Arial" w:cs="Arial"/>
                <w:sz w:val="18"/>
                <w:szCs w:val="18"/>
              </w:rPr>
              <w:t>Accrual Accounting Amounts</w:t>
            </w:r>
          </w:p>
        </w:tc>
        <w:tc>
          <w:tcPr>
            <w:tcW w:w="3686"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sz w:val="18"/>
                <w:szCs w:val="18"/>
              </w:rPr>
              <w:t xml:space="preserve">              </w:t>
            </w:r>
            <w:r w:rsidRPr="004515C4">
              <w:rPr>
                <w:rFonts w:ascii="Arial" w:hAnsi="Arial" w:cs="Arial"/>
                <w:sz w:val="18"/>
                <w:szCs w:val="18"/>
              </w:rPr>
              <w:t>Average of All Years or a Specific Year</w:t>
            </w:r>
          </w:p>
        </w:tc>
      </w:tr>
      <w:tr w:rsidR="00FB13A4" w:rsidRPr="004515C4" w:rsidTr="00FB13A4">
        <w:trPr>
          <w:tblCellSpacing w:w="0" w:type="dxa"/>
          <w:jc w:val="center"/>
        </w:trPr>
        <w:tc>
          <w:tcPr>
            <w:tcW w:w="2688"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b/>
                <w:bCs/>
                <w:sz w:val="18"/>
                <w:szCs w:val="18"/>
              </w:rPr>
              <w:t xml:space="preserve">                   </w:t>
            </w:r>
            <w:r w:rsidRPr="004515C4">
              <w:rPr>
                <w:rFonts w:ascii="Arial" w:hAnsi="Arial" w:cs="Arial"/>
                <w:b/>
                <w:bCs/>
                <w:sz w:val="18"/>
                <w:szCs w:val="18"/>
              </w:rPr>
              <w:t>Payback</w:t>
            </w:r>
          </w:p>
        </w:tc>
        <w:tc>
          <w:tcPr>
            <w:tcW w:w="3091"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sz w:val="18"/>
                <w:szCs w:val="18"/>
              </w:rPr>
              <w:t xml:space="preserve">               </w:t>
            </w:r>
            <w:r w:rsidRPr="004515C4">
              <w:rPr>
                <w:rFonts w:ascii="Arial" w:hAnsi="Arial" w:cs="Arial"/>
                <w:sz w:val="18"/>
                <w:szCs w:val="18"/>
              </w:rPr>
              <w:t>Cash Flows – Not Discounted</w:t>
            </w:r>
          </w:p>
        </w:tc>
        <w:tc>
          <w:tcPr>
            <w:tcW w:w="3686"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sz w:val="18"/>
                <w:szCs w:val="18"/>
              </w:rPr>
              <w:t xml:space="preserve">               </w:t>
            </w:r>
            <w:r w:rsidRPr="004515C4">
              <w:rPr>
                <w:rFonts w:ascii="Arial" w:hAnsi="Arial" w:cs="Arial"/>
                <w:sz w:val="18"/>
                <w:szCs w:val="18"/>
              </w:rPr>
              <w:t>Until Cash is Recovered</w:t>
            </w:r>
            <w:r>
              <w:rPr>
                <w:rFonts w:ascii="Arial" w:hAnsi="Arial" w:cs="Arial"/>
                <w:sz w:val="18"/>
                <w:szCs w:val="18"/>
              </w:rPr>
              <w:t xml:space="preserve">                                                       </w:t>
            </w:r>
          </w:p>
        </w:tc>
      </w:tr>
      <w:tr w:rsidR="00FB13A4" w:rsidRPr="004515C4" w:rsidTr="00FB13A4">
        <w:trPr>
          <w:tblCellSpacing w:w="0" w:type="dxa"/>
          <w:jc w:val="center"/>
        </w:trPr>
        <w:tc>
          <w:tcPr>
            <w:tcW w:w="2688"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b/>
                <w:bCs/>
                <w:sz w:val="18"/>
                <w:szCs w:val="18"/>
              </w:rPr>
              <w:t xml:space="preserve">                   </w:t>
            </w:r>
            <w:r w:rsidRPr="004515C4">
              <w:rPr>
                <w:rFonts w:ascii="Arial" w:hAnsi="Arial" w:cs="Arial"/>
                <w:b/>
                <w:bCs/>
                <w:sz w:val="18"/>
                <w:szCs w:val="18"/>
              </w:rPr>
              <w:t>Net Present Value</w:t>
            </w:r>
          </w:p>
        </w:tc>
        <w:tc>
          <w:tcPr>
            <w:tcW w:w="3091"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sz w:val="18"/>
                <w:szCs w:val="18"/>
              </w:rPr>
              <w:t xml:space="preserve">               </w:t>
            </w:r>
            <w:r w:rsidRPr="004515C4">
              <w:rPr>
                <w:rFonts w:ascii="Arial" w:hAnsi="Arial" w:cs="Arial"/>
                <w:sz w:val="18"/>
                <w:szCs w:val="18"/>
              </w:rPr>
              <w:t xml:space="preserve">Discounted Cash Flows </w:t>
            </w:r>
          </w:p>
        </w:tc>
        <w:tc>
          <w:tcPr>
            <w:tcW w:w="3686"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sz w:val="18"/>
                <w:szCs w:val="18"/>
              </w:rPr>
              <w:t xml:space="preserve">               </w:t>
            </w:r>
            <w:r w:rsidRPr="004515C4">
              <w:rPr>
                <w:rFonts w:ascii="Arial" w:hAnsi="Arial" w:cs="Arial"/>
                <w:sz w:val="18"/>
                <w:szCs w:val="18"/>
              </w:rPr>
              <w:t>Entire Life of Project</w:t>
            </w:r>
          </w:p>
        </w:tc>
      </w:tr>
      <w:tr w:rsidR="00FB13A4" w:rsidRPr="004515C4" w:rsidTr="00FB13A4">
        <w:trPr>
          <w:tblCellSpacing w:w="0" w:type="dxa"/>
          <w:jc w:val="center"/>
        </w:trPr>
        <w:tc>
          <w:tcPr>
            <w:tcW w:w="2688"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b/>
                <w:bCs/>
                <w:sz w:val="18"/>
                <w:szCs w:val="18"/>
              </w:rPr>
              <w:t xml:space="preserve">                   </w:t>
            </w:r>
            <w:r w:rsidRPr="004515C4">
              <w:rPr>
                <w:rFonts w:ascii="Arial" w:hAnsi="Arial" w:cs="Arial"/>
                <w:b/>
                <w:bCs/>
                <w:sz w:val="18"/>
                <w:szCs w:val="18"/>
              </w:rPr>
              <w:t>Internal Rate of Return</w:t>
            </w:r>
          </w:p>
        </w:tc>
        <w:tc>
          <w:tcPr>
            <w:tcW w:w="3091"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sz w:val="18"/>
                <w:szCs w:val="18"/>
              </w:rPr>
              <w:t xml:space="preserve">               </w:t>
            </w:r>
            <w:r w:rsidRPr="004515C4">
              <w:rPr>
                <w:rFonts w:ascii="Arial" w:hAnsi="Arial" w:cs="Arial"/>
                <w:sz w:val="18"/>
                <w:szCs w:val="18"/>
              </w:rPr>
              <w:t>Discounted Cash Flows</w:t>
            </w:r>
          </w:p>
        </w:tc>
        <w:tc>
          <w:tcPr>
            <w:tcW w:w="3686" w:type="dxa"/>
            <w:tcBorders>
              <w:top w:val="outset" w:sz="6" w:space="0" w:color="auto"/>
              <w:left w:val="outset" w:sz="6" w:space="0" w:color="auto"/>
              <w:bottom w:val="outset" w:sz="6" w:space="0" w:color="auto"/>
              <w:right w:val="outset" w:sz="6" w:space="0" w:color="auto"/>
            </w:tcBorders>
            <w:shd w:val="clear" w:color="auto" w:fill="FFFDDA"/>
            <w:vAlign w:val="center"/>
            <w:hideMark/>
          </w:tcPr>
          <w:p w:rsidR="00FB13A4" w:rsidRPr="004515C4" w:rsidRDefault="00FB13A4" w:rsidP="00FB13A4">
            <w:pPr>
              <w:ind w:left="-709"/>
              <w:rPr>
                <w:rFonts w:ascii="Arial" w:hAnsi="Arial" w:cs="Arial"/>
                <w:sz w:val="18"/>
                <w:szCs w:val="18"/>
              </w:rPr>
            </w:pPr>
            <w:r>
              <w:rPr>
                <w:rFonts w:ascii="Arial" w:hAnsi="Arial" w:cs="Arial"/>
                <w:sz w:val="18"/>
                <w:szCs w:val="18"/>
              </w:rPr>
              <w:t xml:space="preserve">               </w:t>
            </w:r>
            <w:r w:rsidRPr="004515C4">
              <w:rPr>
                <w:rFonts w:ascii="Arial" w:hAnsi="Arial" w:cs="Arial"/>
                <w:sz w:val="18"/>
                <w:szCs w:val="18"/>
              </w:rPr>
              <w:t>Entire Life of Project</w:t>
            </w:r>
          </w:p>
        </w:tc>
      </w:tr>
    </w:tbl>
    <w:p w:rsidR="00BB3371" w:rsidRPr="004515C4" w:rsidRDefault="00BB3371" w:rsidP="00FB13A4">
      <w:pPr>
        <w:shd w:val="clear" w:color="auto" w:fill="FFFFFF"/>
        <w:spacing w:after="0" w:line="235" w:lineRule="atLeast"/>
        <w:ind w:left="-709"/>
        <w:rPr>
          <w:rFonts w:ascii="Arial" w:eastAsia="Times New Roman" w:hAnsi="Arial" w:cs="Arial"/>
          <w:sz w:val="18"/>
          <w:szCs w:val="18"/>
        </w:rPr>
      </w:pPr>
    </w:p>
    <w:p w:rsidR="004515C4" w:rsidRDefault="004515C4" w:rsidP="00FB13A4">
      <w:pPr>
        <w:shd w:val="clear" w:color="auto" w:fill="FFFFFF"/>
        <w:spacing w:after="0" w:line="235" w:lineRule="atLeast"/>
        <w:ind w:left="-709"/>
        <w:rPr>
          <w:rFonts w:ascii="Arial" w:eastAsia="Times New Roman" w:hAnsi="Arial" w:cs="Arial"/>
          <w:sz w:val="18"/>
          <w:szCs w:val="18"/>
        </w:rPr>
      </w:pPr>
    </w:p>
    <w:p w:rsidR="00A31F2A" w:rsidRPr="004515C4" w:rsidRDefault="004515C4" w:rsidP="00FB13A4">
      <w:pPr>
        <w:shd w:val="clear" w:color="auto" w:fill="FFFFFF"/>
        <w:ind w:left="-709"/>
        <w:rPr>
          <w:rFonts w:ascii="Arial" w:eastAsia="Times New Roman" w:hAnsi="Arial" w:cs="Arial"/>
          <w:b/>
          <w:bCs/>
          <w:sz w:val="25"/>
          <w:szCs w:val="25"/>
        </w:rPr>
      </w:pPr>
      <w:r w:rsidRPr="004515C4">
        <w:rPr>
          <w:rFonts w:ascii="Arial" w:eastAsia="Times New Roman" w:hAnsi="Arial" w:cs="Arial"/>
          <w:b/>
          <w:bCs/>
          <w:sz w:val="25"/>
          <w:szCs w:val="25"/>
        </w:rPr>
        <w:lastRenderedPageBreak/>
        <w:t>Cash flows vs. accounting profits</w:t>
      </w: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 xml:space="preserve">The company's </w:t>
      </w:r>
      <w:r w:rsidRPr="004515C4">
        <w:rPr>
          <w:rFonts w:ascii="Arial" w:eastAsia="Times New Roman" w:hAnsi="Arial" w:cs="Arial"/>
          <w:b/>
          <w:bCs/>
          <w:sz w:val="18"/>
          <w:szCs w:val="18"/>
        </w:rPr>
        <w:t>cash flows</w:t>
      </w:r>
      <w:r w:rsidRPr="004515C4">
        <w:rPr>
          <w:rFonts w:ascii="Arial" w:eastAsia="Times New Roman" w:hAnsi="Arial" w:cs="Arial"/>
          <w:sz w:val="18"/>
          <w:szCs w:val="18"/>
        </w:rPr>
        <w:t xml:space="preserve"> are not the same as the accounting net income amounts that are based on accrual accounting. The following table shows the cash received or saved as positive amounts, and the cash that was paid out or lost as negative amounts (in parentheses).</w:t>
      </w: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tbl>
      <w:tblPr>
        <w:tblW w:w="9289" w:type="dxa"/>
        <w:tblCellSpacing w:w="15" w:type="dxa"/>
        <w:tblBorders>
          <w:top w:val="single" w:sz="18" w:space="0" w:color="CCCCCC"/>
          <w:left w:val="single" w:sz="18" w:space="0" w:color="CCCCCC"/>
          <w:bottom w:val="single" w:sz="18" w:space="0" w:color="CCCCCC"/>
          <w:right w:val="single" w:sz="18" w:space="0" w:color="CCCCCC"/>
        </w:tblBorders>
        <w:shd w:val="clear" w:color="auto" w:fill="FEFCE2"/>
        <w:tblCellMar>
          <w:left w:w="0" w:type="dxa"/>
          <w:right w:w="0" w:type="dxa"/>
        </w:tblCellMar>
        <w:tblLook w:val="04A0"/>
      </w:tblPr>
      <w:tblGrid>
        <w:gridCol w:w="9289"/>
      </w:tblGrid>
      <w:tr w:rsidR="00671A30" w:rsidRPr="004515C4" w:rsidTr="000E5179">
        <w:trPr>
          <w:tblCellSpacing w:w="15" w:type="dxa"/>
        </w:trPr>
        <w:tc>
          <w:tcPr>
            <w:tcW w:w="9229" w:type="dxa"/>
            <w:shd w:val="clear" w:color="auto" w:fill="FEFCE2"/>
            <w:tcMar>
              <w:top w:w="138" w:type="dxa"/>
              <w:left w:w="0" w:type="dxa"/>
              <w:bottom w:w="138" w:type="dxa"/>
              <w:right w:w="0" w:type="dxa"/>
            </w:tcMar>
            <w:vAlign w:val="center"/>
            <w:hideMark/>
          </w:tcPr>
          <w:p w:rsidR="00671A30" w:rsidRPr="004515C4" w:rsidRDefault="00671A30" w:rsidP="00FB13A4">
            <w:pPr>
              <w:spacing w:after="240" w:line="240" w:lineRule="auto"/>
              <w:ind w:left="-709"/>
              <w:jc w:val="center"/>
              <w:rPr>
                <w:rFonts w:ascii="Arial" w:eastAsia="Times New Roman" w:hAnsi="Arial" w:cs="Arial"/>
                <w:sz w:val="18"/>
                <w:szCs w:val="18"/>
              </w:rPr>
            </w:pPr>
            <w:proofErr w:type="spellStart"/>
            <w:r w:rsidRPr="004515C4">
              <w:rPr>
                <w:rFonts w:ascii="Arial" w:eastAsia="Times New Roman" w:hAnsi="Arial" w:cs="Arial"/>
                <w:b/>
                <w:bCs/>
                <w:sz w:val="18"/>
                <w:szCs w:val="18"/>
              </w:rPr>
              <w:t>Kiboko</w:t>
            </w:r>
            <w:proofErr w:type="spellEnd"/>
            <w:r w:rsidRPr="004515C4">
              <w:rPr>
                <w:rFonts w:ascii="Arial" w:eastAsia="Times New Roman" w:hAnsi="Arial" w:cs="Arial"/>
                <w:b/>
                <w:bCs/>
                <w:sz w:val="18"/>
                <w:szCs w:val="18"/>
              </w:rPr>
              <w:t xml:space="preserve"> Manufacturing, Inc.</w:t>
            </w:r>
            <w:r w:rsidRPr="004515C4">
              <w:rPr>
                <w:rFonts w:ascii="Arial" w:eastAsia="Times New Roman" w:hAnsi="Arial" w:cs="Arial"/>
                <w:b/>
                <w:bCs/>
                <w:sz w:val="18"/>
                <w:szCs w:val="18"/>
              </w:rPr>
              <w:br/>
              <w:t>Relevant Cash Flows</w:t>
            </w:r>
          </w:p>
          <w:tbl>
            <w:tblPr>
              <w:tblW w:w="6984"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00"/>
              <w:gridCol w:w="1050"/>
              <w:gridCol w:w="1050"/>
              <w:gridCol w:w="1050"/>
              <w:gridCol w:w="1252"/>
              <w:gridCol w:w="1682"/>
            </w:tblGrid>
            <w:tr w:rsidR="00671A30" w:rsidRPr="004515C4" w:rsidTr="00CA77CD">
              <w:trPr>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0E5179" w:rsidP="00FB13A4">
                  <w:pPr>
                    <w:spacing w:after="0" w:line="240" w:lineRule="auto"/>
                    <w:ind w:left="-709"/>
                    <w:rPr>
                      <w:rFonts w:ascii="Arial" w:eastAsia="Times New Roman" w:hAnsi="Arial" w:cs="Arial"/>
                      <w:sz w:val="18"/>
                      <w:szCs w:val="18"/>
                    </w:rPr>
                  </w:pPr>
                  <w:r>
                    <w:rPr>
                      <w:rFonts w:ascii="Arial" w:eastAsia="Times New Roman" w:hAnsi="Arial" w:cs="Arial"/>
                      <w:sz w:val="18"/>
                      <w:szCs w:val="18"/>
                    </w:rPr>
                    <w:t xml:space="preserve">        </w:t>
                  </w:r>
                </w:p>
              </w:tc>
              <w:tc>
                <w:tcPr>
                  <w:tcW w:w="1050" w:type="dxa"/>
                  <w:tcBorders>
                    <w:top w:val="outset" w:sz="6" w:space="0" w:color="auto"/>
                    <w:left w:val="outset" w:sz="6" w:space="0" w:color="auto"/>
                    <w:bottom w:val="outset" w:sz="6" w:space="0" w:color="auto"/>
                    <w:right w:val="outset" w:sz="6" w:space="0" w:color="auto"/>
                  </w:tcBorders>
                  <w:vAlign w:val="bottom"/>
                  <w:hideMark/>
                </w:tcPr>
                <w:p w:rsidR="000E5179"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Amount Paid </w:t>
                  </w:r>
                </w:p>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for Machine</w:t>
                  </w:r>
                </w:p>
              </w:tc>
              <w:tc>
                <w:tcPr>
                  <w:tcW w:w="1050" w:type="dxa"/>
                  <w:tcBorders>
                    <w:top w:val="outset" w:sz="6" w:space="0" w:color="auto"/>
                    <w:left w:val="outset" w:sz="6" w:space="0" w:color="auto"/>
                    <w:bottom w:val="outset" w:sz="6" w:space="0" w:color="auto"/>
                    <w:right w:val="outset" w:sz="6" w:space="0" w:color="auto"/>
                  </w:tcBorders>
                  <w:vAlign w:val="bottom"/>
                  <w:hideMark/>
                </w:tcPr>
                <w:p w:rsidR="000E5179" w:rsidRDefault="000E5179"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proofErr w:type="spellStart"/>
                  <w:r w:rsidR="00671A30" w:rsidRPr="004515C4">
                    <w:rPr>
                      <w:rFonts w:ascii="Arial" w:eastAsia="Times New Roman" w:hAnsi="Arial" w:cs="Arial"/>
                      <w:sz w:val="18"/>
                      <w:szCs w:val="18"/>
                    </w:rPr>
                    <w:t>Labor</w:t>
                  </w:r>
                  <w:proofErr w:type="spellEnd"/>
                  <w:r w:rsidR="00671A30" w:rsidRPr="004515C4">
                    <w:rPr>
                      <w:rFonts w:ascii="Arial" w:eastAsia="Times New Roman" w:hAnsi="Arial" w:cs="Arial"/>
                      <w:sz w:val="18"/>
                      <w:szCs w:val="18"/>
                    </w:rPr>
                    <w:t xml:space="preserve"> </w:t>
                  </w:r>
                </w:p>
                <w:p w:rsidR="00671A30" w:rsidRPr="004515C4" w:rsidRDefault="000E5179"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Savings</w:t>
                  </w:r>
                </w:p>
              </w:tc>
              <w:tc>
                <w:tcPr>
                  <w:tcW w:w="1050"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30% Income Tax on </w:t>
                  </w:r>
                  <w:proofErr w:type="spellStart"/>
                  <w:r w:rsidRPr="004515C4">
                    <w:rPr>
                      <w:rFonts w:ascii="Arial" w:eastAsia="Times New Roman" w:hAnsi="Arial" w:cs="Arial"/>
                      <w:sz w:val="18"/>
                      <w:szCs w:val="18"/>
                    </w:rPr>
                    <w:t>Labor</w:t>
                  </w:r>
                  <w:proofErr w:type="spellEnd"/>
                  <w:r w:rsidRPr="004515C4">
                    <w:rPr>
                      <w:rFonts w:ascii="Arial" w:eastAsia="Times New Roman" w:hAnsi="Arial" w:cs="Arial"/>
                      <w:sz w:val="18"/>
                      <w:szCs w:val="18"/>
                    </w:rPr>
                    <w:t xml:space="preserve"> Savings*</w:t>
                  </w:r>
                </w:p>
              </w:tc>
              <w:tc>
                <w:tcPr>
                  <w:tcW w:w="1252"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Income Tax of 30% Saved From Tax </w:t>
                  </w:r>
                  <w:proofErr w:type="spellStart"/>
                  <w:r w:rsidRPr="004515C4">
                    <w:rPr>
                      <w:rFonts w:ascii="Arial" w:eastAsia="Times New Roman" w:hAnsi="Arial" w:cs="Arial"/>
                      <w:sz w:val="18"/>
                      <w:szCs w:val="18"/>
                    </w:rPr>
                    <w:t>Depr</w:t>
                  </w:r>
                  <w:proofErr w:type="spellEnd"/>
                  <w:r w:rsidRPr="004515C4">
                    <w:rPr>
                      <w:rFonts w:ascii="Arial" w:eastAsia="Times New Roman" w:hAnsi="Arial" w:cs="Arial"/>
                      <w:sz w:val="18"/>
                      <w:szCs w:val="18"/>
                    </w:rPr>
                    <w:t>*</w:t>
                  </w:r>
                </w:p>
              </w:tc>
              <w:tc>
                <w:tcPr>
                  <w:tcW w:w="1682" w:type="dxa"/>
                  <w:tcBorders>
                    <w:top w:val="outset" w:sz="6" w:space="0" w:color="auto"/>
                    <w:left w:val="outset" w:sz="6" w:space="0" w:color="auto"/>
                    <w:bottom w:val="outset" w:sz="6" w:space="0" w:color="auto"/>
                    <w:right w:val="outset" w:sz="6" w:space="0" w:color="auto"/>
                  </w:tcBorders>
                  <w:vAlign w:val="bottom"/>
                  <w:hideMark/>
                </w:tcPr>
                <w:p w:rsidR="000E5179" w:rsidRDefault="000E5179"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 xml:space="preserve">Net Cash Flows </w:t>
                  </w:r>
                </w:p>
                <w:p w:rsidR="00671A30" w:rsidRPr="004515C4" w:rsidRDefault="000E5179"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 xml:space="preserve">Before </w:t>
                  </w:r>
                  <w:r>
                    <w:rPr>
                      <w:rFonts w:ascii="Arial" w:eastAsia="Times New Roman" w:hAnsi="Arial" w:cs="Arial"/>
                      <w:sz w:val="18"/>
                      <w:szCs w:val="18"/>
                    </w:rPr>
                    <w:t xml:space="preserve">        </w:t>
                  </w:r>
                  <w:r w:rsidR="00671A30" w:rsidRPr="004515C4">
                    <w:rPr>
                      <w:rFonts w:ascii="Arial" w:eastAsia="Times New Roman" w:hAnsi="Arial" w:cs="Arial"/>
                      <w:sz w:val="18"/>
                      <w:szCs w:val="18"/>
                    </w:rPr>
                    <w:t>Discounting</w:t>
                  </w:r>
                </w:p>
              </w:tc>
            </w:tr>
            <w:tr w:rsidR="00671A30" w:rsidRPr="004515C4" w:rsidTr="00CA77C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3030E0">
                  <w:pPr>
                    <w:spacing w:after="0" w:line="240" w:lineRule="auto"/>
                    <w:ind w:left="-40"/>
                    <w:jc w:val="center"/>
                    <w:rPr>
                      <w:rFonts w:ascii="Arial" w:eastAsia="Times New Roman" w:hAnsi="Arial" w:cs="Arial"/>
                      <w:sz w:val="18"/>
                      <w:szCs w:val="18"/>
                    </w:rPr>
                  </w:pPr>
                  <w:r w:rsidRPr="004515C4">
                    <w:rPr>
                      <w:rFonts w:ascii="Arial" w:eastAsia="Times New Roman" w:hAnsi="Arial" w:cs="Arial"/>
                      <w:sz w:val="18"/>
                      <w:szCs w:val="18"/>
                    </w:rPr>
                    <w:t>Today</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125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168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(100,000)</w:t>
                  </w:r>
                </w:p>
              </w:tc>
            </w:tr>
            <w:tr w:rsidR="00671A30" w:rsidRPr="004515C4" w:rsidTr="00CA77C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3030E0">
                  <w:pPr>
                    <w:spacing w:after="0" w:line="240" w:lineRule="auto"/>
                    <w:ind w:left="-40"/>
                    <w:jc w:val="center"/>
                    <w:rPr>
                      <w:rFonts w:ascii="Arial" w:eastAsia="Times New Roman" w:hAnsi="Arial" w:cs="Arial"/>
                      <w:sz w:val="18"/>
                      <w:szCs w:val="18"/>
                    </w:rPr>
                  </w:pPr>
                  <w:r w:rsidRPr="004515C4">
                    <w:rPr>
                      <w:rFonts w:ascii="Arial" w:eastAsia="Times New Roman" w:hAnsi="Arial" w:cs="Arial"/>
                      <w:sz w:val="18"/>
                      <w:szCs w:val="18"/>
                    </w:rPr>
                    <w:t>Year 1</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(7,200)</w:t>
                  </w:r>
                </w:p>
              </w:tc>
              <w:tc>
                <w:tcPr>
                  <w:tcW w:w="1252" w:type="dxa"/>
                  <w:tcBorders>
                    <w:top w:val="outset" w:sz="6" w:space="0" w:color="auto"/>
                    <w:left w:val="outset" w:sz="6" w:space="0" w:color="auto"/>
                    <w:bottom w:val="outset" w:sz="6" w:space="0" w:color="auto"/>
                    <w:right w:val="outset" w:sz="6" w:space="0" w:color="auto"/>
                  </w:tcBorders>
                  <w:vAlign w:val="center"/>
                  <w:hideMark/>
                </w:tcPr>
                <w:p w:rsidR="00900EA5" w:rsidRPr="004515C4" w:rsidRDefault="00900EA5" w:rsidP="00FB13A4">
                  <w:pPr>
                    <w:spacing w:after="0" w:line="240" w:lineRule="auto"/>
                    <w:ind w:left="-709"/>
                    <w:jc w:val="right"/>
                    <w:rPr>
                      <w:rFonts w:ascii="Arial" w:eastAsia="Times New Roman" w:hAnsi="Arial" w:cs="Arial"/>
                      <w:sz w:val="18"/>
                      <w:szCs w:val="18"/>
                    </w:rPr>
                  </w:pPr>
                  <w:r>
                    <w:rPr>
                      <w:rFonts w:ascii="Arial" w:eastAsia="Times New Roman" w:hAnsi="Arial" w:cs="Arial"/>
                      <w:sz w:val="18"/>
                      <w:szCs w:val="18"/>
                    </w:rPr>
                    <w:t>3750</w:t>
                  </w:r>
                </w:p>
              </w:tc>
              <w:tc>
                <w:tcPr>
                  <w:tcW w:w="168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3030E0">
                  <w:pPr>
                    <w:spacing w:after="0" w:line="240" w:lineRule="auto"/>
                    <w:ind w:left="-40"/>
                    <w:jc w:val="center"/>
                    <w:rPr>
                      <w:rFonts w:ascii="Arial" w:eastAsia="Times New Roman" w:hAnsi="Arial" w:cs="Arial"/>
                      <w:sz w:val="18"/>
                      <w:szCs w:val="18"/>
                    </w:rPr>
                  </w:pPr>
                  <w:r w:rsidRPr="004515C4">
                    <w:rPr>
                      <w:rFonts w:ascii="Arial" w:eastAsia="Times New Roman" w:hAnsi="Arial" w:cs="Arial"/>
                      <w:sz w:val="18"/>
                      <w:szCs w:val="18"/>
                    </w:rPr>
                    <w:t>Year 2</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(7,500)</w:t>
                  </w:r>
                </w:p>
              </w:tc>
              <w:tc>
                <w:tcPr>
                  <w:tcW w:w="1252" w:type="dxa"/>
                  <w:tcBorders>
                    <w:top w:val="outset" w:sz="6" w:space="0" w:color="auto"/>
                    <w:left w:val="outset" w:sz="6" w:space="0" w:color="auto"/>
                    <w:bottom w:val="outset" w:sz="6" w:space="0" w:color="auto"/>
                    <w:right w:val="outset" w:sz="6" w:space="0" w:color="auto"/>
                  </w:tcBorders>
                  <w:vAlign w:val="center"/>
                  <w:hideMark/>
                </w:tcPr>
                <w:p w:rsidR="00900EA5" w:rsidRPr="004515C4" w:rsidRDefault="00900EA5" w:rsidP="00FB13A4">
                  <w:pPr>
                    <w:spacing w:after="0" w:line="240" w:lineRule="auto"/>
                    <w:ind w:left="-709"/>
                    <w:jc w:val="right"/>
                    <w:rPr>
                      <w:rFonts w:ascii="Arial" w:eastAsia="Times New Roman" w:hAnsi="Arial" w:cs="Arial"/>
                      <w:sz w:val="18"/>
                      <w:szCs w:val="18"/>
                    </w:rPr>
                  </w:pPr>
                  <w:r>
                    <w:rPr>
                      <w:rFonts w:ascii="Arial" w:eastAsia="Times New Roman" w:hAnsi="Arial" w:cs="Arial"/>
                      <w:sz w:val="18"/>
                      <w:szCs w:val="18"/>
                    </w:rPr>
                    <w:t>3750</w:t>
                  </w:r>
                </w:p>
              </w:tc>
              <w:tc>
                <w:tcPr>
                  <w:tcW w:w="168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3030E0">
                  <w:pPr>
                    <w:spacing w:after="0" w:line="240" w:lineRule="auto"/>
                    <w:ind w:left="-40"/>
                    <w:jc w:val="center"/>
                    <w:rPr>
                      <w:rFonts w:ascii="Arial" w:eastAsia="Times New Roman" w:hAnsi="Arial" w:cs="Arial"/>
                      <w:sz w:val="18"/>
                      <w:szCs w:val="18"/>
                    </w:rPr>
                  </w:pPr>
                  <w:r w:rsidRPr="004515C4">
                    <w:rPr>
                      <w:rFonts w:ascii="Arial" w:eastAsia="Times New Roman" w:hAnsi="Arial" w:cs="Arial"/>
                      <w:sz w:val="18"/>
                      <w:szCs w:val="18"/>
                    </w:rPr>
                    <w:t>Year 3</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(7,800)</w:t>
                  </w:r>
                </w:p>
              </w:tc>
              <w:tc>
                <w:tcPr>
                  <w:tcW w:w="125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900EA5" w:rsidP="00FB13A4">
                  <w:pPr>
                    <w:spacing w:after="0" w:line="240" w:lineRule="auto"/>
                    <w:ind w:left="-709"/>
                    <w:jc w:val="right"/>
                    <w:rPr>
                      <w:rFonts w:ascii="Arial" w:eastAsia="Times New Roman" w:hAnsi="Arial" w:cs="Arial"/>
                      <w:sz w:val="18"/>
                      <w:szCs w:val="18"/>
                    </w:rPr>
                  </w:pPr>
                  <w:r>
                    <w:rPr>
                      <w:rFonts w:ascii="Arial" w:eastAsia="Times New Roman" w:hAnsi="Arial" w:cs="Arial"/>
                      <w:sz w:val="18"/>
                      <w:szCs w:val="18"/>
                    </w:rPr>
                    <w:t>3750</w:t>
                  </w:r>
                </w:p>
              </w:tc>
              <w:tc>
                <w:tcPr>
                  <w:tcW w:w="168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3030E0">
                  <w:pPr>
                    <w:spacing w:after="0" w:line="240" w:lineRule="auto"/>
                    <w:ind w:left="-40"/>
                    <w:jc w:val="center"/>
                    <w:rPr>
                      <w:rFonts w:ascii="Arial" w:eastAsia="Times New Roman" w:hAnsi="Arial" w:cs="Arial"/>
                      <w:sz w:val="18"/>
                      <w:szCs w:val="18"/>
                    </w:rPr>
                  </w:pPr>
                  <w:r w:rsidRPr="004515C4">
                    <w:rPr>
                      <w:rFonts w:ascii="Arial" w:eastAsia="Times New Roman" w:hAnsi="Arial" w:cs="Arial"/>
                      <w:sz w:val="18"/>
                      <w:szCs w:val="18"/>
                    </w:rPr>
                    <w:t>Year 4</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27,100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(8,130)</w:t>
                  </w:r>
                </w:p>
              </w:tc>
              <w:tc>
                <w:tcPr>
                  <w:tcW w:w="125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900EA5" w:rsidP="00FB13A4">
                  <w:pPr>
                    <w:spacing w:after="0" w:line="240" w:lineRule="auto"/>
                    <w:ind w:left="-709"/>
                    <w:jc w:val="right"/>
                    <w:rPr>
                      <w:rFonts w:ascii="Arial" w:eastAsia="Times New Roman" w:hAnsi="Arial" w:cs="Arial"/>
                      <w:sz w:val="18"/>
                      <w:szCs w:val="18"/>
                    </w:rPr>
                  </w:pPr>
                  <w:r>
                    <w:rPr>
                      <w:rFonts w:ascii="Arial" w:eastAsia="Times New Roman" w:hAnsi="Arial" w:cs="Arial"/>
                      <w:sz w:val="18"/>
                      <w:szCs w:val="18"/>
                    </w:rPr>
                    <w:t>3750</w:t>
                  </w:r>
                </w:p>
              </w:tc>
              <w:tc>
                <w:tcPr>
                  <w:tcW w:w="168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3030E0">
                  <w:pPr>
                    <w:spacing w:after="0" w:line="240" w:lineRule="auto"/>
                    <w:ind w:left="-40"/>
                    <w:jc w:val="center"/>
                    <w:rPr>
                      <w:rFonts w:ascii="Arial" w:eastAsia="Times New Roman" w:hAnsi="Arial" w:cs="Arial"/>
                      <w:sz w:val="18"/>
                      <w:szCs w:val="18"/>
                    </w:rPr>
                  </w:pPr>
                  <w:r w:rsidRPr="004515C4">
                    <w:rPr>
                      <w:rFonts w:ascii="Arial" w:eastAsia="Times New Roman" w:hAnsi="Arial" w:cs="Arial"/>
                      <w:sz w:val="18"/>
                      <w:szCs w:val="18"/>
                    </w:rPr>
                    <w:t>Year 5</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28,200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(8,460)</w:t>
                  </w:r>
                </w:p>
              </w:tc>
              <w:tc>
                <w:tcPr>
                  <w:tcW w:w="125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900EA5" w:rsidP="00FB13A4">
                  <w:pPr>
                    <w:spacing w:after="0" w:line="240" w:lineRule="auto"/>
                    <w:ind w:left="-709"/>
                    <w:jc w:val="right"/>
                    <w:rPr>
                      <w:rFonts w:ascii="Arial" w:eastAsia="Times New Roman" w:hAnsi="Arial" w:cs="Arial"/>
                      <w:sz w:val="18"/>
                      <w:szCs w:val="18"/>
                    </w:rPr>
                  </w:pPr>
                  <w:r>
                    <w:rPr>
                      <w:rFonts w:ascii="Arial" w:eastAsia="Times New Roman" w:hAnsi="Arial" w:cs="Arial"/>
                      <w:sz w:val="18"/>
                      <w:szCs w:val="18"/>
                    </w:rPr>
                    <w:t>3750</w:t>
                  </w:r>
                </w:p>
              </w:tc>
              <w:tc>
                <w:tcPr>
                  <w:tcW w:w="168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3030E0">
                  <w:pPr>
                    <w:spacing w:after="0" w:line="240" w:lineRule="auto"/>
                    <w:ind w:left="-40"/>
                    <w:jc w:val="center"/>
                    <w:rPr>
                      <w:rFonts w:ascii="Arial" w:eastAsia="Times New Roman" w:hAnsi="Arial" w:cs="Arial"/>
                      <w:sz w:val="18"/>
                      <w:szCs w:val="18"/>
                    </w:rPr>
                  </w:pPr>
                  <w:r w:rsidRPr="004515C4">
                    <w:rPr>
                      <w:rFonts w:ascii="Arial" w:eastAsia="Times New Roman" w:hAnsi="Arial" w:cs="Arial"/>
                      <w:sz w:val="18"/>
                      <w:szCs w:val="18"/>
                    </w:rPr>
                    <w:t>Year 6</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29,300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(8,790)</w:t>
                  </w:r>
                </w:p>
              </w:tc>
              <w:tc>
                <w:tcPr>
                  <w:tcW w:w="125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900EA5" w:rsidP="00FB13A4">
                  <w:pPr>
                    <w:spacing w:after="0" w:line="240" w:lineRule="auto"/>
                    <w:ind w:left="-709"/>
                    <w:jc w:val="right"/>
                    <w:rPr>
                      <w:rFonts w:ascii="Arial" w:eastAsia="Times New Roman" w:hAnsi="Arial" w:cs="Arial"/>
                      <w:sz w:val="18"/>
                      <w:szCs w:val="18"/>
                    </w:rPr>
                  </w:pPr>
                  <w:r>
                    <w:rPr>
                      <w:rFonts w:ascii="Arial" w:eastAsia="Times New Roman" w:hAnsi="Arial" w:cs="Arial"/>
                      <w:sz w:val="18"/>
                      <w:szCs w:val="18"/>
                    </w:rPr>
                    <w:t>3750</w:t>
                  </w:r>
                </w:p>
              </w:tc>
              <w:tc>
                <w:tcPr>
                  <w:tcW w:w="168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3030E0">
                  <w:pPr>
                    <w:spacing w:after="0" w:line="240" w:lineRule="auto"/>
                    <w:ind w:left="-40"/>
                    <w:jc w:val="center"/>
                    <w:rPr>
                      <w:rFonts w:ascii="Arial" w:eastAsia="Times New Roman" w:hAnsi="Arial" w:cs="Arial"/>
                      <w:sz w:val="18"/>
                      <w:szCs w:val="18"/>
                    </w:rPr>
                  </w:pPr>
                  <w:r w:rsidRPr="004515C4">
                    <w:rPr>
                      <w:rFonts w:ascii="Arial" w:eastAsia="Times New Roman" w:hAnsi="Arial" w:cs="Arial"/>
                      <w:sz w:val="18"/>
                      <w:szCs w:val="18"/>
                    </w:rPr>
                    <w:t>Year 7</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30,500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(9,150)</w:t>
                  </w:r>
                </w:p>
              </w:tc>
              <w:tc>
                <w:tcPr>
                  <w:tcW w:w="125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900EA5" w:rsidP="00FB13A4">
                  <w:pPr>
                    <w:spacing w:after="0" w:line="240" w:lineRule="auto"/>
                    <w:ind w:left="-709"/>
                    <w:jc w:val="right"/>
                    <w:rPr>
                      <w:rFonts w:ascii="Arial" w:eastAsia="Times New Roman" w:hAnsi="Arial" w:cs="Arial"/>
                      <w:sz w:val="18"/>
                      <w:szCs w:val="18"/>
                    </w:rPr>
                  </w:pPr>
                  <w:r>
                    <w:rPr>
                      <w:rFonts w:ascii="Arial" w:eastAsia="Times New Roman" w:hAnsi="Arial" w:cs="Arial"/>
                      <w:sz w:val="18"/>
                      <w:szCs w:val="18"/>
                    </w:rPr>
                    <w:t>3750</w:t>
                  </w:r>
                </w:p>
              </w:tc>
              <w:tc>
                <w:tcPr>
                  <w:tcW w:w="168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3030E0">
                  <w:pPr>
                    <w:spacing w:after="0" w:line="240" w:lineRule="auto"/>
                    <w:ind w:left="-40"/>
                    <w:jc w:val="center"/>
                    <w:rPr>
                      <w:rFonts w:ascii="Arial" w:eastAsia="Times New Roman" w:hAnsi="Arial" w:cs="Arial"/>
                      <w:sz w:val="18"/>
                      <w:szCs w:val="18"/>
                    </w:rPr>
                  </w:pPr>
                  <w:r w:rsidRPr="004515C4">
                    <w:rPr>
                      <w:rFonts w:ascii="Arial" w:eastAsia="Times New Roman" w:hAnsi="Arial" w:cs="Arial"/>
                      <w:sz w:val="18"/>
                      <w:szCs w:val="18"/>
                    </w:rPr>
                    <w:t>Year 8</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31,733</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(9,520)</w:t>
                  </w:r>
                </w:p>
              </w:tc>
              <w:tc>
                <w:tcPr>
                  <w:tcW w:w="125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900EA5" w:rsidP="00FB13A4">
                  <w:pPr>
                    <w:spacing w:after="0" w:line="240" w:lineRule="auto"/>
                    <w:ind w:left="-709"/>
                    <w:jc w:val="right"/>
                    <w:rPr>
                      <w:rFonts w:ascii="Arial" w:eastAsia="Times New Roman" w:hAnsi="Arial" w:cs="Arial"/>
                      <w:sz w:val="18"/>
                      <w:szCs w:val="18"/>
                    </w:rPr>
                  </w:pPr>
                  <w:r>
                    <w:rPr>
                      <w:rFonts w:ascii="Arial" w:eastAsia="Times New Roman" w:hAnsi="Arial" w:cs="Arial"/>
                      <w:sz w:val="18"/>
                      <w:szCs w:val="18"/>
                    </w:rPr>
                    <w:t>3750</w:t>
                  </w:r>
                </w:p>
              </w:tc>
              <w:tc>
                <w:tcPr>
                  <w:tcW w:w="168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bl>
          <w:p w:rsidR="00671A30" w:rsidRPr="004515C4" w:rsidRDefault="00671A30" w:rsidP="00FB13A4">
            <w:pPr>
              <w:spacing w:after="0" w:line="240" w:lineRule="auto"/>
              <w:ind w:left="-709"/>
              <w:jc w:val="center"/>
              <w:rPr>
                <w:rFonts w:ascii="Arial" w:eastAsia="Times New Roman" w:hAnsi="Arial" w:cs="Arial"/>
                <w:vanish/>
                <w:sz w:val="18"/>
                <w:szCs w:val="18"/>
              </w:rPr>
            </w:pPr>
          </w:p>
          <w:tbl>
            <w:tblPr>
              <w:tblW w:w="7220" w:type="dxa"/>
              <w:jc w:val="center"/>
              <w:tblCellSpacing w:w="15" w:type="dxa"/>
              <w:tblCellMar>
                <w:top w:w="15" w:type="dxa"/>
                <w:left w:w="15" w:type="dxa"/>
                <w:bottom w:w="15" w:type="dxa"/>
                <w:right w:w="15" w:type="dxa"/>
              </w:tblCellMar>
              <w:tblLook w:val="04A0"/>
            </w:tblPr>
            <w:tblGrid>
              <w:gridCol w:w="7220"/>
            </w:tblGrid>
            <w:tr w:rsidR="00671A30" w:rsidRPr="004515C4" w:rsidTr="00CA77CD">
              <w:trPr>
                <w:tblCellSpacing w:w="15" w:type="dxa"/>
                <w:jc w:val="center"/>
              </w:trPr>
              <w:tc>
                <w:tcPr>
                  <w:tcW w:w="7160" w:type="dxa"/>
                  <w:vAlign w:val="center"/>
                  <w:hideMark/>
                </w:tcPr>
                <w:p w:rsidR="00671A30" w:rsidRPr="004515C4" w:rsidRDefault="00671A30" w:rsidP="00CA77CD">
                  <w:pPr>
                    <w:spacing w:after="0" w:line="240" w:lineRule="auto"/>
                    <w:ind w:left="-709" w:right="-1123"/>
                    <w:rPr>
                      <w:rFonts w:ascii="Arial" w:eastAsia="Times New Roman" w:hAnsi="Arial" w:cs="Arial"/>
                      <w:sz w:val="18"/>
                      <w:szCs w:val="18"/>
                    </w:rPr>
                  </w:pPr>
                  <w:r w:rsidRPr="004515C4">
                    <w:rPr>
                      <w:rFonts w:ascii="Arial" w:eastAsia="Times New Roman" w:hAnsi="Arial" w:cs="Arial"/>
                      <w:sz w:val="18"/>
                      <w:szCs w:val="18"/>
                    </w:rPr>
                    <w:br/>
                  </w:r>
                  <w:r w:rsidRPr="004515C4">
                    <w:rPr>
                      <w:rFonts w:ascii="Arial" w:eastAsia="Times New Roman" w:hAnsi="Arial" w:cs="Arial"/>
                      <w:sz w:val="20"/>
                      <w:szCs w:val="20"/>
                    </w:rPr>
                    <w:t>*NOTE: These tax savings are based on a hypothetical income tax situation.</w:t>
                  </w:r>
                  <w:r w:rsidR="003D556C">
                    <w:rPr>
                      <w:rFonts w:ascii="Arial" w:eastAsia="Times New Roman" w:hAnsi="Arial" w:cs="Arial"/>
                      <w:sz w:val="20"/>
                      <w:szCs w:val="20"/>
                    </w:rPr>
                    <w:t xml:space="preserve"> Assume the machine will be depreciated</w:t>
                  </w:r>
                  <w:r w:rsidR="00B51816">
                    <w:rPr>
                      <w:rFonts w:ascii="Arial" w:eastAsia="Times New Roman" w:hAnsi="Arial" w:cs="Arial"/>
                      <w:sz w:val="20"/>
                      <w:szCs w:val="20"/>
                    </w:rPr>
                    <w:t xml:space="preserve"> for 8</w:t>
                  </w:r>
                  <w:r w:rsidR="00CA77CD">
                    <w:rPr>
                      <w:rFonts w:ascii="Arial" w:eastAsia="Times New Roman" w:hAnsi="Arial" w:cs="Arial"/>
                      <w:sz w:val="20"/>
                      <w:szCs w:val="20"/>
                    </w:rPr>
                    <w:t xml:space="preserve"> years using </w:t>
                  </w:r>
                  <w:r w:rsidR="003D556C">
                    <w:rPr>
                      <w:rFonts w:ascii="Arial" w:eastAsia="Times New Roman" w:hAnsi="Arial" w:cs="Arial"/>
                      <w:sz w:val="20"/>
                      <w:szCs w:val="20"/>
                    </w:rPr>
                    <w:t>st</w:t>
                  </w:r>
                  <w:r w:rsidR="003030E0">
                    <w:rPr>
                      <w:rFonts w:ascii="Arial" w:eastAsia="Times New Roman" w:hAnsi="Arial" w:cs="Arial"/>
                      <w:sz w:val="20"/>
                      <w:szCs w:val="20"/>
                    </w:rPr>
                    <w:t>ra</w:t>
                  </w:r>
                  <w:r w:rsidR="003D556C">
                    <w:rPr>
                      <w:rFonts w:ascii="Arial" w:eastAsia="Times New Roman" w:hAnsi="Arial" w:cs="Arial"/>
                      <w:sz w:val="20"/>
                      <w:szCs w:val="20"/>
                    </w:rPr>
                    <w:t>ight line method</w:t>
                  </w:r>
                  <w:r w:rsidR="00B51816">
                    <w:rPr>
                      <w:rFonts w:ascii="Arial" w:eastAsia="Times New Roman" w:hAnsi="Arial" w:cs="Arial"/>
                      <w:sz w:val="20"/>
                      <w:szCs w:val="20"/>
                    </w:rPr>
                    <w:t xml:space="preserve"> with no salvage value</w:t>
                  </w:r>
                  <w:r w:rsidR="003D556C">
                    <w:rPr>
                      <w:rFonts w:ascii="Arial" w:eastAsia="Times New Roman" w:hAnsi="Arial" w:cs="Arial"/>
                      <w:sz w:val="20"/>
                      <w:szCs w:val="20"/>
                    </w:rPr>
                    <w:t>.</w:t>
                  </w:r>
                </w:p>
              </w:tc>
            </w:tr>
          </w:tbl>
          <w:p w:rsidR="00671A30" w:rsidRPr="004515C4" w:rsidRDefault="00671A30" w:rsidP="00FB13A4">
            <w:pPr>
              <w:spacing w:after="0" w:line="240" w:lineRule="auto"/>
              <w:ind w:left="-709"/>
              <w:jc w:val="center"/>
              <w:rPr>
                <w:rFonts w:ascii="Arial" w:eastAsia="Times New Roman" w:hAnsi="Arial" w:cs="Arial"/>
                <w:sz w:val="18"/>
                <w:szCs w:val="18"/>
              </w:rPr>
            </w:pPr>
          </w:p>
        </w:tc>
      </w:tr>
    </w:tbl>
    <w:p w:rsidR="00671A30" w:rsidRPr="004515C4" w:rsidRDefault="00671A30" w:rsidP="00FB13A4">
      <w:pPr>
        <w:shd w:val="clear" w:color="auto" w:fill="FFFFFF"/>
        <w:spacing w:after="240" w:line="240" w:lineRule="auto"/>
        <w:ind w:left="-709"/>
        <w:rPr>
          <w:rFonts w:ascii="Arial" w:eastAsia="Times New Roman" w:hAnsi="Arial" w:cs="Arial"/>
          <w:sz w:val="18"/>
          <w:szCs w:val="18"/>
        </w:rPr>
      </w:pPr>
    </w:p>
    <w:p w:rsidR="008F6657" w:rsidRDefault="008F6657" w:rsidP="000E5179">
      <w:pPr>
        <w:pStyle w:val="NormalWeb"/>
        <w:shd w:val="clear" w:color="auto" w:fill="FFFFFF"/>
        <w:ind w:left="-709"/>
        <w:rPr>
          <w:b/>
          <w:bCs/>
          <w:sz w:val="27"/>
          <w:szCs w:val="27"/>
        </w:rPr>
      </w:pPr>
      <w:bookmarkStart w:id="2" w:name="cash-flow-nondiscounted"/>
      <w:bookmarkEnd w:id="2"/>
      <w:r>
        <w:rPr>
          <w:b/>
          <w:bCs/>
          <w:sz w:val="27"/>
          <w:szCs w:val="27"/>
        </w:rPr>
        <w:t>Non-cash, non- discounted model</w:t>
      </w:r>
    </w:p>
    <w:p w:rsidR="008F6657" w:rsidRDefault="008F6657" w:rsidP="00FB13A4">
      <w:pPr>
        <w:pStyle w:val="NormalWeb"/>
        <w:shd w:val="clear" w:color="auto" w:fill="FFFFFF"/>
        <w:ind w:left="-709"/>
        <w:rPr>
          <w:b/>
          <w:bCs/>
          <w:sz w:val="27"/>
          <w:szCs w:val="27"/>
        </w:rPr>
      </w:pPr>
    </w:p>
    <w:p w:rsidR="008F6657" w:rsidRDefault="008F6657" w:rsidP="00FB13A4">
      <w:pPr>
        <w:pStyle w:val="NormalWeb"/>
        <w:shd w:val="clear" w:color="auto" w:fill="FFFFFF"/>
        <w:ind w:left="-709"/>
      </w:pPr>
      <w:r>
        <w:rPr>
          <w:b/>
          <w:bCs/>
          <w:sz w:val="27"/>
          <w:szCs w:val="27"/>
        </w:rPr>
        <w:t>1.</w:t>
      </w:r>
      <w:r>
        <w:t xml:space="preserve"> </w:t>
      </w:r>
      <w:hyperlink r:id="rId7" w:history="1">
        <w:r>
          <w:rPr>
            <w:rStyle w:val="Hyperlink"/>
            <w:b/>
            <w:bCs/>
            <w:color w:val="0000CD"/>
          </w:rPr>
          <w:t>Accounting Rate of Return</w:t>
        </w:r>
      </w:hyperlink>
      <w:r>
        <w:t>. This method of evaluating business investments considers the profitability of a project based on accrual accounting amounts found in the financial statements. The drawback of the accounting rate of return is that the net income amounts are not adjusted for the time value of money. In other words, Ksh.10</w:t>
      </w:r>
      <w:proofErr w:type="gramStart"/>
      <w:r>
        <w:t>,000</w:t>
      </w:r>
      <w:proofErr w:type="gramEnd"/>
      <w:r>
        <w:t xml:space="preserve"> of net income in Year 4 is considered to be as valuable as Ksh.10,000 of net income in Year 1.</w:t>
      </w:r>
    </w:p>
    <w:p w:rsidR="008F6657" w:rsidRDefault="008F6657" w:rsidP="00FB13A4">
      <w:pPr>
        <w:shd w:val="clear" w:color="auto" w:fill="FFFFFF"/>
        <w:ind w:left="-709"/>
        <w:rPr>
          <w:rFonts w:ascii="Arial" w:hAnsi="Arial" w:cs="Arial"/>
          <w:color w:val="000000"/>
          <w:sz w:val="18"/>
          <w:szCs w:val="18"/>
        </w:rPr>
      </w:pPr>
    </w:p>
    <w:p w:rsidR="008F6657" w:rsidRDefault="008F6657" w:rsidP="00FB13A4">
      <w:pPr>
        <w:pStyle w:val="NormalWeb"/>
        <w:shd w:val="clear" w:color="auto" w:fill="FFFFFF"/>
        <w:ind w:left="-709"/>
      </w:pPr>
      <w:r>
        <w:t xml:space="preserve">If the new machine is purchased, </w:t>
      </w:r>
      <w:proofErr w:type="spellStart"/>
      <w:r>
        <w:t>Kiboko’s</w:t>
      </w:r>
      <w:proofErr w:type="spellEnd"/>
      <w:r>
        <w:t xml:space="preserve"> income statements will show a reduction of labor expense of about Ksh.24,000 in Year 1 and Ksh.31,733 in Year 8—an average of Ksh.27,729 during the 8 years. The income statements will also show additional depreciation expense of about Ksh.12</w:t>
      </w:r>
      <w:proofErr w:type="gramStart"/>
      <w:r>
        <w:t>,500</w:t>
      </w:r>
      <w:proofErr w:type="gramEnd"/>
      <w:r>
        <w:t xml:space="preserve"> per year (the Ksh.100,000 cost of the machine and a useful life of 8 years with no salvage value). The net result of the average annual labor savings of Ksh.27</w:t>
      </w:r>
      <w:proofErr w:type="gramStart"/>
      <w:r>
        <w:t>,729</w:t>
      </w:r>
      <w:proofErr w:type="gramEnd"/>
      <w:r>
        <w:t xml:space="preserve"> minus the additional annual depreciation expense of Ksh.12,500 is an average of Ksh.15,229 of additional net income before income tax expense. Assumi</w:t>
      </w:r>
      <w:r w:rsidR="006275F9">
        <w:t xml:space="preserve">ng an </w:t>
      </w:r>
      <w:r>
        <w:t>income tax rate of 30%, the net income after income tax expense will average approximately Ksh.10</w:t>
      </w:r>
      <w:proofErr w:type="gramStart"/>
      <w:r>
        <w:t>,660</w:t>
      </w:r>
      <w:proofErr w:type="gramEnd"/>
      <w:r>
        <w:t xml:space="preserve"> per year.</w:t>
      </w:r>
    </w:p>
    <w:p w:rsidR="008F6657" w:rsidRDefault="008F6657" w:rsidP="00FB13A4">
      <w:pPr>
        <w:shd w:val="clear" w:color="auto" w:fill="FFFFFF"/>
        <w:ind w:left="-709"/>
        <w:rPr>
          <w:rFonts w:ascii="Arial" w:hAnsi="Arial" w:cs="Arial"/>
          <w:color w:val="000000"/>
          <w:sz w:val="18"/>
          <w:szCs w:val="18"/>
        </w:rPr>
      </w:pPr>
    </w:p>
    <w:p w:rsidR="008F6657" w:rsidRDefault="008F6657" w:rsidP="00FB13A4">
      <w:pPr>
        <w:pStyle w:val="NormalWeb"/>
        <w:shd w:val="clear" w:color="auto" w:fill="FFFFFF"/>
        <w:ind w:left="-709"/>
      </w:pPr>
      <w:proofErr w:type="spellStart"/>
      <w:r>
        <w:t>Kiboko’s</w:t>
      </w:r>
      <w:proofErr w:type="spellEnd"/>
      <w:r>
        <w:t xml:space="preserve"> balance sheet will start with the new asset’s </w:t>
      </w:r>
      <w:hyperlink r:id="rId8" w:history="1">
        <w:r>
          <w:rPr>
            <w:rStyle w:val="Hyperlink"/>
            <w:b/>
            <w:bCs/>
            <w:color w:val="0000CD"/>
          </w:rPr>
          <w:t>carrying amount</w:t>
        </w:r>
      </w:hyperlink>
      <w:r>
        <w:t xml:space="preserve"> (or the </w:t>
      </w:r>
      <w:hyperlink r:id="rId9" w:history="1">
        <w:r>
          <w:rPr>
            <w:rStyle w:val="Hyperlink"/>
            <w:b/>
            <w:bCs/>
            <w:color w:val="0000CD"/>
          </w:rPr>
          <w:t>book value</w:t>
        </w:r>
      </w:hyperlink>
      <w:r>
        <w:t>) of Ksh.100</w:t>
      </w:r>
      <w:proofErr w:type="gramStart"/>
      <w:r>
        <w:t>,000</w:t>
      </w:r>
      <w:proofErr w:type="gramEnd"/>
      <w:r>
        <w:t>. The book value will decrease to Ksh.0 at the end of 8 years. In other words, the balance sheet amount will average about Ksh.50</w:t>
      </w:r>
      <w:proofErr w:type="gramStart"/>
      <w:r>
        <w:t>,000</w:t>
      </w:r>
      <w:proofErr w:type="gramEnd"/>
      <w:r>
        <w:t xml:space="preserve"> per year during the 8-year period.</w:t>
      </w:r>
    </w:p>
    <w:p w:rsidR="008F6657" w:rsidRDefault="008F6657" w:rsidP="00FB13A4">
      <w:pPr>
        <w:shd w:val="clear" w:color="auto" w:fill="FFFFFF"/>
        <w:ind w:left="-709"/>
        <w:rPr>
          <w:rFonts w:ascii="Arial" w:hAnsi="Arial" w:cs="Arial"/>
          <w:color w:val="000000"/>
          <w:sz w:val="18"/>
          <w:szCs w:val="18"/>
        </w:rPr>
      </w:pPr>
    </w:p>
    <w:p w:rsidR="008F6657" w:rsidRDefault="008F6657" w:rsidP="00FB13A4">
      <w:pPr>
        <w:pStyle w:val="NormalWeb"/>
        <w:shd w:val="clear" w:color="auto" w:fill="FFFFFF"/>
        <w:ind w:left="-709"/>
      </w:pPr>
      <w:r>
        <w:t>At this point, Kiboko must choose one of the following calculations to estimate the accounting rate of return. (As with most "return" calculations, the numerator comes from the income statement and the denominator comes from the balance sheet.)</w:t>
      </w:r>
    </w:p>
    <w:p w:rsidR="008F6657" w:rsidRDefault="008F6657" w:rsidP="00FB13A4">
      <w:pPr>
        <w:shd w:val="clear" w:color="auto" w:fill="FFFFFF"/>
        <w:ind w:left="-709"/>
        <w:rPr>
          <w:rFonts w:ascii="Arial" w:hAnsi="Arial" w:cs="Arial"/>
          <w:color w:val="000000"/>
          <w:sz w:val="18"/>
          <w:szCs w:val="18"/>
        </w:rPr>
      </w:pPr>
    </w:p>
    <w:p w:rsidR="008F6657" w:rsidRDefault="008F6657" w:rsidP="00FB13A4">
      <w:pPr>
        <w:numPr>
          <w:ilvl w:val="0"/>
          <w:numId w:val="4"/>
        </w:numPr>
        <w:shd w:val="clear" w:color="auto" w:fill="FFFFFF"/>
        <w:spacing w:before="100" w:beforeAutospacing="1" w:after="100" w:afterAutospacing="1" w:line="240" w:lineRule="auto"/>
        <w:ind w:left="-709"/>
        <w:rPr>
          <w:rFonts w:ascii="Arial" w:hAnsi="Arial" w:cs="Arial"/>
          <w:color w:val="000000"/>
          <w:sz w:val="18"/>
          <w:szCs w:val="18"/>
        </w:rPr>
      </w:pPr>
      <w:r>
        <w:rPr>
          <w:rFonts w:ascii="Arial" w:hAnsi="Arial" w:cs="Arial"/>
          <w:color w:val="000000"/>
          <w:sz w:val="18"/>
          <w:szCs w:val="18"/>
        </w:rPr>
        <w:t>Average additional accounting net income before income tax expense ÷ the additional original investment:</w:t>
      </w:r>
    </w:p>
    <w:tbl>
      <w:tblPr>
        <w:tblW w:w="4800" w:type="dxa"/>
        <w:tblCellSpacing w:w="15" w:type="dxa"/>
        <w:tblInd w:w="762" w:type="dxa"/>
        <w:shd w:val="clear" w:color="auto" w:fill="F4F4F4"/>
        <w:tblCellMar>
          <w:top w:w="60" w:type="dxa"/>
          <w:left w:w="60" w:type="dxa"/>
          <w:bottom w:w="60" w:type="dxa"/>
          <w:right w:w="60" w:type="dxa"/>
        </w:tblCellMar>
        <w:tblLook w:val="04A0"/>
      </w:tblPr>
      <w:tblGrid>
        <w:gridCol w:w="1488"/>
        <w:gridCol w:w="179"/>
        <w:gridCol w:w="1477"/>
        <w:gridCol w:w="179"/>
        <w:gridCol w:w="1477"/>
      </w:tblGrid>
      <w:tr w:rsidR="008F6657" w:rsidTr="008F6657">
        <w:trPr>
          <w:tblCellSpacing w:w="15" w:type="dxa"/>
        </w:trPr>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lastRenderedPageBreak/>
              <w:t>Ksh.15,229</w:t>
            </w:r>
          </w:p>
        </w:tc>
        <w:tc>
          <w:tcPr>
            <w:tcW w:w="15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w:t>
            </w:r>
          </w:p>
        </w:tc>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color w:val="000000"/>
                <w:sz w:val="18"/>
                <w:szCs w:val="18"/>
              </w:rPr>
              <w:t>Ksh.100,000</w:t>
            </w:r>
          </w:p>
        </w:tc>
        <w:tc>
          <w:tcPr>
            <w:tcW w:w="15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color w:val="000000"/>
                <w:sz w:val="18"/>
                <w:szCs w:val="18"/>
              </w:rPr>
              <w:t>=</w:t>
            </w:r>
          </w:p>
        </w:tc>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15.2%</w:t>
            </w:r>
          </w:p>
        </w:tc>
      </w:tr>
    </w:tbl>
    <w:p w:rsidR="008F6657" w:rsidRDefault="008F6657" w:rsidP="00FB13A4">
      <w:pPr>
        <w:numPr>
          <w:ilvl w:val="0"/>
          <w:numId w:val="4"/>
        </w:numPr>
        <w:shd w:val="clear" w:color="auto" w:fill="FFFFFF"/>
        <w:spacing w:before="100" w:beforeAutospacing="1" w:after="240" w:line="240" w:lineRule="auto"/>
        <w:ind w:left="-709"/>
        <w:rPr>
          <w:rFonts w:ascii="Arial" w:hAnsi="Arial" w:cs="Arial"/>
          <w:color w:val="000000"/>
          <w:sz w:val="18"/>
          <w:szCs w:val="18"/>
        </w:rPr>
      </w:pPr>
    </w:p>
    <w:p w:rsidR="008F6657" w:rsidRDefault="008F6657" w:rsidP="00FB13A4">
      <w:pPr>
        <w:numPr>
          <w:ilvl w:val="0"/>
          <w:numId w:val="4"/>
        </w:numPr>
        <w:shd w:val="clear" w:color="auto" w:fill="FFFFFF"/>
        <w:spacing w:before="100" w:beforeAutospacing="1" w:after="100" w:afterAutospacing="1" w:line="240" w:lineRule="auto"/>
        <w:ind w:left="-709"/>
        <w:rPr>
          <w:rFonts w:ascii="Arial" w:hAnsi="Arial" w:cs="Arial"/>
          <w:color w:val="000000"/>
          <w:sz w:val="18"/>
          <w:szCs w:val="18"/>
        </w:rPr>
      </w:pPr>
      <w:r>
        <w:rPr>
          <w:rFonts w:ascii="Arial" w:hAnsi="Arial" w:cs="Arial"/>
          <w:color w:val="000000"/>
          <w:sz w:val="18"/>
          <w:szCs w:val="18"/>
        </w:rPr>
        <w:t>Average additional accounting net income after income tax expense ÷ the additional original investment:</w:t>
      </w:r>
    </w:p>
    <w:tbl>
      <w:tblPr>
        <w:tblW w:w="4800" w:type="dxa"/>
        <w:tblCellSpacing w:w="15" w:type="dxa"/>
        <w:tblInd w:w="762" w:type="dxa"/>
        <w:shd w:val="clear" w:color="auto" w:fill="F4F4F4"/>
        <w:tblCellMar>
          <w:top w:w="60" w:type="dxa"/>
          <w:left w:w="60" w:type="dxa"/>
          <w:bottom w:w="60" w:type="dxa"/>
          <w:right w:w="60" w:type="dxa"/>
        </w:tblCellMar>
        <w:tblLook w:val="04A0"/>
      </w:tblPr>
      <w:tblGrid>
        <w:gridCol w:w="1488"/>
        <w:gridCol w:w="179"/>
        <w:gridCol w:w="1477"/>
        <w:gridCol w:w="179"/>
        <w:gridCol w:w="1477"/>
      </w:tblGrid>
      <w:tr w:rsidR="008F6657" w:rsidTr="008F6657">
        <w:trPr>
          <w:tblCellSpacing w:w="15" w:type="dxa"/>
        </w:trPr>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Ksh.10,660</w:t>
            </w:r>
          </w:p>
        </w:tc>
        <w:tc>
          <w:tcPr>
            <w:tcW w:w="15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w:t>
            </w:r>
          </w:p>
        </w:tc>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color w:val="000000"/>
                <w:sz w:val="18"/>
                <w:szCs w:val="18"/>
              </w:rPr>
              <w:t>Ksh.100,000</w:t>
            </w:r>
          </w:p>
        </w:tc>
        <w:tc>
          <w:tcPr>
            <w:tcW w:w="15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color w:val="000000"/>
                <w:sz w:val="18"/>
                <w:szCs w:val="18"/>
              </w:rPr>
              <w:t>=</w:t>
            </w:r>
          </w:p>
        </w:tc>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10.7%</w:t>
            </w:r>
          </w:p>
        </w:tc>
      </w:tr>
    </w:tbl>
    <w:p w:rsidR="008F6657" w:rsidRDefault="008F6657" w:rsidP="00FB13A4">
      <w:pPr>
        <w:numPr>
          <w:ilvl w:val="0"/>
          <w:numId w:val="4"/>
        </w:numPr>
        <w:shd w:val="clear" w:color="auto" w:fill="FFFFFF"/>
        <w:spacing w:before="100" w:beforeAutospacing="1" w:after="240" w:line="240" w:lineRule="auto"/>
        <w:ind w:left="-709"/>
        <w:rPr>
          <w:rFonts w:ascii="Arial" w:hAnsi="Arial" w:cs="Arial"/>
          <w:color w:val="000000"/>
          <w:sz w:val="18"/>
          <w:szCs w:val="18"/>
        </w:rPr>
      </w:pPr>
    </w:p>
    <w:p w:rsidR="008F6657" w:rsidRDefault="008F6657" w:rsidP="00FB13A4">
      <w:pPr>
        <w:numPr>
          <w:ilvl w:val="0"/>
          <w:numId w:val="4"/>
        </w:numPr>
        <w:shd w:val="clear" w:color="auto" w:fill="FFFFFF"/>
        <w:spacing w:before="100" w:beforeAutospacing="1" w:after="100" w:afterAutospacing="1" w:line="240" w:lineRule="auto"/>
        <w:ind w:left="-709"/>
        <w:rPr>
          <w:rFonts w:ascii="Arial" w:hAnsi="Arial" w:cs="Arial"/>
          <w:color w:val="000000"/>
          <w:sz w:val="18"/>
          <w:szCs w:val="18"/>
        </w:rPr>
      </w:pPr>
      <w:r>
        <w:rPr>
          <w:rFonts w:ascii="Arial" w:hAnsi="Arial" w:cs="Arial"/>
          <w:color w:val="000000"/>
          <w:sz w:val="18"/>
          <w:szCs w:val="18"/>
        </w:rPr>
        <w:t>Average additional accounting net income before income tax expense ÷ the additional average investment:</w:t>
      </w:r>
    </w:p>
    <w:tbl>
      <w:tblPr>
        <w:tblW w:w="4800" w:type="dxa"/>
        <w:tblCellSpacing w:w="15" w:type="dxa"/>
        <w:tblInd w:w="762" w:type="dxa"/>
        <w:shd w:val="clear" w:color="auto" w:fill="F4F4F4"/>
        <w:tblCellMar>
          <w:top w:w="60" w:type="dxa"/>
          <w:left w:w="60" w:type="dxa"/>
          <w:bottom w:w="60" w:type="dxa"/>
          <w:right w:w="60" w:type="dxa"/>
        </w:tblCellMar>
        <w:tblLook w:val="04A0"/>
      </w:tblPr>
      <w:tblGrid>
        <w:gridCol w:w="1490"/>
        <w:gridCol w:w="179"/>
        <w:gridCol w:w="1473"/>
        <w:gridCol w:w="179"/>
        <w:gridCol w:w="1479"/>
      </w:tblGrid>
      <w:tr w:rsidR="008F6657" w:rsidTr="008F6657">
        <w:trPr>
          <w:tblCellSpacing w:w="15" w:type="dxa"/>
        </w:trPr>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Ksh.15,229</w:t>
            </w:r>
          </w:p>
        </w:tc>
        <w:tc>
          <w:tcPr>
            <w:tcW w:w="15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w:t>
            </w:r>
          </w:p>
        </w:tc>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color w:val="000000"/>
                <w:sz w:val="18"/>
                <w:szCs w:val="18"/>
              </w:rPr>
              <w:t>Ksh.50,000</w:t>
            </w:r>
          </w:p>
        </w:tc>
        <w:tc>
          <w:tcPr>
            <w:tcW w:w="15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color w:val="000000"/>
                <w:sz w:val="18"/>
                <w:szCs w:val="18"/>
              </w:rPr>
              <w:t>=</w:t>
            </w:r>
          </w:p>
        </w:tc>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30.5%</w:t>
            </w:r>
          </w:p>
        </w:tc>
      </w:tr>
    </w:tbl>
    <w:p w:rsidR="000E5179" w:rsidRDefault="000E5179" w:rsidP="000E5179">
      <w:pPr>
        <w:shd w:val="clear" w:color="auto" w:fill="FFFFFF"/>
        <w:spacing w:before="100" w:beforeAutospacing="1" w:after="100" w:afterAutospacing="1" w:line="240" w:lineRule="auto"/>
        <w:rPr>
          <w:rFonts w:ascii="Arial" w:hAnsi="Arial" w:cs="Arial"/>
          <w:color w:val="000000"/>
          <w:sz w:val="18"/>
          <w:szCs w:val="18"/>
        </w:rPr>
      </w:pPr>
    </w:p>
    <w:p w:rsidR="008F6657" w:rsidRDefault="008F6657" w:rsidP="000E5179">
      <w:pPr>
        <w:shd w:val="clear" w:color="auto" w:fill="FFFFFF"/>
        <w:spacing w:before="100" w:beforeAutospacing="1" w:after="100" w:afterAutospacing="1" w:line="240" w:lineRule="auto"/>
        <w:ind w:left="-709"/>
        <w:rPr>
          <w:rFonts w:ascii="Arial" w:hAnsi="Arial" w:cs="Arial"/>
          <w:color w:val="000000"/>
          <w:sz w:val="18"/>
          <w:szCs w:val="18"/>
        </w:rPr>
      </w:pPr>
      <w:r>
        <w:rPr>
          <w:rFonts w:ascii="Arial" w:hAnsi="Arial" w:cs="Arial"/>
          <w:color w:val="000000"/>
          <w:sz w:val="18"/>
          <w:szCs w:val="18"/>
        </w:rPr>
        <w:t>Average additional accounting net income after income tax expense ÷ the additional average investment:</w:t>
      </w:r>
    </w:p>
    <w:tbl>
      <w:tblPr>
        <w:tblW w:w="4800" w:type="dxa"/>
        <w:tblCellSpacing w:w="15" w:type="dxa"/>
        <w:tblInd w:w="762" w:type="dxa"/>
        <w:shd w:val="clear" w:color="auto" w:fill="F4F4F4"/>
        <w:tblCellMar>
          <w:top w:w="60" w:type="dxa"/>
          <w:left w:w="60" w:type="dxa"/>
          <w:bottom w:w="60" w:type="dxa"/>
          <w:right w:w="60" w:type="dxa"/>
        </w:tblCellMar>
        <w:tblLook w:val="04A0"/>
      </w:tblPr>
      <w:tblGrid>
        <w:gridCol w:w="1490"/>
        <w:gridCol w:w="179"/>
        <w:gridCol w:w="1473"/>
        <w:gridCol w:w="179"/>
        <w:gridCol w:w="1479"/>
      </w:tblGrid>
      <w:tr w:rsidR="008F6657" w:rsidTr="008F6657">
        <w:trPr>
          <w:tblCellSpacing w:w="15" w:type="dxa"/>
        </w:trPr>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Ksh.10,660</w:t>
            </w:r>
          </w:p>
        </w:tc>
        <w:tc>
          <w:tcPr>
            <w:tcW w:w="15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w:t>
            </w:r>
          </w:p>
        </w:tc>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color w:val="000000"/>
                <w:sz w:val="18"/>
                <w:szCs w:val="18"/>
              </w:rPr>
              <w:t>Ksh.50,000</w:t>
            </w:r>
          </w:p>
        </w:tc>
        <w:tc>
          <w:tcPr>
            <w:tcW w:w="15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color w:val="000000"/>
                <w:sz w:val="18"/>
                <w:szCs w:val="18"/>
              </w:rPr>
              <w:t>=</w:t>
            </w:r>
          </w:p>
        </w:tc>
        <w:tc>
          <w:tcPr>
            <w:tcW w:w="1500" w:type="dxa"/>
            <w:shd w:val="clear" w:color="auto" w:fill="F4F4F4"/>
            <w:vAlign w:val="center"/>
            <w:hideMark/>
          </w:tcPr>
          <w:p w:rsidR="008F6657" w:rsidRDefault="008F6657" w:rsidP="00FB13A4">
            <w:pPr>
              <w:spacing w:before="55"/>
              <w:ind w:left="-709"/>
              <w:jc w:val="center"/>
              <w:rPr>
                <w:rFonts w:ascii="Arial" w:hAnsi="Arial" w:cs="Arial"/>
                <w:color w:val="000000"/>
                <w:sz w:val="18"/>
                <w:szCs w:val="18"/>
              </w:rPr>
            </w:pPr>
            <w:r>
              <w:rPr>
                <w:rFonts w:ascii="Arial" w:hAnsi="Arial" w:cs="Arial"/>
                <w:b/>
                <w:bCs/>
                <w:color w:val="000000"/>
                <w:sz w:val="18"/>
                <w:szCs w:val="18"/>
              </w:rPr>
              <w:t>21.3%</w:t>
            </w:r>
          </w:p>
        </w:tc>
      </w:tr>
    </w:tbl>
    <w:p w:rsidR="008F6657" w:rsidRDefault="008F6657" w:rsidP="00FB13A4">
      <w:pPr>
        <w:shd w:val="clear" w:color="auto" w:fill="FFFFFF"/>
        <w:spacing w:after="0"/>
        <w:ind w:left="-709"/>
        <w:rPr>
          <w:rFonts w:ascii="Arial" w:hAnsi="Arial" w:cs="Arial"/>
          <w:color w:val="000000"/>
          <w:sz w:val="18"/>
          <w:szCs w:val="18"/>
        </w:rPr>
      </w:pPr>
    </w:p>
    <w:p w:rsidR="008F6657" w:rsidRDefault="008F6657" w:rsidP="00FB13A4">
      <w:pPr>
        <w:pStyle w:val="NormalWeb"/>
        <w:shd w:val="clear" w:color="auto" w:fill="FFFFFF"/>
        <w:ind w:left="-709"/>
      </w:pPr>
      <w:r>
        <w:t xml:space="preserve">As you can see, the calculation Kiboko chooses depends on (a) whether the company prefers to use </w:t>
      </w:r>
      <w:r>
        <w:rPr>
          <w:i/>
          <w:iCs/>
        </w:rPr>
        <w:t>before</w:t>
      </w:r>
      <w:r>
        <w:t xml:space="preserve"> tax or </w:t>
      </w:r>
      <w:r>
        <w:rPr>
          <w:i/>
          <w:iCs/>
        </w:rPr>
        <w:t>after</w:t>
      </w:r>
      <w:r>
        <w:t xml:space="preserve"> tax average accounting net income, and (b) whether it prefers to use the </w:t>
      </w:r>
      <w:r>
        <w:rPr>
          <w:i/>
          <w:iCs/>
        </w:rPr>
        <w:t>initial</w:t>
      </w:r>
      <w:r>
        <w:t xml:space="preserve"> investment amount or the </w:t>
      </w:r>
      <w:r>
        <w:rPr>
          <w:i/>
          <w:iCs/>
        </w:rPr>
        <w:t>average</w:t>
      </w:r>
      <w:r>
        <w:t xml:space="preserve"> investment amount.</w:t>
      </w:r>
    </w:p>
    <w:p w:rsidR="008F6657" w:rsidRDefault="008F6657" w:rsidP="00FB13A4">
      <w:pPr>
        <w:spacing w:after="0" w:line="240" w:lineRule="auto"/>
        <w:ind w:left="-709"/>
        <w:outlineLvl w:val="1"/>
        <w:rPr>
          <w:rFonts w:ascii="Arial" w:eastAsia="Times New Roman" w:hAnsi="Arial" w:cs="Arial"/>
          <w:b/>
          <w:bCs/>
          <w:sz w:val="25"/>
          <w:szCs w:val="25"/>
        </w:rPr>
      </w:pPr>
    </w:p>
    <w:p w:rsidR="00671A30" w:rsidRPr="004515C4" w:rsidRDefault="00671A30" w:rsidP="00FB13A4">
      <w:pPr>
        <w:spacing w:after="0" w:line="240" w:lineRule="auto"/>
        <w:ind w:left="-709"/>
        <w:outlineLvl w:val="1"/>
        <w:rPr>
          <w:rFonts w:ascii="Arial" w:eastAsia="Times New Roman" w:hAnsi="Arial" w:cs="Arial"/>
          <w:b/>
          <w:bCs/>
          <w:sz w:val="25"/>
          <w:szCs w:val="25"/>
        </w:rPr>
      </w:pPr>
      <w:r w:rsidRPr="004515C4">
        <w:rPr>
          <w:rFonts w:ascii="Arial" w:eastAsia="Times New Roman" w:hAnsi="Arial" w:cs="Arial"/>
          <w:b/>
          <w:bCs/>
          <w:sz w:val="25"/>
          <w:szCs w:val="25"/>
        </w:rPr>
        <w:t>Non</w:t>
      </w:r>
      <w:r w:rsidR="00213AAC">
        <w:rPr>
          <w:rFonts w:ascii="Arial" w:eastAsia="Times New Roman" w:hAnsi="Arial" w:cs="Arial"/>
          <w:b/>
          <w:bCs/>
          <w:sz w:val="25"/>
          <w:szCs w:val="25"/>
        </w:rPr>
        <w:t xml:space="preserve">- </w:t>
      </w:r>
      <w:r w:rsidRPr="004515C4">
        <w:rPr>
          <w:rFonts w:ascii="Arial" w:eastAsia="Times New Roman" w:hAnsi="Arial" w:cs="Arial"/>
          <w:b/>
          <w:bCs/>
          <w:sz w:val="25"/>
          <w:szCs w:val="25"/>
        </w:rPr>
        <w:t>discounted Cash Flow Model</w:t>
      </w:r>
    </w:p>
    <w:p w:rsidR="00671A30" w:rsidRPr="004515C4" w:rsidRDefault="00031B34" w:rsidP="00FB13A4">
      <w:pPr>
        <w:shd w:val="clear" w:color="auto" w:fill="FFFFFF"/>
        <w:spacing w:after="0" w:line="235" w:lineRule="atLeast"/>
        <w:ind w:left="-709"/>
        <w:rPr>
          <w:rFonts w:ascii="Arial" w:eastAsia="Times New Roman" w:hAnsi="Arial" w:cs="Arial"/>
          <w:sz w:val="18"/>
          <w:szCs w:val="18"/>
        </w:rPr>
      </w:pPr>
      <w:r>
        <w:rPr>
          <w:rFonts w:ascii="Arial" w:eastAsia="Times New Roman" w:hAnsi="Arial" w:cs="Arial"/>
          <w:b/>
          <w:bCs/>
          <w:sz w:val="27"/>
          <w:szCs w:val="27"/>
        </w:rPr>
        <w:t>2</w:t>
      </w:r>
      <w:r w:rsidR="00671A30" w:rsidRPr="004515C4">
        <w:rPr>
          <w:rFonts w:ascii="Arial" w:eastAsia="Times New Roman" w:hAnsi="Arial" w:cs="Arial"/>
          <w:b/>
          <w:bCs/>
          <w:sz w:val="27"/>
          <w:szCs w:val="27"/>
        </w:rPr>
        <w:t>.</w:t>
      </w:r>
      <w:r w:rsidR="00671A30" w:rsidRPr="004515C4">
        <w:rPr>
          <w:rFonts w:ascii="Arial" w:eastAsia="Times New Roman" w:hAnsi="Arial" w:cs="Arial"/>
          <w:b/>
          <w:bCs/>
          <w:sz w:val="18"/>
          <w:szCs w:val="18"/>
        </w:rPr>
        <w:t xml:space="preserve"> </w:t>
      </w:r>
      <w:hyperlink r:id="rId10" w:history="1">
        <w:r w:rsidR="00671A30" w:rsidRPr="004515C4">
          <w:rPr>
            <w:rFonts w:ascii="Arial" w:eastAsia="Times New Roman" w:hAnsi="Arial" w:cs="Arial"/>
            <w:b/>
            <w:bCs/>
            <w:sz w:val="18"/>
            <w:szCs w:val="18"/>
            <w:u w:val="single"/>
          </w:rPr>
          <w:t>Payback</w:t>
        </w:r>
      </w:hyperlink>
      <w:r w:rsidR="00671A30" w:rsidRPr="004515C4">
        <w:rPr>
          <w:rFonts w:ascii="Arial" w:eastAsia="Times New Roman" w:hAnsi="Arial" w:cs="Arial"/>
          <w:sz w:val="18"/>
          <w:szCs w:val="18"/>
        </w:rPr>
        <w:t xml:space="preserve">. This method of evaluating business investments uses </w:t>
      </w:r>
      <w:r w:rsidR="00671A30" w:rsidRPr="004515C4">
        <w:rPr>
          <w:rFonts w:ascii="Arial" w:eastAsia="Times New Roman" w:hAnsi="Arial" w:cs="Arial"/>
          <w:b/>
          <w:bCs/>
          <w:sz w:val="18"/>
          <w:szCs w:val="18"/>
        </w:rPr>
        <w:t>cash flows</w:t>
      </w:r>
      <w:r w:rsidR="00671A30" w:rsidRPr="004515C4">
        <w:rPr>
          <w:rFonts w:ascii="Arial" w:eastAsia="Times New Roman" w:hAnsi="Arial" w:cs="Arial"/>
          <w:sz w:val="18"/>
          <w:szCs w:val="18"/>
        </w:rPr>
        <w:t xml:space="preserve"> (not the accounting net income flows) to measure the amount of time it takes for a company to</w:t>
      </w:r>
      <w:r w:rsidR="00842430">
        <w:rPr>
          <w:rFonts w:ascii="Arial" w:eastAsia="Times New Roman" w:hAnsi="Arial" w:cs="Arial"/>
          <w:sz w:val="18"/>
          <w:szCs w:val="18"/>
        </w:rPr>
        <w:t xml:space="preserve"> recoup its investment</w:t>
      </w:r>
      <w:r w:rsidR="00671A30" w:rsidRPr="004515C4">
        <w:rPr>
          <w:rFonts w:ascii="Arial" w:eastAsia="Times New Roman" w:hAnsi="Arial" w:cs="Arial"/>
          <w:sz w:val="18"/>
          <w:szCs w:val="18"/>
        </w:rPr>
        <w:t xml:space="preserve">. </w:t>
      </w: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There are two drawbacks to the payback model: (a) cash flows are not discounted for the time value of money, meaning that a shilling received three years from now has the same value as a shilling received in the current year, and (b) it fails to consider the profitability of the project in its entirety. For example, a project with a fast initial payback might not generate much profit over its life. Another project with a slow initial payback might be phenomenally profitable over its life because its profitability increases dramatically after the payback period.</w:t>
      </w: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4515C4" w:rsidRDefault="004515C4" w:rsidP="000E5179">
      <w:pPr>
        <w:spacing w:after="0" w:line="240" w:lineRule="auto"/>
        <w:outlineLvl w:val="1"/>
        <w:rPr>
          <w:rFonts w:ascii="Arial" w:eastAsia="Times New Roman" w:hAnsi="Arial" w:cs="Arial"/>
          <w:b/>
          <w:bCs/>
          <w:sz w:val="25"/>
          <w:szCs w:val="25"/>
        </w:rPr>
      </w:pPr>
      <w:bookmarkStart w:id="3" w:name="cash-flow-discounted"/>
      <w:bookmarkEnd w:id="3"/>
    </w:p>
    <w:p w:rsidR="00671A30" w:rsidRPr="004515C4" w:rsidRDefault="004515C4" w:rsidP="00FB13A4">
      <w:pPr>
        <w:spacing w:after="0" w:line="240" w:lineRule="auto"/>
        <w:ind w:left="-709"/>
        <w:outlineLvl w:val="1"/>
        <w:rPr>
          <w:rFonts w:ascii="Arial" w:eastAsia="Times New Roman" w:hAnsi="Arial" w:cs="Arial"/>
          <w:b/>
          <w:bCs/>
          <w:sz w:val="25"/>
          <w:szCs w:val="25"/>
        </w:rPr>
      </w:pPr>
      <w:r>
        <w:rPr>
          <w:rFonts w:ascii="Arial" w:eastAsia="Times New Roman" w:hAnsi="Arial" w:cs="Arial"/>
          <w:b/>
          <w:bCs/>
          <w:sz w:val="25"/>
          <w:szCs w:val="25"/>
        </w:rPr>
        <w:t>Di</w:t>
      </w:r>
      <w:r w:rsidR="00671A30" w:rsidRPr="004515C4">
        <w:rPr>
          <w:rFonts w:ascii="Arial" w:eastAsia="Times New Roman" w:hAnsi="Arial" w:cs="Arial"/>
          <w:b/>
          <w:bCs/>
          <w:sz w:val="25"/>
          <w:szCs w:val="25"/>
        </w:rPr>
        <w:t>scounted Cash Flow Models</w:t>
      </w:r>
    </w:p>
    <w:p w:rsidR="00671A30" w:rsidRPr="004515C4" w:rsidRDefault="00031B34" w:rsidP="00FB13A4">
      <w:pPr>
        <w:shd w:val="clear" w:color="auto" w:fill="FFFFFF"/>
        <w:spacing w:after="0" w:line="235" w:lineRule="atLeast"/>
        <w:ind w:left="-709"/>
        <w:rPr>
          <w:rFonts w:ascii="Arial" w:eastAsia="Times New Roman" w:hAnsi="Arial" w:cs="Arial"/>
          <w:sz w:val="18"/>
          <w:szCs w:val="18"/>
        </w:rPr>
      </w:pPr>
      <w:r>
        <w:rPr>
          <w:rFonts w:ascii="Arial" w:eastAsia="Times New Roman" w:hAnsi="Arial" w:cs="Arial"/>
          <w:b/>
          <w:bCs/>
          <w:sz w:val="27"/>
          <w:szCs w:val="27"/>
        </w:rPr>
        <w:t>3</w:t>
      </w:r>
      <w:r w:rsidR="00671A30" w:rsidRPr="004515C4">
        <w:rPr>
          <w:rFonts w:ascii="Arial" w:eastAsia="Times New Roman" w:hAnsi="Arial" w:cs="Arial"/>
          <w:b/>
          <w:bCs/>
          <w:sz w:val="27"/>
          <w:szCs w:val="27"/>
        </w:rPr>
        <w:t>.</w:t>
      </w:r>
      <w:r w:rsidR="00671A30" w:rsidRPr="004515C4">
        <w:rPr>
          <w:rFonts w:ascii="Arial" w:eastAsia="Times New Roman" w:hAnsi="Arial" w:cs="Arial"/>
          <w:b/>
          <w:bCs/>
          <w:sz w:val="18"/>
          <w:szCs w:val="18"/>
        </w:rPr>
        <w:t xml:space="preserve"> </w:t>
      </w:r>
      <w:hyperlink r:id="rId11" w:history="1">
        <w:r w:rsidR="00671A30" w:rsidRPr="004515C4">
          <w:rPr>
            <w:rFonts w:ascii="Arial" w:eastAsia="Times New Roman" w:hAnsi="Arial" w:cs="Arial"/>
            <w:b/>
            <w:bCs/>
            <w:sz w:val="18"/>
            <w:szCs w:val="18"/>
            <w:u w:val="single"/>
          </w:rPr>
          <w:t>Net Present Value</w:t>
        </w:r>
      </w:hyperlink>
      <w:r w:rsidR="00671A30" w:rsidRPr="004515C4">
        <w:rPr>
          <w:rFonts w:ascii="Arial" w:eastAsia="Times New Roman" w:hAnsi="Arial" w:cs="Arial"/>
          <w:sz w:val="18"/>
          <w:szCs w:val="18"/>
        </w:rPr>
        <w:t>. This method of evaluating business investments estimates all of the cash flowing in and out of a project. The estimated cash flows are then discounted to the present to reflect the time value of money.</w:t>
      </w: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 xml:space="preserve">This technique is referred to as a </w:t>
      </w:r>
      <w:r w:rsidRPr="004515C4">
        <w:rPr>
          <w:rFonts w:ascii="Arial" w:eastAsia="Times New Roman" w:hAnsi="Arial" w:cs="Arial"/>
          <w:b/>
          <w:bCs/>
          <w:sz w:val="18"/>
          <w:szCs w:val="18"/>
        </w:rPr>
        <w:t>discounted cash flow model</w:t>
      </w:r>
      <w:r w:rsidRPr="004515C4">
        <w:rPr>
          <w:rFonts w:ascii="Arial" w:eastAsia="Times New Roman" w:hAnsi="Arial" w:cs="Arial"/>
          <w:sz w:val="18"/>
          <w:szCs w:val="18"/>
        </w:rPr>
        <w:t xml:space="preserve"> or a </w:t>
      </w:r>
      <w:r w:rsidRPr="004515C4">
        <w:rPr>
          <w:rFonts w:ascii="Arial" w:eastAsia="Times New Roman" w:hAnsi="Arial" w:cs="Arial"/>
          <w:b/>
          <w:bCs/>
          <w:sz w:val="18"/>
          <w:szCs w:val="18"/>
        </w:rPr>
        <w:t>present value model</w:t>
      </w:r>
      <w:r w:rsidRPr="004515C4">
        <w:rPr>
          <w:rFonts w:ascii="Arial" w:eastAsia="Times New Roman" w:hAnsi="Arial" w:cs="Arial"/>
          <w:sz w:val="18"/>
          <w:szCs w:val="18"/>
        </w:rPr>
        <w:t xml:space="preserve"> because it brings all of the estimated future cash amounts back to the present time. Using our Kiboko Manufacturing example, the estimated cash flows in Year 5 will be discounted more than the estimated cash flows in Year 1 because cash received in the future is less valuable than cash received today.</w:t>
      </w: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 xml:space="preserve">In the net present value model the company must </w:t>
      </w:r>
      <w:r w:rsidRPr="004515C4">
        <w:rPr>
          <w:rFonts w:ascii="Arial" w:eastAsia="Times New Roman" w:hAnsi="Arial" w:cs="Arial"/>
          <w:i/>
          <w:iCs/>
          <w:sz w:val="18"/>
          <w:szCs w:val="18"/>
        </w:rPr>
        <w:t>specify the rate</w:t>
      </w:r>
      <w:r w:rsidRPr="004515C4">
        <w:rPr>
          <w:rFonts w:ascii="Arial" w:eastAsia="Times New Roman" w:hAnsi="Arial" w:cs="Arial"/>
          <w:sz w:val="18"/>
          <w:szCs w:val="18"/>
        </w:rPr>
        <w:t xml:space="preserve"> it will use for discounting the future cash flows. (The rate selected will likely be the minimum that the company needs to earn on the project after uncertainties, risks, and the company's cost of capital is considered.) The combination of the present value of the cash inflows and the present value of the cash outflows is known as the </w:t>
      </w:r>
      <w:r w:rsidRPr="004515C4">
        <w:rPr>
          <w:rFonts w:ascii="Arial" w:eastAsia="Times New Roman" w:hAnsi="Arial" w:cs="Arial"/>
          <w:b/>
          <w:bCs/>
          <w:sz w:val="18"/>
          <w:szCs w:val="18"/>
        </w:rPr>
        <w:t>net present value</w:t>
      </w:r>
      <w:r w:rsidRPr="004515C4">
        <w:rPr>
          <w:rFonts w:ascii="Arial" w:eastAsia="Times New Roman" w:hAnsi="Arial" w:cs="Arial"/>
          <w:sz w:val="18"/>
          <w:szCs w:val="18"/>
        </w:rPr>
        <w:t>.</w:t>
      </w: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Assuming that Kiboko chose to use a rate of 12%, let's calculate the net present value of the relevant cash amounts for Kiboko's proposed purchase:</w:t>
      </w: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tbl>
      <w:tblPr>
        <w:tblW w:w="7800" w:type="dxa"/>
        <w:tblCellSpacing w:w="15" w:type="dxa"/>
        <w:tblBorders>
          <w:top w:val="single" w:sz="18" w:space="0" w:color="CCCCCC"/>
          <w:left w:val="single" w:sz="18" w:space="0" w:color="CCCCCC"/>
          <w:bottom w:val="single" w:sz="18" w:space="0" w:color="CCCCCC"/>
          <w:right w:val="single" w:sz="18" w:space="0" w:color="CCCCCC"/>
        </w:tblBorders>
        <w:shd w:val="clear" w:color="auto" w:fill="FEFCE2"/>
        <w:tblCellMar>
          <w:left w:w="0" w:type="dxa"/>
          <w:right w:w="0" w:type="dxa"/>
        </w:tblCellMar>
        <w:tblLook w:val="04A0"/>
      </w:tblPr>
      <w:tblGrid>
        <w:gridCol w:w="7800"/>
      </w:tblGrid>
      <w:tr w:rsidR="00671A30" w:rsidRPr="004515C4" w:rsidTr="00671A30">
        <w:trPr>
          <w:tblCellSpacing w:w="15" w:type="dxa"/>
        </w:trPr>
        <w:tc>
          <w:tcPr>
            <w:tcW w:w="0" w:type="auto"/>
            <w:shd w:val="clear" w:color="auto" w:fill="FEFCE2"/>
            <w:tcMar>
              <w:top w:w="138" w:type="dxa"/>
              <w:left w:w="0" w:type="dxa"/>
              <w:bottom w:w="138" w:type="dxa"/>
              <w:right w:w="0" w:type="dxa"/>
            </w:tcMar>
            <w:vAlign w:val="center"/>
            <w:hideMark/>
          </w:tcPr>
          <w:tbl>
            <w:tblPr>
              <w:tblW w:w="720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39"/>
              <w:gridCol w:w="944"/>
              <w:gridCol w:w="938"/>
              <w:gridCol w:w="938"/>
              <w:gridCol w:w="965"/>
              <w:gridCol w:w="938"/>
              <w:gridCol w:w="938"/>
            </w:tblGrid>
            <w:tr w:rsidR="00671A30" w:rsidRPr="004515C4">
              <w:trPr>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lastRenderedPageBreak/>
                    <w:t>End of</w:t>
                  </w:r>
                </w:p>
              </w:tc>
              <w:tc>
                <w:tcPr>
                  <w:tcW w:w="1050"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Amount Paid for Machines &amp; </w:t>
                  </w:r>
                  <w:proofErr w:type="spellStart"/>
                  <w:r w:rsidRPr="004515C4">
                    <w:rPr>
                      <w:rFonts w:ascii="Arial" w:eastAsia="Times New Roman" w:hAnsi="Arial" w:cs="Arial"/>
                      <w:sz w:val="18"/>
                      <w:szCs w:val="18"/>
                    </w:rPr>
                    <w:t>Labor</w:t>
                  </w:r>
                  <w:proofErr w:type="spellEnd"/>
                  <w:r w:rsidRPr="004515C4">
                    <w:rPr>
                      <w:rFonts w:ascii="Arial" w:eastAsia="Times New Roman" w:hAnsi="Arial" w:cs="Arial"/>
                      <w:sz w:val="18"/>
                      <w:szCs w:val="18"/>
                    </w:rPr>
                    <w:t xml:space="preserve"> Savings</w:t>
                  </w:r>
                </w:p>
              </w:tc>
              <w:tc>
                <w:tcPr>
                  <w:tcW w:w="1050"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Income Tax on </w:t>
                  </w:r>
                  <w:proofErr w:type="spellStart"/>
                  <w:r w:rsidRPr="004515C4">
                    <w:rPr>
                      <w:rFonts w:ascii="Arial" w:eastAsia="Times New Roman" w:hAnsi="Arial" w:cs="Arial"/>
                      <w:sz w:val="18"/>
                      <w:szCs w:val="18"/>
                    </w:rPr>
                    <w:t>Labor</w:t>
                  </w:r>
                  <w:proofErr w:type="spellEnd"/>
                  <w:r w:rsidRPr="004515C4">
                    <w:rPr>
                      <w:rFonts w:ascii="Arial" w:eastAsia="Times New Roman" w:hAnsi="Arial" w:cs="Arial"/>
                      <w:sz w:val="18"/>
                      <w:szCs w:val="18"/>
                    </w:rPr>
                    <w:t xml:space="preserve"> Savings*</w:t>
                  </w:r>
                </w:p>
              </w:tc>
              <w:tc>
                <w:tcPr>
                  <w:tcW w:w="1050"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Tax Saved From Tax </w:t>
                  </w:r>
                  <w:proofErr w:type="spellStart"/>
                  <w:r w:rsidRPr="004515C4">
                    <w:rPr>
                      <w:rFonts w:ascii="Arial" w:eastAsia="Times New Roman" w:hAnsi="Arial" w:cs="Arial"/>
                      <w:sz w:val="18"/>
                      <w:szCs w:val="18"/>
                    </w:rPr>
                    <w:t>Depr</w:t>
                  </w:r>
                  <w:proofErr w:type="spellEnd"/>
                  <w:r w:rsidRPr="004515C4">
                    <w:rPr>
                      <w:rFonts w:ascii="Arial" w:eastAsia="Times New Roman" w:hAnsi="Arial" w:cs="Arial"/>
                      <w:sz w:val="18"/>
                      <w:szCs w:val="18"/>
                    </w:rPr>
                    <w:t>*</w:t>
                  </w:r>
                </w:p>
              </w:tc>
              <w:tc>
                <w:tcPr>
                  <w:tcW w:w="1050"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Net Cash Flows Before Discounting</w:t>
                  </w:r>
                </w:p>
              </w:tc>
              <w:tc>
                <w:tcPr>
                  <w:tcW w:w="1050"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Present Value Factors For Ksh.1 at </w:t>
                  </w:r>
                  <w:r w:rsidRPr="004515C4">
                    <w:rPr>
                      <w:rFonts w:ascii="Arial" w:eastAsia="Times New Roman" w:hAnsi="Arial" w:cs="Arial"/>
                      <w:b/>
                      <w:bCs/>
                      <w:sz w:val="18"/>
                      <w:szCs w:val="18"/>
                    </w:rPr>
                    <w:t>12%</w:t>
                  </w:r>
                </w:p>
              </w:tc>
              <w:tc>
                <w:tcPr>
                  <w:tcW w:w="1050"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b/>
                      <w:bCs/>
                      <w:sz w:val="18"/>
                      <w:szCs w:val="18"/>
                    </w:rPr>
                    <w:t>Present Value Ksh.</w:t>
                  </w: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t>Today</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t>Year 1</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24,000 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(7,200)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t>Year 2</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25,000 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t>Year 3</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26,000 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(7,800)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t>Year 4</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27,100 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(8,130)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t>Year 5</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28,200 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(8,460)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t>Year 6</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29,300 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(8,790)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t>Year 7</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30,500 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(9,150)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sz w:val="18"/>
                      <w:szCs w:val="18"/>
                    </w:rPr>
                    <w:t>Year 8</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31,733 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(9,520)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632FBE">
                  <w:pPr>
                    <w:spacing w:after="0" w:line="240" w:lineRule="auto"/>
                    <w:ind w:left="-5"/>
                    <w:jc w:val="center"/>
                    <w:rPr>
                      <w:rFonts w:ascii="Arial" w:eastAsia="Times New Roman" w:hAnsi="Arial" w:cs="Arial"/>
                      <w:sz w:val="18"/>
                      <w:szCs w:val="18"/>
                    </w:rPr>
                  </w:pPr>
                  <w:r w:rsidRPr="004515C4">
                    <w:rPr>
                      <w:rFonts w:ascii="Arial" w:eastAsia="Times New Roman" w:hAnsi="Arial" w:cs="Arial"/>
                      <w:b/>
                      <w:bCs/>
                      <w:sz w:val="18"/>
                      <w:szCs w:val="18"/>
                    </w:rPr>
                    <w:t>Net Present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rPr>
                    <w:t> </w:t>
                  </w:r>
                </w:p>
              </w:tc>
            </w:tr>
          </w:tbl>
          <w:p w:rsidR="00671A30" w:rsidRPr="004515C4" w:rsidRDefault="00671A30" w:rsidP="00FB13A4">
            <w:pPr>
              <w:spacing w:after="0" w:line="240" w:lineRule="auto"/>
              <w:ind w:left="-709"/>
              <w:jc w:val="center"/>
              <w:rPr>
                <w:rFonts w:ascii="Arial" w:eastAsia="Times New Roman" w:hAnsi="Arial" w:cs="Arial"/>
                <w:vanish/>
                <w:sz w:val="18"/>
                <w:szCs w:val="18"/>
              </w:rPr>
            </w:pPr>
          </w:p>
          <w:tbl>
            <w:tblPr>
              <w:tblW w:w="7050" w:type="dxa"/>
              <w:jc w:val="center"/>
              <w:tblCellSpacing w:w="15" w:type="dxa"/>
              <w:tblCellMar>
                <w:top w:w="15" w:type="dxa"/>
                <w:left w:w="15" w:type="dxa"/>
                <w:bottom w:w="15" w:type="dxa"/>
                <w:right w:w="15" w:type="dxa"/>
              </w:tblCellMar>
              <w:tblLook w:val="04A0"/>
            </w:tblPr>
            <w:tblGrid>
              <w:gridCol w:w="7050"/>
            </w:tblGrid>
            <w:tr w:rsidR="00671A30" w:rsidRPr="004515C4">
              <w:trPr>
                <w:tblCellSpacing w:w="15" w:type="dxa"/>
                <w:jc w:val="center"/>
              </w:trPr>
              <w:tc>
                <w:tcPr>
                  <w:tcW w:w="0" w:type="auto"/>
                  <w:vAlign w:val="center"/>
                  <w:hideMark/>
                </w:tcPr>
                <w:p w:rsidR="00671A30" w:rsidRPr="004515C4" w:rsidRDefault="00671A30" w:rsidP="00632FBE">
                  <w:pPr>
                    <w:spacing w:after="0" w:line="240" w:lineRule="auto"/>
                    <w:ind w:left="-61"/>
                    <w:rPr>
                      <w:rFonts w:ascii="Arial" w:eastAsia="Times New Roman" w:hAnsi="Arial" w:cs="Arial"/>
                      <w:sz w:val="18"/>
                      <w:szCs w:val="18"/>
                    </w:rPr>
                  </w:pPr>
                  <w:r w:rsidRPr="004515C4">
                    <w:rPr>
                      <w:rFonts w:ascii="Arial" w:eastAsia="Times New Roman" w:hAnsi="Arial" w:cs="Arial"/>
                      <w:sz w:val="18"/>
                      <w:szCs w:val="18"/>
                    </w:rPr>
                    <w:br/>
                  </w:r>
                  <w:r w:rsidRPr="004515C4">
                    <w:rPr>
                      <w:rFonts w:ascii="Arial" w:eastAsia="Times New Roman" w:hAnsi="Arial" w:cs="Arial"/>
                      <w:sz w:val="20"/>
                      <w:szCs w:val="20"/>
                    </w:rPr>
                    <w:t xml:space="preserve">The table shows the cash amounts discounted by the specified rate of 12%. Cash amounts received or saved are shown as positive amounts. Cash amounts paid are shown in parentheses. All of the cash amounts are assumed to occur at the end of the year. </w:t>
                  </w:r>
                </w:p>
              </w:tc>
            </w:tr>
          </w:tbl>
          <w:p w:rsidR="00671A30" w:rsidRPr="004515C4" w:rsidRDefault="00671A30" w:rsidP="00FB13A4">
            <w:pPr>
              <w:spacing w:after="0" w:line="240" w:lineRule="auto"/>
              <w:ind w:left="-709"/>
              <w:jc w:val="center"/>
              <w:rPr>
                <w:rFonts w:ascii="Arial" w:eastAsia="Times New Roman" w:hAnsi="Arial" w:cs="Arial"/>
                <w:sz w:val="18"/>
                <w:szCs w:val="18"/>
              </w:rPr>
            </w:pPr>
          </w:p>
        </w:tc>
      </w:tr>
    </w:tbl>
    <w:p w:rsidR="00671A30" w:rsidRPr="004515C4" w:rsidRDefault="00671A30" w:rsidP="00FB13A4">
      <w:pPr>
        <w:shd w:val="clear" w:color="auto" w:fill="FFFFFF"/>
        <w:spacing w:after="24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 xml:space="preserve">When the net present value is a </w:t>
      </w:r>
      <w:r w:rsidRPr="004515C4">
        <w:rPr>
          <w:rFonts w:ascii="Arial" w:eastAsia="Times New Roman" w:hAnsi="Arial" w:cs="Arial"/>
          <w:i/>
          <w:iCs/>
          <w:sz w:val="18"/>
          <w:szCs w:val="18"/>
        </w:rPr>
        <w:t>positive</w:t>
      </w:r>
      <w:r w:rsidRPr="004515C4">
        <w:rPr>
          <w:rFonts w:ascii="Arial" w:eastAsia="Times New Roman" w:hAnsi="Arial" w:cs="Arial"/>
          <w:sz w:val="18"/>
          <w:szCs w:val="18"/>
        </w:rPr>
        <w:t xml:space="preserve"> amount, the project is earning more than the rate used to discount the cash flows. As you can see from the above table, Kiboko's proposed project is showing a positive net present value of Ksh.14,668. This means that the new machine will provide Kiboko with </w:t>
      </w:r>
      <w:r w:rsidR="00085BF5">
        <w:rPr>
          <w:rFonts w:ascii="Arial" w:eastAsia="Times New Roman" w:hAnsi="Arial" w:cs="Arial"/>
          <w:b/>
          <w:bCs/>
          <w:sz w:val="18"/>
          <w:szCs w:val="18"/>
        </w:rPr>
        <w:t>Ksh.12,81</w:t>
      </w:r>
      <w:r w:rsidRPr="004515C4">
        <w:rPr>
          <w:rFonts w:ascii="Arial" w:eastAsia="Times New Roman" w:hAnsi="Arial" w:cs="Arial"/>
          <w:b/>
          <w:bCs/>
          <w:sz w:val="18"/>
          <w:szCs w:val="18"/>
        </w:rPr>
        <w:t>8 more in present value shillings than the minimum specified return of 12%</w:t>
      </w:r>
      <w:r w:rsidRPr="004515C4">
        <w:rPr>
          <w:rFonts w:ascii="Arial" w:eastAsia="Times New Roman" w:hAnsi="Arial" w:cs="Arial"/>
          <w:sz w:val="18"/>
          <w:szCs w:val="18"/>
        </w:rPr>
        <w:t xml:space="preserve">. </w:t>
      </w: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 xml:space="preserve">A net present value of Ksh.0 would indicate that a project is expected to earn </w:t>
      </w:r>
      <w:r w:rsidRPr="004515C4">
        <w:rPr>
          <w:rFonts w:ascii="Arial" w:eastAsia="Times New Roman" w:hAnsi="Arial" w:cs="Arial"/>
          <w:i/>
          <w:iCs/>
          <w:sz w:val="18"/>
          <w:szCs w:val="18"/>
        </w:rPr>
        <w:t>exactly</w:t>
      </w:r>
      <w:r w:rsidRPr="004515C4">
        <w:rPr>
          <w:rFonts w:ascii="Arial" w:eastAsia="Times New Roman" w:hAnsi="Arial" w:cs="Arial"/>
          <w:sz w:val="18"/>
          <w:szCs w:val="18"/>
        </w:rPr>
        <w:t xml:space="preserve"> the rate used to discount the future cash flows. If the net present value is a </w:t>
      </w:r>
      <w:r w:rsidRPr="004515C4">
        <w:rPr>
          <w:rFonts w:ascii="Arial" w:eastAsia="Times New Roman" w:hAnsi="Arial" w:cs="Arial"/>
          <w:i/>
          <w:iCs/>
          <w:sz w:val="18"/>
          <w:szCs w:val="18"/>
        </w:rPr>
        <w:t>negative</w:t>
      </w:r>
      <w:r w:rsidRPr="004515C4">
        <w:rPr>
          <w:rFonts w:ascii="Arial" w:eastAsia="Times New Roman" w:hAnsi="Arial" w:cs="Arial"/>
          <w:sz w:val="18"/>
          <w:szCs w:val="18"/>
        </w:rPr>
        <w:t xml:space="preserve"> amount, the project will earn less than the rate used to discount the cash flows. (This doesn't </w:t>
      </w:r>
      <w:r w:rsidR="00085BF5">
        <w:rPr>
          <w:rFonts w:ascii="Arial" w:eastAsia="Times New Roman" w:hAnsi="Arial" w:cs="Arial"/>
          <w:sz w:val="18"/>
          <w:szCs w:val="18"/>
        </w:rPr>
        <w:t xml:space="preserve">always </w:t>
      </w:r>
      <w:r w:rsidRPr="004515C4">
        <w:rPr>
          <w:rFonts w:ascii="Arial" w:eastAsia="Times New Roman" w:hAnsi="Arial" w:cs="Arial"/>
          <w:sz w:val="18"/>
          <w:szCs w:val="18"/>
        </w:rPr>
        <w:t xml:space="preserve">mean, however, that the project is showing a negative return—it could be the project is earning a return of 11% instead of the specified rate of </w:t>
      </w:r>
      <w:proofErr w:type="gramStart"/>
      <w:r w:rsidRPr="004515C4">
        <w:rPr>
          <w:rFonts w:ascii="Arial" w:eastAsia="Times New Roman" w:hAnsi="Arial" w:cs="Arial"/>
          <w:sz w:val="18"/>
          <w:szCs w:val="18"/>
        </w:rPr>
        <w:t>12%</w:t>
      </w:r>
      <w:proofErr w:type="gramEnd"/>
      <w:r w:rsidRPr="004515C4">
        <w:rPr>
          <w:rFonts w:ascii="Arial" w:eastAsia="Times New Roman" w:hAnsi="Arial" w:cs="Arial"/>
          <w:sz w:val="18"/>
          <w:szCs w:val="18"/>
        </w:rPr>
        <w:t xml:space="preserve">.) </w:t>
      </w:r>
    </w:p>
    <w:p w:rsidR="004515C4" w:rsidRPr="004515C4" w:rsidRDefault="004515C4" w:rsidP="00FB13A4">
      <w:pPr>
        <w:shd w:val="clear" w:color="auto" w:fill="FFFFFF"/>
        <w:spacing w:after="0" w:line="240" w:lineRule="auto"/>
        <w:ind w:left="-709"/>
        <w:rPr>
          <w:rFonts w:ascii="Arial" w:eastAsia="Times New Roman" w:hAnsi="Arial" w:cs="Arial"/>
          <w:sz w:val="18"/>
          <w:szCs w:val="18"/>
        </w:rPr>
      </w:pPr>
    </w:p>
    <w:p w:rsidR="004515C4" w:rsidRPr="004515C4" w:rsidRDefault="004515C4" w:rsidP="00FB13A4">
      <w:pPr>
        <w:shd w:val="clear" w:color="auto" w:fill="FFFFFF"/>
        <w:spacing w:after="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r w:rsidRPr="004515C4">
        <w:rPr>
          <w:rFonts w:ascii="Arial" w:eastAsia="Times New Roman" w:hAnsi="Arial" w:cs="Arial"/>
          <w:noProof/>
          <w:sz w:val="18"/>
          <w:szCs w:val="18"/>
          <w:lang w:val="en-US" w:eastAsia="en-US"/>
        </w:rPr>
        <w:drawing>
          <wp:inline distT="0" distB="0" distL="0" distR="0">
            <wp:extent cx="8890" cy="8890"/>
            <wp:effectExtent l="0" t="0" r="0" b="0"/>
            <wp:docPr id="5" name="Picture 5" descr="http://www.accountingcoach.com/openads/www/delivery/lg.php?bannerid=8&amp;campaignid=5&amp;zoneid=6&amp;channel_ids=,&amp;loc=http%3A%2F%2Fwww.accountingcoach.com%2Fonline-accounting-course%2F10Xpg02.html&amp;cb=3dee496d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ccountingcoach.com/openads/www/delivery/lg.php?bannerid=8&amp;campaignid=5&amp;zoneid=6&amp;channel_ids=,&amp;loc=http%3A%2F%2Fwww.accountingcoach.com%2Fonline-accounting-course%2F10Xpg02.html&amp;cb=3dee496d74"/>
                    <pic:cNvPicPr>
                      <a:picLocks noChangeAspect="1" noChangeArrowheads="1"/>
                    </pic:cNvPicPr>
                  </pic:nvPicPr>
                  <pic:blipFill>
                    <a:blip r:embed="rId12"/>
                    <a:srcRect/>
                    <a:stretch>
                      <a:fillRect/>
                    </a:stretch>
                  </pic:blipFill>
                  <pic:spPr bwMode="auto">
                    <a:xfrm>
                      <a:off x="0" y="0"/>
                      <a:ext cx="8890" cy="8890"/>
                    </a:xfrm>
                    <a:prstGeom prst="rect">
                      <a:avLst/>
                    </a:prstGeom>
                    <a:noFill/>
                    <a:ln w="9525">
                      <a:noFill/>
                      <a:miter lim="800000"/>
                      <a:headEnd/>
                      <a:tailEnd/>
                    </a:ln>
                  </pic:spPr>
                </pic:pic>
              </a:graphicData>
            </a:graphic>
          </wp:inline>
        </w:drawing>
      </w:r>
      <w:r w:rsidR="00031B34">
        <w:rPr>
          <w:rFonts w:ascii="Arial" w:eastAsia="Times New Roman" w:hAnsi="Arial" w:cs="Arial"/>
          <w:b/>
          <w:bCs/>
          <w:sz w:val="27"/>
          <w:szCs w:val="27"/>
        </w:rPr>
        <w:t>4</w:t>
      </w:r>
      <w:r w:rsidRPr="004515C4">
        <w:rPr>
          <w:rFonts w:ascii="Arial" w:eastAsia="Times New Roman" w:hAnsi="Arial" w:cs="Arial"/>
          <w:b/>
          <w:bCs/>
          <w:sz w:val="27"/>
          <w:szCs w:val="27"/>
        </w:rPr>
        <w:t>.</w:t>
      </w:r>
      <w:r w:rsidRPr="004515C4">
        <w:rPr>
          <w:rFonts w:ascii="Arial" w:eastAsia="Times New Roman" w:hAnsi="Arial" w:cs="Arial"/>
          <w:sz w:val="18"/>
          <w:szCs w:val="18"/>
        </w:rPr>
        <w:t xml:space="preserve"> </w:t>
      </w:r>
      <w:hyperlink r:id="rId13" w:history="1">
        <w:r w:rsidRPr="004515C4">
          <w:rPr>
            <w:rFonts w:ascii="Arial" w:eastAsia="Times New Roman" w:hAnsi="Arial" w:cs="Arial"/>
            <w:b/>
            <w:bCs/>
            <w:sz w:val="18"/>
            <w:szCs w:val="18"/>
            <w:u w:val="single"/>
          </w:rPr>
          <w:t>Internal Rate of Return</w:t>
        </w:r>
      </w:hyperlink>
      <w:r w:rsidRPr="004515C4">
        <w:rPr>
          <w:rFonts w:ascii="Arial" w:eastAsia="Times New Roman" w:hAnsi="Arial" w:cs="Arial"/>
          <w:sz w:val="18"/>
          <w:szCs w:val="18"/>
        </w:rPr>
        <w:t>. This discounted cash flow model calculates the rate that will cause the net present value to equal zero. In other words, it answers the question, "What rate of return will the project earn over its life?" It is similar to the net present value method in that (a) all of the estimated cash flows over the entire life of the project are considered, and (b) the estimated cash flows are discounted to the present.</w:t>
      </w: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Since the internal rate of return model produces the rate that will discount all of the cash back to a net present value of exactly zero, you may need to try various rates (as shown in present value tables) until you find the exact rate that gives you zero. (You will save time by using a computer, financial calculator, or programmable calculator.)</w:t>
      </w: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671A30"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As you can see below,</w:t>
      </w:r>
      <w:r w:rsidR="00277F62">
        <w:rPr>
          <w:rFonts w:ascii="Arial" w:eastAsia="Times New Roman" w:hAnsi="Arial" w:cs="Arial"/>
          <w:sz w:val="18"/>
          <w:szCs w:val="18"/>
        </w:rPr>
        <w:t xml:space="preserve"> Kiboko finds that a rate of .............</w:t>
      </w:r>
      <w:r w:rsidRPr="004515C4">
        <w:rPr>
          <w:rFonts w:ascii="Arial" w:eastAsia="Times New Roman" w:hAnsi="Arial" w:cs="Arial"/>
          <w:sz w:val="18"/>
          <w:szCs w:val="18"/>
        </w:rPr>
        <w:t xml:space="preserve"> will yield a net present value of Ksh.0:</w:t>
      </w: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Default="005248C7" w:rsidP="00FB13A4">
      <w:pPr>
        <w:shd w:val="clear" w:color="auto" w:fill="FFFFFF"/>
        <w:spacing w:after="0" w:line="235" w:lineRule="atLeast"/>
        <w:ind w:left="-709"/>
        <w:rPr>
          <w:rFonts w:ascii="Arial" w:eastAsia="Times New Roman" w:hAnsi="Arial" w:cs="Arial"/>
          <w:sz w:val="18"/>
          <w:szCs w:val="18"/>
        </w:rPr>
      </w:pPr>
    </w:p>
    <w:p w:rsidR="005248C7" w:rsidRPr="004515C4" w:rsidRDefault="005248C7" w:rsidP="00FB13A4">
      <w:pPr>
        <w:shd w:val="clear" w:color="auto" w:fill="FFFFFF"/>
        <w:spacing w:after="0" w:line="235" w:lineRule="atLeast"/>
        <w:ind w:left="-709"/>
        <w:rPr>
          <w:rFonts w:ascii="Arial" w:eastAsia="Times New Roman" w:hAnsi="Arial" w:cs="Arial"/>
          <w:sz w:val="18"/>
          <w:szCs w:val="18"/>
        </w:rPr>
      </w:pPr>
    </w:p>
    <w:p w:rsidR="00671A30" w:rsidRPr="004515C4" w:rsidRDefault="00671A30" w:rsidP="00FB13A4">
      <w:pPr>
        <w:shd w:val="clear" w:color="auto" w:fill="FFFFFF"/>
        <w:spacing w:after="0" w:line="240" w:lineRule="auto"/>
        <w:ind w:left="-709"/>
        <w:rPr>
          <w:rFonts w:ascii="Arial" w:eastAsia="Times New Roman" w:hAnsi="Arial" w:cs="Arial"/>
          <w:sz w:val="18"/>
          <w:szCs w:val="18"/>
        </w:rPr>
      </w:pPr>
    </w:p>
    <w:tbl>
      <w:tblPr>
        <w:tblW w:w="7800" w:type="dxa"/>
        <w:tblCellSpacing w:w="15" w:type="dxa"/>
        <w:tblBorders>
          <w:top w:val="single" w:sz="18" w:space="0" w:color="CCCCCC"/>
          <w:left w:val="single" w:sz="18" w:space="0" w:color="CCCCCC"/>
          <w:bottom w:val="single" w:sz="18" w:space="0" w:color="CCCCCC"/>
          <w:right w:val="single" w:sz="18" w:space="0" w:color="CCCCCC"/>
        </w:tblBorders>
        <w:shd w:val="clear" w:color="auto" w:fill="FEFCE2"/>
        <w:tblCellMar>
          <w:left w:w="0" w:type="dxa"/>
          <w:right w:w="0" w:type="dxa"/>
        </w:tblCellMar>
        <w:tblLook w:val="04A0"/>
      </w:tblPr>
      <w:tblGrid>
        <w:gridCol w:w="7800"/>
      </w:tblGrid>
      <w:tr w:rsidR="00671A30" w:rsidRPr="004515C4" w:rsidTr="00671A30">
        <w:trPr>
          <w:tblCellSpacing w:w="15" w:type="dxa"/>
        </w:trPr>
        <w:tc>
          <w:tcPr>
            <w:tcW w:w="0" w:type="auto"/>
            <w:shd w:val="clear" w:color="auto" w:fill="FEFCE2"/>
            <w:tcMar>
              <w:top w:w="138" w:type="dxa"/>
              <w:left w:w="0" w:type="dxa"/>
              <w:bottom w:w="138" w:type="dxa"/>
              <w:right w:w="0" w:type="dxa"/>
            </w:tcMar>
            <w:vAlign w:val="center"/>
            <w:hideMark/>
          </w:tcPr>
          <w:tbl>
            <w:tblPr>
              <w:tblW w:w="7567"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42"/>
              <w:gridCol w:w="954"/>
              <w:gridCol w:w="948"/>
              <w:gridCol w:w="948"/>
              <w:gridCol w:w="973"/>
              <w:gridCol w:w="948"/>
              <w:gridCol w:w="954"/>
            </w:tblGrid>
            <w:tr w:rsidR="00CA77CD"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End of</w:t>
                  </w:r>
                </w:p>
              </w:tc>
              <w:tc>
                <w:tcPr>
                  <w:tcW w:w="954"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Amount Paid for Machines &amp; </w:t>
                  </w:r>
                  <w:proofErr w:type="spellStart"/>
                  <w:r w:rsidRPr="004515C4">
                    <w:rPr>
                      <w:rFonts w:ascii="Arial" w:eastAsia="Times New Roman" w:hAnsi="Arial" w:cs="Arial"/>
                      <w:sz w:val="18"/>
                      <w:szCs w:val="18"/>
                    </w:rPr>
                    <w:t>Labor</w:t>
                  </w:r>
                  <w:proofErr w:type="spellEnd"/>
                  <w:r w:rsidRPr="004515C4">
                    <w:rPr>
                      <w:rFonts w:ascii="Arial" w:eastAsia="Times New Roman" w:hAnsi="Arial" w:cs="Arial"/>
                      <w:sz w:val="18"/>
                      <w:szCs w:val="18"/>
                    </w:rPr>
                    <w:t xml:space="preserve"> Savings</w:t>
                  </w:r>
                </w:p>
              </w:tc>
              <w:tc>
                <w:tcPr>
                  <w:tcW w:w="948"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Income Tax on </w:t>
                  </w:r>
                  <w:proofErr w:type="spellStart"/>
                  <w:r w:rsidRPr="004515C4">
                    <w:rPr>
                      <w:rFonts w:ascii="Arial" w:eastAsia="Times New Roman" w:hAnsi="Arial" w:cs="Arial"/>
                      <w:sz w:val="18"/>
                      <w:szCs w:val="18"/>
                    </w:rPr>
                    <w:t>Labor</w:t>
                  </w:r>
                  <w:proofErr w:type="spellEnd"/>
                  <w:r w:rsidRPr="004515C4">
                    <w:rPr>
                      <w:rFonts w:ascii="Arial" w:eastAsia="Times New Roman" w:hAnsi="Arial" w:cs="Arial"/>
                      <w:sz w:val="18"/>
                      <w:szCs w:val="18"/>
                    </w:rPr>
                    <w:t xml:space="preserve"> Savings*</w:t>
                  </w:r>
                </w:p>
              </w:tc>
              <w:tc>
                <w:tcPr>
                  <w:tcW w:w="948" w:type="dxa"/>
                  <w:tcBorders>
                    <w:top w:val="outset" w:sz="6" w:space="0" w:color="auto"/>
                    <w:left w:val="outset" w:sz="6" w:space="0" w:color="auto"/>
                    <w:bottom w:val="outset" w:sz="6" w:space="0" w:color="auto"/>
                    <w:right w:val="outset" w:sz="6" w:space="0" w:color="auto"/>
                  </w:tcBorders>
                  <w:vAlign w:val="bottom"/>
                  <w:hideMark/>
                </w:tcPr>
                <w:p w:rsidR="00CA77CD"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Tax Saved </w:t>
                  </w:r>
                </w:p>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From Tax </w:t>
                  </w:r>
                  <w:proofErr w:type="spellStart"/>
                  <w:r w:rsidRPr="004515C4">
                    <w:rPr>
                      <w:rFonts w:ascii="Arial" w:eastAsia="Times New Roman" w:hAnsi="Arial" w:cs="Arial"/>
                      <w:sz w:val="18"/>
                      <w:szCs w:val="18"/>
                    </w:rPr>
                    <w:t>Depr</w:t>
                  </w:r>
                  <w:proofErr w:type="spellEnd"/>
                  <w:r w:rsidRPr="004515C4">
                    <w:rPr>
                      <w:rFonts w:ascii="Arial" w:eastAsia="Times New Roman" w:hAnsi="Arial" w:cs="Arial"/>
                      <w:sz w:val="18"/>
                      <w:szCs w:val="18"/>
                    </w:rPr>
                    <w:t>*</w:t>
                  </w:r>
                </w:p>
              </w:tc>
              <w:tc>
                <w:tcPr>
                  <w:tcW w:w="973"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Net Cash Flows Before Discounting</w:t>
                  </w:r>
                </w:p>
              </w:tc>
              <w:tc>
                <w:tcPr>
                  <w:tcW w:w="948"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 xml:space="preserve">Present Value Factors For Ksh.1 at </w:t>
                  </w:r>
                  <w:r w:rsidRPr="004515C4">
                    <w:rPr>
                      <w:rFonts w:ascii="Arial" w:eastAsia="Times New Roman" w:hAnsi="Arial" w:cs="Arial"/>
                      <w:b/>
                      <w:bCs/>
                      <w:sz w:val="18"/>
                      <w:szCs w:val="18"/>
                    </w:rPr>
                    <w:t>16%</w:t>
                  </w:r>
                </w:p>
              </w:tc>
              <w:tc>
                <w:tcPr>
                  <w:tcW w:w="954" w:type="dxa"/>
                  <w:tcBorders>
                    <w:top w:val="outset" w:sz="6" w:space="0" w:color="auto"/>
                    <w:left w:val="outset" w:sz="6" w:space="0" w:color="auto"/>
                    <w:bottom w:val="outset" w:sz="6" w:space="0" w:color="auto"/>
                    <w:right w:val="outset" w:sz="6" w:space="0" w:color="auto"/>
                  </w:tcBorders>
                  <w:vAlign w:val="bottom"/>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b/>
                      <w:bCs/>
                      <w:sz w:val="18"/>
                      <w:szCs w:val="18"/>
                    </w:rPr>
                    <w:t>Present Value Ksh.</w:t>
                  </w: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sz w:val="18"/>
                      <w:szCs w:val="18"/>
                    </w:rPr>
                    <w:t>Today</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(100,000)</w:t>
                  </w: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CA77CD"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Year 1</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24,000 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(7,200)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CA77CD"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Year 2</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25,000 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CA77CD"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Year 3</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26,000 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(7,800)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CA77CD"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Year 4</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27,100 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(8,130)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CA77CD"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Year 5</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28,200 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(8,460)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CA77CD"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Year 6</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29,300 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(8,790)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CA77CD"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Year 7</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30,500 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(9,150)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CA77CD" w:rsidP="00FB13A4">
                  <w:pPr>
                    <w:spacing w:after="0" w:line="240" w:lineRule="auto"/>
                    <w:ind w:left="-709"/>
                    <w:jc w:val="center"/>
                    <w:rPr>
                      <w:rFonts w:ascii="Arial" w:eastAsia="Times New Roman" w:hAnsi="Arial" w:cs="Arial"/>
                      <w:sz w:val="18"/>
                      <w:szCs w:val="18"/>
                    </w:rPr>
                  </w:pPr>
                  <w:r>
                    <w:rPr>
                      <w:rFonts w:ascii="Arial" w:eastAsia="Times New Roman" w:hAnsi="Arial" w:cs="Arial"/>
                      <w:sz w:val="18"/>
                      <w:szCs w:val="18"/>
                    </w:rPr>
                    <w:t xml:space="preserve">           </w:t>
                  </w:r>
                  <w:r w:rsidR="00671A30" w:rsidRPr="004515C4">
                    <w:rPr>
                      <w:rFonts w:ascii="Arial" w:eastAsia="Times New Roman" w:hAnsi="Arial" w:cs="Arial"/>
                      <w:sz w:val="18"/>
                      <w:szCs w:val="18"/>
                    </w:rPr>
                    <w:t>Year 8</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31,733 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(9,520)</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r w:rsidRPr="004515C4">
                    <w:rPr>
                      <w:rFonts w:ascii="Arial" w:eastAsia="Times New Roman" w:hAnsi="Arial" w:cs="Arial"/>
                      <w:sz w:val="18"/>
                      <w:szCs w:val="18"/>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r>
            <w:tr w:rsidR="00671A30" w:rsidRPr="004515C4" w:rsidTr="00CA77CD">
              <w:trPr>
                <w:tblCellSpacing w:w="0" w:type="dxa"/>
                <w:jc w:val="center"/>
              </w:trPr>
              <w:tc>
                <w:tcPr>
                  <w:tcW w:w="1842" w:type="dxa"/>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center"/>
                    <w:rPr>
                      <w:rFonts w:ascii="Arial" w:eastAsia="Times New Roman" w:hAnsi="Arial" w:cs="Arial"/>
                      <w:sz w:val="18"/>
                      <w:szCs w:val="18"/>
                    </w:rPr>
                  </w:pPr>
                  <w:r w:rsidRPr="004515C4">
                    <w:rPr>
                      <w:rFonts w:ascii="Arial" w:eastAsia="Times New Roman" w:hAnsi="Arial" w:cs="Arial"/>
                      <w:b/>
                      <w:bCs/>
                      <w:sz w:val="18"/>
                      <w:szCs w:val="18"/>
                    </w:rPr>
                    <w:t xml:space="preserve">Net </w:t>
                  </w:r>
                  <w:r w:rsidR="00CA77CD">
                    <w:rPr>
                      <w:rFonts w:ascii="Arial" w:eastAsia="Times New Roman" w:hAnsi="Arial" w:cs="Arial"/>
                      <w:b/>
                      <w:bCs/>
                      <w:sz w:val="18"/>
                      <w:szCs w:val="18"/>
                    </w:rPr>
                    <w:t xml:space="preserve">          </w:t>
                  </w:r>
                  <w:r w:rsidRPr="004515C4">
                    <w:rPr>
                      <w:rFonts w:ascii="Arial" w:eastAsia="Times New Roman" w:hAnsi="Arial" w:cs="Arial"/>
                      <w:b/>
                      <w:bCs/>
                      <w:sz w:val="18"/>
                      <w:szCs w:val="18"/>
                    </w:rPr>
                    <w:t xml:space="preserve">Present </w:t>
                  </w:r>
                  <w:r w:rsidR="00CA77CD">
                    <w:rPr>
                      <w:rFonts w:ascii="Arial" w:eastAsia="Times New Roman" w:hAnsi="Arial" w:cs="Arial"/>
                      <w:b/>
                      <w:bCs/>
                      <w:sz w:val="18"/>
                      <w:szCs w:val="18"/>
                    </w:rPr>
                    <w:t xml:space="preserve">    </w:t>
                  </w:r>
                  <w:r w:rsidRPr="004515C4">
                    <w:rPr>
                      <w:rFonts w:ascii="Arial" w:eastAsia="Times New Roman" w:hAnsi="Arial" w:cs="Arial"/>
                      <w:b/>
                      <w:bCs/>
                      <w:sz w:val="18"/>
                      <w:szCs w:val="18"/>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671A30" w:rsidP="00FB13A4">
                  <w:pPr>
                    <w:spacing w:after="0" w:line="240" w:lineRule="auto"/>
                    <w:ind w:left="-709"/>
                    <w:jc w:val="right"/>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71A30" w:rsidRPr="004515C4" w:rsidRDefault="00CA77CD" w:rsidP="00FB13A4">
                  <w:pPr>
                    <w:spacing w:after="0" w:line="240" w:lineRule="auto"/>
                    <w:ind w:left="-709"/>
                    <w:jc w:val="right"/>
                    <w:rPr>
                      <w:rFonts w:ascii="Arial" w:eastAsia="Times New Roman" w:hAnsi="Arial" w:cs="Arial"/>
                      <w:sz w:val="18"/>
                      <w:szCs w:val="18"/>
                    </w:rPr>
                  </w:pPr>
                  <w:r>
                    <w:rPr>
                      <w:rFonts w:ascii="Arial" w:eastAsia="Times New Roman" w:hAnsi="Arial" w:cs="Arial"/>
                      <w:b/>
                      <w:bCs/>
                      <w:sz w:val="18"/>
                    </w:rPr>
                    <w:t xml:space="preserve">  </w:t>
                  </w:r>
                  <w:proofErr w:type="spellStart"/>
                  <w:r>
                    <w:rPr>
                      <w:rFonts w:ascii="Arial" w:eastAsia="Times New Roman" w:hAnsi="Arial" w:cs="Arial"/>
                      <w:b/>
                      <w:bCs/>
                      <w:sz w:val="18"/>
                    </w:rPr>
                    <w:t>K</w:t>
                  </w:r>
                  <w:r w:rsidR="00671A30" w:rsidRPr="004515C4">
                    <w:rPr>
                      <w:rFonts w:ascii="Arial" w:eastAsia="Times New Roman" w:hAnsi="Arial" w:cs="Arial"/>
                      <w:b/>
                      <w:bCs/>
                      <w:sz w:val="18"/>
                    </w:rPr>
                    <w:t>Ksh</w:t>
                  </w:r>
                  <w:proofErr w:type="spellEnd"/>
                  <w:r w:rsidR="00671A30" w:rsidRPr="004515C4">
                    <w:rPr>
                      <w:rFonts w:ascii="Arial" w:eastAsia="Times New Roman" w:hAnsi="Arial" w:cs="Arial"/>
                      <w:b/>
                      <w:bCs/>
                      <w:sz w:val="18"/>
                    </w:rPr>
                    <w:t>.    – 0 –</w:t>
                  </w:r>
                </w:p>
              </w:tc>
            </w:tr>
          </w:tbl>
          <w:p w:rsidR="00671A30" w:rsidRPr="004515C4" w:rsidRDefault="00671A30" w:rsidP="00FB13A4">
            <w:pPr>
              <w:spacing w:after="0" w:line="240" w:lineRule="auto"/>
              <w:ind w:left="-709"/>
              <w:jc w:val="center"/>
              <w:rPr>
                <w:rFonts w:ascii="Arial" w:eastAsia="Times New Roman" w:hAnsi="Arial" w:cs="Arial"/>
                <w:vanish/>
                <w:sz w:val="18"/>
                <w:szCs w:val="18"/>
              </w:rPr>
            </w:pPr>
          </w:p>
          <w:tbl>
            <w:tblPr>
              <w:tblW w:w="7050" w:type="dxa"/>
              <w:jc w:val="center"/>
              <w:tblCellSpacing w:w="15" w:type="dxa"/>
              <w:tblCellMar>
                <w:top w:w="15" w:type="dxa"/>
                <w:left w:w="15" w:type="dxa"/>
                <w:bottom w:w="15" w:type="dxa"/>
                <w:right w:w="15" w:type="dxa"/>
              </w:tblCellMar>
              <w:tblLook w:val="04A0"/>
            </w:tblPr>
            <w:tblGrid>
              <w:gridCol w:w="7050"/>
            </w:tblGrid>
            <w:tr w:rsidR="00671A30" w:rsidRPr="004515C4">
              <w:trPr>
                <w:tblCellSpacing w:w="15" w:type="dxa"/>
                <w:jc w:val="center"/>
              </w:trPr>
              <w:tc>
                <w:tcPr>
                  <w:tcW w:w="0" w:type="auto"/>
                  <w:vAlign w:val="center"/>
                  <w:hideMark/>
                </w:tcPr>
                <w:p w:rsidR="00671A30" w:rsidRPr="004515C4" w:rsidRDefault="00671A30" w:rsidP="00FB13A4">
                  <w:pPr>
                    <w:spacing w:after="0" w:line="240" w:lineRule="auto"/>
                    <w:ind w:left="-709"/>
                    <w:rPr>
                      <w:rFonts w:ascii="Arial" w:eastAsia="Times New Roman" w:hAnsi="Arial" w:cs="Arial"/>
                      <w:sz w:val="18"/>
                      <w:szCs w:val="18"/>
                    </w:rPr>
                  </w:pPr>
                  <w:r w:rsidRPr="004515C4">
                    <w:rPr>
                      <w:rFonts w:ascii="Arial" w:eastAsia="Times New Roman" w:hAnsi="Arial" w:cs="Arial"/>
                      <w:sz w:val="18"/>
                      <w:szCs w:val="18"/>
                    </w:rPr>
                    <w:br/>
                  </w:r>
                  <w:r w:rsidRPr="004515C4">
                    <w:rPr>
                      <w:rFonts w:ascii="Arial" w:eastAsia="Times New Roman" w:hAnsi="Arial" w:cs="Arial"/>
                      <w:sz w:val="20"/>
                      <w:szCs w:val="20"/>
                    </w:rPr>
                    <w:t xml:space="preserve">The table shows the cash amounts discounted by the rate </w:t>
                  </w:r>
                  <w:r w:rsidR="00F14A2C" w:rsidRPr="004515C4">
                    <w:rPr>
                      <w:rFonts w:ascii="Arial" w:eastAsia="Times New Roman" w:hAnsi="Arial" w:cs="Arial"/>
                      <w:sz w:val="20"/>
                      <w:szCs w:val="20"/>
                    </w:rPr>
                    <w:t>that result</w:t>
                  </w:r>
                  <w:r w:rsidRPr="004515C4">
                    <w:rPr>
                      <w:rFonts w:ascii="Arial" w:eastAsia="Times New Roman" w:hAnsi="Arial" w:cs="Arial"/>
                      <w:sz w:val="20"/>
                      <w:szCs w:val="20"/>
                    </w:rPr>
                    <w:t xml:space="preserve"> in net present value of Ksh.0. The cash amounts received or saved are shown as positive amounts. Cash amounts paid are shown in parentheses. All of the cash amounts are assumed to occur at the end of each year. </w:t>
                  </w:r>
                  <w:r w:rsidRPr="004515C4">
                    <w:rPr>
                      <w:rFonts w:ascii="Arial" w:eastAsia="Times New Roman" w:hAnsi="Arial" w:cs="Arial"/>
                      <w:sz w:val="20"/>
                      <w:szCs w:val="20"/>
                    </w:rPr>
                    <w:br/>
                  </w:r>
                  <w:r w:rsidRPr="004515C4">
                    <w:rPr>
                      <w:rFonts w:ascii="Arial" w:eastAsia="Times New Roman" w:hAnsi="Arial" w:cs="Arial"/>
                      <w:sz w:val="20"/>
                      <w:szCs w:val="20"/>
                    </w:rPr>
                    <w:br/>
                    <w:t>*NOTE: These tax savings are based on a hypothetical income tax situation.</w:t>
                  </w:r>
                </w:p>
              </w:tc>
            </w:tr>
          </w:tbl>
          <w:p w:rsidR="00671A30" w:rsidRPr="004515C4" w:rsidRDefault="00671A30" w:rsidP="00FB13A4">
            <w:pPr>
              <w:spacing w:after="0" w:line="240" w:lineRule="auto"/>
              <w:ind w:left="-709"/>
              <w:jc w:val="center"/>
              <w:rPr>
                <w:rFonts w:ascii="Arial" w:eastAsia="Times New Roman" w:hAnsi="Arial" w:cs="Arial"/>
                <w:sz w:val="18"/>
                <w:szCs w:val="18"/>
              </w:rPr>
            </w:pPr>
          </w:p>
        </w:tc>
      </w:tr>
    </w:tbl>
    <w:p w:rsidR="00671A30" w:rsidRPr="004515C4" w:rsidRDefault="00671A30" w:rsidP="00FB13A4">
      <w:pPr>
        <w:shd w:val="clear" w:color="auto" w:fill="FFFFFF"/>
        <w:spacing w:after="0" w:line="240" w:lineRule="auto"/>
        <w:ind w:left="-709"/>
        <w:rPr>
          <w:rFonts w:ascii="Arial" w:eastAsia="Times New Roman" w:hAnsi="Arial" w:cs="Arial"/>
          <w:sz w:val="18"/>
          <w:szCs w:val="18"/>
        </w:rPr>
      </w:pPr>
    </w:p>
    <w:p w:rsidR="00671A30" w:rsidRPr="004515C4" w:rsidRDefault="00671A30" w:rsidP="00FB13A4">
      <w:pPr>
        <w:shd w:val="clear" w:color="auto" w:fill="FFFFFF"/>
        <w:spacing w:after="0" w:line="235" w:lineRule="atLeast"/>
        <w:ind w:left="-709"/>
        <w:rPr>
          <w:rFonts w:ascii="Arial" w:eastAsia="Times New Roman" w:hAnsi="Arial" w:cs="Arial"/>
          <w:sz w:val="18"/>
          <w:szCs w:val="18"/>
        </w:rPr>
      </w:pPr>
      <w:r w:rsidRPr="004515C4">
        <w:rPr>
          <w:rFonts w:ascii="Arial" w:eastAsia="Times New Roman" w:hAnsi="Arial" w:cs="Arial"/>
          <w:sz w:val="18"/>
          <w:szCs w:val="18"/>
        </w:rPr>
        <w:t>Knowing that the project has an internal rate of return of 16% may be more useful to Kiboko than knowing its net present value is Ksh.14,668. In fact, if this method is applied to all of its capital expenditure proposals, Kiboko can easily rank the proposals according to profitability. For example, if Kiboko decides to commit no more than Ksh.500</w:t>
      </w:r>
      <w:r w:rsidR="004515C4" w:rsidRPr="004515C4">
        <w:rPr>
          <w:rFonts w:ascii="Arial" w:eastAsia="Times New Roman" w:hAnsi="Arial" w:cs="Arial"/>
          <w:sz w:val="18"/>
          <w:szCs w:val="18"/>
        </w:rPr>
        <w:t>, 000</w:t>
      </w:r>
      <w:r w:rsidRPr="004515C4">
        <w:rPr>
          <w:rFonts w:ascii="Arial" w:eastAsia="Times New Roman" w:hAnsi="Arial" w:cs="Arial"/>
          <w:sz w:val="18"/>
          <w:szCs w:val="18"/>
        </w:rPr>
        <w:t xml:space="preserve"> for nonemergency projects, it can start by funding those proposals which show the highest internal rate of return and work its way down the list until the entire Ksh.500</w:t>
      </w:r>
      <w:proofErr w:type="gramStart"/>
      <w:r w:rsidRPr="004515C4">
        <w:rPr>
          <w:rFonts w:ascii="Arial" w:eastAsia="Times New Roman" w:hAnsi="Arial" w:cs="Arial"/>
          <w:sz w:val="18"/>
          <w:szCs w:val="18"/>
        </w:rPr>
        <w:t>,000</w:t>
      </w:r>
      <w:proofErr w:type="gramEnd"/>
      <w:r w:rsidRPr="004515C4">
        <w:rPr>
          <w:rFonts w:ascii="Arial" w:eastAsia="Times New Roman" w:hAnsi="Arial" w:cs="Arial"/>
          <w:sz w:val="18"/>
          <w:szCs w:val="18"/>
        </w:rPr>
        <w:t xml:space="preserve"> is committed. </w:t>
      </w:r>
    </w:p>
    <w:p w:rsidR="004A5F58" w:rsidRDefault="004A5F58" w:rsidP="004A5F58">
      <w:pPr>
        <w:spacing w:after="0" w:line="240" w:lineRule="auto"/>
        <w:rPr>
          <w:rFonts w:ascii="Arial" w:eastAsia="Times New Roman" w:hAnsi="Arial" w:cs="Arial"/>
          <w:b/>
          <w:bCs/>
          <w:sz w:val="25"/>
          <w:szCs w:val="25"/>
        </w:rPr>
      </w:pPr>
      <w:bookmarkStart w:id="4" w:name="present-value-calculation"/>
      <w:bookmarkEnd w:id="4"/>
    </w:p>
    <w:p w:rsidR="004A5F58" w:rsidRPr="004A5F58" w:rsidRDefault="004A5F58" w:rsidP="004A5F58">
      <w:pPr>
        <w:spacing w:after="0" w:line="240" w:lineRule="auto"/>
        <w:ind w:left="-720"/>
        <w:rPr>
          <w:rFonts w:ascii="Arial" w:eastAsia="Times New Roman" w:hAnsi="Arial" w:cs="Arial"/>
          <w:color w:val="000000"/>
          <w:sz w:val="28"/>
          <w:szCs w:val="28"/>
          <w:lang w:val="en-US" w:eastAsia="en-US"/>
        </w:rPr>
      </w:pPr>
      <w:r w:rsidRPr="004A5F58">
        <w:rPr>
          <w:rFonts w:ascii="Arial" w:eastAsia="Times New Roman" w:hAnsi="Arial" w:cs="Arial"/>
          <w:b/>
          <w:bCs/>
          <w:color w:val="000000"/>
          <w:sz w:val="28"/>
          <w:szCs w:val="28"/>
          <w:lang w:val="en-US" w:eastAsia="en-US"/>
        </w:rPr>
        <w:t>Qualitative Factors and Judgment in Investment Appraisal</w:t>
      </w:r>
      <w:r w:rsidRPr="004A5F58">
        <w:rPr>
          <w:rFonts w:ascii="Arial" w:eastAsia="Times New Roman" w:hAnsi="Arial" w:cs="Arial"/>
          <w:color w:val="000000"/>
          <w:sz w:val="28"/>
          <w:szCs w:val="28"/>
          <w:lang w:val="en-US" w:eastAsia="en-US"/>
        </w:rPr>
        <w:t xml:space="preserve"> </w:t>
      </w:r>
    </w:p>
    <w:p w:rsidR="004A5F58" w:rsidRPr="004A5F58" w:rsidRDefault="004A5F58" w:rsidP="004A5F58">
      <w:pPr>
        <w:spacing w:after="0" w:line="240" w:lineRule="auto"/>
        <w:ind w:left="-720"/>
        <w:rPr>
          <w:rFonts w:ascii="Arial" w:eastAsia="Times New Roman" w:hAnsi="Arial" w:cs="Arial"/>
          <w:sz w:val="18"/>
          <w:szCs w:val="18"/>
        </w:rPr>
      </w:pPr>
      <w:r w:rsidRPr="004A5F58">
        <w:rPr>
          <w:rFonts w:ascii="Arial" w:eastAsia="Times New Roman" w:hAnsi="Arial" w:cs="Arial"/>
          <w:color w:val="000000"/>
          <w:sz w:val="24"/>
          <w:szCs w:val="24"/>
          <w:lang w:val="en-US" w:eastAsia="en-US"/>
        </w:rPr>
        <w:br/>
      </w:r>
      <w:r w:rsidRPr="004A5F58">
        <w:rPr>
          <w:rFonts w:ascii="Arial" w:eastAsia="Times New Roman" w:hAnsi="Arial" w:cs="Arial"/>
          <w:sz w:val="18"/>
          <w:szCs w:val="18"/>
        </w:rPr>
        <w:t xml:space="preserve">In theory, the use of sophisticated techniques is emphasized since they maximize value to shareholders. In practice, however, companies, although tending to shift to the formal methods of evaluation, give considerable importance to qualitative factors. Most companies in Asia are guided, one time or other, by three qualitative factors: </w:t>
      </w:r>
    </w:p>
    <w:p w:rsidR="004A5F58" w:rsidRPr="004A5F58" w:rsidRDefault="004A5F58" w:rsidP="004A5F58">
      <w:pPr>
        <w:numPr>
          <w:ilvl w:val="0"/>
          <w:numId w:val="5"/>
        </w:numPr>
        <w:spacing w:before="100" w:beforeAutospacing="1" w:after="100" w:afterAutospacing="1" w:line="240" w:lineRule="auto"/>
        <w:ind w:left="-720"/>
        <w:rPr>
          <w:rFonts w:ascii="Arial" w:eastAsia="Times New Roman" w:hAnsi="Arial" w:cs="Arial"/>
          <w:sz w:val="18"/>
          <w:szCs w:val="18"/>
        </w:rPr>
      </w:pPr>
      <w:r w:rsidRPr="004A5F58">
        <w:rPr>
          <w:rFonts w:ascii="Arial" w:eastAsia="Times New Roman" w:hAnsi="Arial" w:cs="Arial"/>
          <w:sz w:val="18"/>
          <w:szCs w:val="18"/>
        </w:rPr>
        <w:t xml:space="preserve">Urgency </w:t>
      </w:r>
    </w:p>
    <w:p w:rsidR="004A5F58" w:rsidRPr="004A5F58" w:rsidRDefault="004A5F58" w:rsidP="004A5F58">
      <w:pPr>
        <w:numPr>
          <w:ilvl w:val="0"/>
          <w:numId w:val="5"/>
        </w:numPr>
        <w:spacing w:before="100" w:beforeAutospacing="1" w:after="100" w:afterAutospacing="1" w:line="240" w:lineRule="auto"/>
        <w:ind w:left="-720"/>
        <w:rPr>
          <w:rFonts w:ascii="Arial" w:eastAsia="Times New Roman" w:hAnsi="Arial" w:cs="Arial"/>
          <w:sz w:val="18"/>
          <w:szCs w:val="18"/>
        </w:rPr>
      </w:pPr>
      <w:r w:rsidRPr="004A5F58">
        <w:rPr>
          <w:rFonts w:ascii="Arial" w:eastAsia="Times New Roman" w:hAnsi="Arial" w:cs="Arial"/>
          <w:sz w:val="18"/>
          <w:szCs w:val="18"/>
        </w:rPr>
        <w:t xml:space="preserve">Strategy </w:t>
      </w:r>
    </w:p>
    <w:p w:rsidR="004A5F58" w:rsidRPr="004A5F58" w:rsidRDefault="004A5F58" w:rsidP="004A5F58">
      <w:pPr>
        <w:numPr>
          <w:ilvl w:val="0"/>
          <w:numId w:val="5"/>
        </w:numPr>
        <w:spacing w:before="100" w:beforeAutospacing="1" w:after="100" w:afterAutospacing="1" w:line="240" w:lineRule="auto"/>
        <w:ind w:left="-720"/>
        <w:rPr>
          <w:rFonts w:ascii="Arial" w:eastAsia="Times New Roman" w:hAnsi="Arial" w:cs="Arial"/>
          <w:sz w:val="18"/>
          <w:szCs w:val="18"/>
        </w:rPr>
      </w:pPr>
      <w:r w:rsidRPr="004A5F58">
        <w:rPr>
          <w:rFonts w:ascii="Arial" w:eastAsia="Times New Roman" w:hAnsi="Arial" w:cs="Arial"/>
          <w:sz w:val="18"/>
          <w:szCs w:val="18"/>
        </w:rPr>
        <w:t xml:space="preserve">Environment </w:t>
      </w:r>
    </w:p>
    <w:p w:rsidR="004A5F58" w:rsidRPr="004A5F58" w:rsidRDefault="004A5F58" w:rsidP="004A5F58">
      <w:pPr>
        <w:spacing w:before="100" w:beforeAutospacing="1" w:after="100" w:afterAutospacing="1" w:line="240" w:lineRule="auto"/>
        <w:ind w:left="-720"/>
        <w:rPr>
          <w:rFonts w:ascii="Arial" w:eastAsia="Times New Roman" w:hAnsi="Arial" w:cs="Arial"/>
          <w:sz w:val="18"/>
          <w:szCs w:val="18"/>
        </w:rPr>
      </w:pPr>
      <w:r w:rsidRPr="004A5F58">
        <w:rPr>
          <w:rFonts w:ascii="Arial" w:eastAsia="Times New Roman" w:hAnsi="Arial" w:cs="Arial"/>
          <w:sz w:val="18"/>
          <w:szCs w:val="18"/>
        </w:rPr>
        <w:br/>
        <w:t>All investors think that regency is the most important consideration while a large number thinks that strategy plays a significant role. Some investors also consider intuition, security and social considerations as important qualitative factors</w:t>
      </w:r>
      <w:r>
        <w:rPr>
          <w:rFonts w:ascii="Arial" w:eastAsia="Times New Roman" w:hAnsi="Arial" w:cs="Arial"/>
          <w:sz w:val="18"/>
          <w:szCs w:val="18"/>
        </w:rPr>
        <w:t>. Companies and investors in Kenya</w:t>
      </w:r>
      <w:r w:rsidRPr="004A5F58">
        <w:rPr>
          <w:rFonts w:ascii="Arial" w:eastAsia="Times New Roman" w:hAnsi="Arial" w:cs="Arial"/>
          <w:sz w:val="18"/>
          <w:szCs w:val="18"/>
        </w:rPr>
        <w:t xml:space="preserve"> consider qualitative factors like employees’ morals and safety, investor and customer image, or legal matters important in investment analysis. </w:t>
      </w:r>
    </w:p>
    <w:p w:rsidR="004A5F58" w:rsidRPr="004A5F58" w:rsidRDefault="004A5F58" w:rsidP="004A5F58">
      <w:pPr>
        <w:spacing w:before="100" w:beforeAutospacing="1" w:after="100" w:afterAutospacing="1" w:line="240" w:lineRule="auto"/>
        <w:ind w:left="-720"/>
        <w:rPr>
          <w:rFonts w:ascii="Arial" w:eastAsia="Times New Roman" w:hAnsi="Arial" w:cs="Arial"/>
          <w:sz w:val="18"/>
          <w:szCs w:val="18"/>
        </w:rPr>
      </w:pPr>
      <w:r w:rsidRPr="004A5F58">
        <w:rPr>
          <w:rFonts w:ascii="Arial" w:eastAsia="Times New Roman" w:hAnsi="Arial" w:cs="Arial"/>
          <w:sz w:val="18"/>
          <w:szCs w:val="18"/>
        </w:rPr>
        <w:br/>
        <w:t xml:space="preserve">Due to the significance of qualitative factors, judgment seems to play an important role. Some typical response of companies and investors are: </w:t>
      </w:r>
    </w:p>
    <w:p w:rsidR="004A5F58" w:rsidRPr="004A5F58" w:rsidRDefault="004A5F58" w:rsidP="004A5F58">
      <w:pPr>
        <w:numPr>
          <w:ilvl w:val="0"/>
          <w:numId w:val="6"/>
        </w:numPr>
        <w:spacing w:before="100" w:beforeAutospacing="1" w:after="100" w:afterAutospacing="1" w:line="240" w:lineRule="auto"/>
        <w:ind w:left="-720"/>
        <w:rPr>
          <w:rFonts w:ascii="Arial" w:eastAsia="Times New Roman" w:hAnsi="Arial" w:cs="Arial"/>
          <w:sz w:val="18"/>
          <w:szCs w:val="18"/>
        </w:rPr>
      </w:pPr>
      <w:r w:rsidRPr="004A5F58">
        <w:rPr>
          <w:rFonts w:ascii="Arial" w:eastAsia="Times New Roman" w:hAnsi="Arial" w:cs="Arial"/>
          <w:sz w:val="18"/>
          <w:szCs w:val="18"/>
        </w:rPr>
        <w:t xml:space="preserve">Vision of judgment of the future plays an important role. Factors like market potential, possibility of technology change, trend of government policies etc., which are judgmental, play important role. </w:t>
      </w:r>
    </w:p>
    <w:p w:rsidR="004A5F58" w:rsidRPr="004A5F58" w:rsidRDefault="004A5F58" w:rsidP="004A5F58">
      <w:pPr>
        <w:numPr>
          <w:ilvl w:val="0"/>
          <w:numId w:val="6"/>
        </w:numPr>
        <w:spacing w:before="100" w:beforeAutospacing="1" w:after="100" w:afterAutospacing="1" w:line="240" w:lineRule="auto"/>
        <w:ind w:left="-720"/>
        <w:rPr>
          <w:rFonts w:ascii="Arial" w:eastAsia="Times New Roman" w:hAnsi="Arial" w:cs="Arial"/>
          <w:sz w:val="18"/>
          <w:szCs w:val="18"/>
        </w:rPr>
      </w:pPr>
      <w:r w:rsidRPr="004A5F58">
        <w:rPr>
          <w:rFonts w:ascii="Arial" w:eastAsia="Times New Roman" w:hAnsi="Arial" w:cs="Arial"/>
          <w:sz w:val="18"/>
          <w:szCs w:val="18"/>
        </w:rPr>
        <w:t xml:space="preserve">The opportunities and constraints of selecting a project, its evaluation of qualitative and quantitative factors, and the weight age on every bit of pros and cons, cost-benefit analysis, etc., are essential elements of judgment. Thus, it is inevitable for any management decision. </w:t>
      </w:r>
    </w:p>
    <w:p w:rsidR="004A5F58" w:rsidRPr="004A5F58" w:rsidRDefault="004A5F58" w:rsidP="004A5F58">
      <w:pPr>
        <w:numPr>
          <w:ilvl w:val="0"/>
          <w:numId w:val="6"/>
        </w:numPr>
        <w:spacing w:before="100" w:beforeAutospacing="1" w:after="100" w:afterAutospacing="1" w:line="240" w:lineRule="auto"/>
        <w:ind w:left="-720"/>
        <w:rPr>
          <w:rFonts w:ascii="Arial" w:eastAsia="Times New Roman" w:hAnsi="Arial" w:cs="Arial"/>
          <w:sz w:val="18"/>
          <w:szCs w:val="18"/>
        </w:rPr>
      </w:pPr>
      <w:r w:rsidRPr="004A5F58">
        <w:rPr>
          <w:rFonts w:ascii="Arial" w:eastAsia="Times New Roman" w:hAnsi="Arial" w:cs="Arial"/>
          <w:sz w:val="18"/>
          <w:szCs w:val="18"/>
        </w:rPr>
        <w:t xml:space="preserve">Judgment and intuition should definitely be used when a decision of choice has to be made between two or more, closely beneficial projects, or when it involves changing the long-term strategy of the company. For routine matters, liquidity and profits should be preferred over judgment. </w:t>
      </w:r>
    </w:p>
    <w:p w:rsidR="004A5F58" w:rsidRPr="004A5F58" w:rsidRDefault="004A5F58" w:rsidP="004A5F58">
      <w:pPr>
        <w:numPr>
          <w:ilvl w:val="0"/>
          <w:numId w:val="6"/>
        </w:numPr>
        <w:spacing w:before="100" w:beforeAutospacing="1" w:after="100" w:afterAutospacing="1" w:line="240" w:lineRule="auto"/>
        <w:ind w:left="-720"/>
        <w:rPr>
          <w:rFonts w:ascii="Arial" w:eastAsia="Times New Roman" w:hAnsi="Arial" w:cs="Arial"/>
          <w:sz w:val="18"/>
          <w:szCs w:val="18"/>
        </w:rPr>
      </w:pPr>
      <w:r w:rsidRPr="004A5F58">
        <w:rPr>
          <w:rFonts w:ascii="Arial" w:eastAsia="Times New Roman" w:hAnsi="Arial" w:cs="Arial"/>
          <w:sz w:val="18"/>
          <w:szCs w:val="18"/>
        </w:rPr>
        <w:lastRenderedPageBreak/>
        <w:t>It (judgment) plays a very important role in determining the reliability of figures with the help of qualitative methods as well as other known financial matters affecting the projects.</w:t>
      </w:r>
      <w:r w:rsidRPr="004A5F58">
        <w:rPr>
          <w:rFonts w:ascii="Arial" w:eastAsia="Times New Roman" w:hAnsi="Arial" w:cs="Arial"/>
          <w:sz w:val="18"/>
          <w:szCs w:val="18"/>
        </w:rPr>
        <w:br/>
        <w:t xml:space="preserve">We feel that what businessmen call intuition or (simply) judgment is in fact informed judgment based on experience. A firm growing in a favorable economic environment will be able to identify profitable opportunities without making net present value or internal rate of return computation. Businessmen often act more intelligently than they talk. </w:t>
      </w:r>
    </w:p>
    <w:p w:rsidR="004A5F58" w:rsidRDefault="004A5F58" w:rsidP="004A5F58">
      <w:pPr>
        <w:spacing w:after="0" w:line="240" w:lineRule="auto"/>
        <w:ind w:left="-720"/>
        <w:outlineLvl w:val="1"/>
        <w:rPr>
          <w:rFonts w:ascii="Arial" w:eastAsia="Times New Roman" w:hAnsi="Arial" w:cs="Arial"/>
          <w:b/>
          <w:bCs/>
          <w:sz w:val="25"/>
          <w:szCs w:val="25"/>
        </w:rPr>
      </w:pPr>
    </w:p>
    <w:p w:rsidR="00671A30" w:rsidRPr="004515C4" w:rsidRDefault="00671A30" w:rsidP="004A5F58">
      <w:pPr>
        <w:spacing w:after="0" w:line="240" w:lineRule="auto"/>
        <w:ind w:left="-720"/>
        <w:outlineLvl w:val="1"/>
        <w:rPr>
          <w:rFonts w:ascii="Arial" w:eastAsia="Times New Roman" w:hAnsi="Arial" w:cs="Arial"/>
          <w:b/>
          <w:bCs/>
          <w:sz w:val="25"/>
          <w:szCs w:val="25"/>
        </w:rPr>
      </w:pPr>
      <w:r w:rsidRPr="004515C4">
        <w:rPr>
          <w:rFonts w:ascii="Arial" w:eastAsia="Times New Roman" w:hAnsi="Arial" w:cs="Arial"/>
          <w:b/>
          <w:bCs/>
          <w:sz w:val="25"/>
          <w:szCs w:val="25"/>
        </w:rPr>
        <w:t>Another Application of a Present Value Calculation</w:t>
      </w:r>
    </w:p>
    <w:p w:rsidR="00671A30" w:rsidRPr="004515C4" w:rsidRDefault="00671A30" w:rsidP="004A5F58">
      <w:pPr>
        <w:shd w:val="clear" w:color="auto" w:fill="FFFFFF"/>
        <w:spacing w:after="0" w:line="235" w:lineRule="atLeast"/>
        <w:ind w:left="-720"/>
        <w:rPr>
          <w:rFonts w:ascii="Arial" w:eastAsia="Times New Roman" w:hAnsi="Arial" w:cs="Arial"/>
          <w:sz w:val="18"/>
          <w:szCs w:val="18"/>
        </w:rPr>
      </w:pPr>
      <w:r w:rsidRPr="004515C4">
        <w:rPr>
          <w:rFonts w:ascii="Arial" w:eastAsia="Times New Roman" w:hAnsi="Arial" w:cs="Arial"/>
          <w:sz w:val="18"/>
          <w:szCs w:val="18"/>
        </w:rPr>
        <w:t xml:space="preserve">A savvy company (or individual) will use the net present value method to help determine the amount it should spend to acquire another business. For example, assume that you wish to purchase </w:t>
      </w:r>
      <w:r w:rsidR="000767F6" w:rsidRPr="004515C4">
        <w:rPr>
          <w:rFonts w:ascii="Arial" w:eastAsia="Times New Roman" w:hAnsi="Arial" w:cs="Arial"/>
          <w:sz w:val="18"/>
          <w:szCs w:val="18"/>
        </w:rPr>
        <w:t>Kenya orchads</w:t>
      </w:r>
      <w:r w:rsidRPr="004515C4">
        <w:rPr>
          <w:rFonts w:ascii="Arial" w:eastAsia="Times New Roman" w:hAnsi="Arial" w:cs="Arial"/>
          <w:sz w:val="18"/>
          <w:szCs w:val="18"/>
        </w:rPr>
        <w:t xml:space="preserve"> You expect that the </w:t>
      </w:r>
      <w:r w:rsidR="000767F6" w:rsidRPr="004515C4">
        <w:rPr>
          <w:rFonts w:ascii="Arial" w:eastAsia="Times New Roman" w:hAnsi="Arial" w:cs="Arial"/>
          <w:sz w:val="18"/>
          <w:szCs w:val="18"/>
        </w:rPr>
        <w:t xml:space="preserve">Kenya </w:t>
      </w:r>
      <w:proofErr w:type="spellStart"/>
      <w:r w:rsidR="000767F6" w:rsidRPr="004515C4">
        <w:rPr>
          <w:rFonts w:ascii="Arial" w:eastAsia="Times New Roman" w:hAnsi="Arial" w:cs="Arial"/>
          <w:sz w:val="18"/>
          <w:szCs w:val="18"/>
        </w:rPr>
        <w:t>orchads</w:t>
      </w:r>
      <w:proofErr w:type="spellEnd"/>
      <w:r w:rsidRPr="004515C4">
        <w:rPr>
          <w:rFonts w:ascii="Arial" w:eastAsia="Times New Roman" w:hAnsi="Arial" w:cs="Arial"/>
          <w:sz w:val="18"/>
          <w:szCs w:val="18"/>
        </w:rPr>
        <w:t xml:space="preserve"> will generate </w:t>
      </w:r>
      <w:r w:rsidR="008A624F">
        <w:rPr>
          <w:rFonts w:ascii="Arial" w:eastAsia="Times New Roman" w:hAnsi="Arial" w:cs="Arial"/>
          <w:sz w:val="18"/>
          <w:szCs w:val="18"/>
        </w:rPr>
        <w:t xml:space="preserve">a </w:t>
      </w:r>
      <w:r w:rsidRPr="004515C4">
        <w:rPr>
          <w:rFonts w:ascii="Arial" w:eastAsia="Times New Roman" w:hAnsi="Arial" w:cs="Arial"/>
          <w:sz w:val="18"/>
          <w:szCs w:val="18"/>
        </w:rPr>
        <w:t>positive net cash flows after tax of Ksh.15</w:t>
      </w:r>
      <w:proofErr w:type="gramStart"/>
      <w:r w:rsidRPr="004515C4">
        <w:rPr>
          <w:rFonts w:ascii="Arial" w:eastAsia="Times New Roman" w:hAnsi="Arial" w:cs="Arial"/>
          <w:sz w:val="18"/>
          <w:szCs w:val="18"/>
        </w:rPr>
        <w:t>,000</w:t>
      </w:r>
      <w:proofErr w:type="gramEnd"/>
      <w:r w:rsidRPr="004515C4">
        <w:rPr>
          <w:rFonts w:ascii="Arial" w:eastAsia="Times New Roman" w:hAnsi="Arial" w:cs="Arial"/>
          <w:sz w:val="18"/>
          <w:szCs w:val="18"/>
        </w:rPr>
        <w:t xml:space="preserve"> per year for ten years, at which time you plan to liquidate or sell the company for Ksh.40,000 after taxes. To cover the risk associated with your investment in </w:t>
      </w:r>
      <w:r w:rsidR="000767F6" w:rsidRPr="004515C4">
        <w:rPr>
          <w:rFonts w:ascii="Arial" w:eastAsia="Times New Roman" w:hAnsi="Arial" w:cs="Arial"/>
          <w:sz w:val="18"/>
          <w:szCs w:val="18"/>
        </w:rPr>
        <w:t>Kenya orchads</w:t>
      </w:r>
      <w:r w:rsidRPr="004515C4">
        <w:rPr>
          <w:rFonts w:ascii="Arial" w:eastAsia="Times New Roman" w:hAnsi="Arial" w:cs="Arial"/>
          <w:sz w:val="18"/>
          <w:szCs w:val="18"/>
        </w:rPr>
        <w:t xml:space="preserve"> you need to earn 14%. With that in mind, what is the maximum amount you should pay today for </w:t>
      </w:r>
      <w:r w:rsidR="000767F6" w:rsidRPr="004515C4">
        <w:rPr>
          <w:rFonts w:ascii="Arial" w:eastAsia="Times New Roman" w:hAnsi="Arial" w:cs="Arial"/>
          <w:sz w:val="18"/>
          <w:szCs w:val="18"/>
        </w:rPr>
        <w:t>Kenya orchads</w:t>
      </w:r>
      <w:r w:rsidRPr="004515C4">
        <w:rPr>
          <w:rFonts w:ascii="Arial" w:eastAsia="Times New Roman" w:hAnsi="Arial" w:cs="Arial"/>
          <w:sz w:val="18"/>
          <w:szCs w:val="18"/>
        </w:rPr>
        <w:t>?</w:t>
      </w:r>
    </w:p>
    <w:p w:rsidR="00671A30" w:rsidRPr="004515C4" w:rsidRDefault="00671A30" w:rsidP="004A5F58">
      <w:pPr>
        <w:shd w:val="clear" w:color="auto" w:fill="FFFFFF"/>
        <w:spacing w:after="0" w:line="240" w:lineRule="auto"/>
        <w:ind w:left="-720"/>
        <w:rPr>
          <w:rFonts w:ascii="Arial" w:eastAsia="Times New Roman" w:hAnsi="Arial" w:cs="Arial"/>
          <w:sz w:val="18"/>
          <w:szCs w:val="18"/>
        </w:rPr>
      </w:pPr>
    </w:p>
    <w:p w:rsidR="005248C7" w:rsidRPr="004515C4" w:rsidRDefault="00671A30" w:rsidP="004A5F58">
      <w:pPr>
        <w:shd w:val="clear" w:color="auto" w:fill="FFFFFF"/>
        <w:spacing w:after="0" w:line="235" w:lineRule="atLeast"/>
        <w:ind w:left="-720"/>
        <w:rPr>
          <w:rFonts w:ascii="Arial" w:eastAsia="Times New Roman" w:hAnsi="Arial" w:cs="Arial"/>
          <w:sz w:val="18"/>
          <w:szCs w:val="18"/>
        </w:rPr>
      </w:pPr>
      <w:r w:rsidRPr="004515C4">
        <w:rPr>
          <w:rFonts w:ascii="Arial" w:eastAsia="Times New Roman" w:hAnsi="Arial" w:cs="Arial"/>
          <w:sz w:val="18"/>
          <w:szCs w:val="18"/>
        </w:rPr>
        <w:t xml:space="preserve">The </w:t>
      </w:r>
      <w:hyperlink r:id="rId14" w:history="1">
        <w:r w:rsidRPr="004515C4">
          <w:rPr>
            <w:rFonts w:ascii="Arial" w:eastAsia="Times New Roman" w:hAnsi="Arial" w:cs="Arial"/>
            <w:b/>
            <w:bCs/>
            <w:sz w:val="18"/>
            <w:szCs w:val="18"/>
            <w:u w:val="single"/>
          </w:rPr>
          <w:t>net present value</w:t>
        </w:r>
      </w:hyperlink>
      <w:r w:rsidRPr="004515C4">
        <w:rPr>
          <w:rFonts w:ascii="Arial" w:eastAsia="Times New Roman" w:hAnsi="Arial" w:cs="Arial"/>
          <w:sz w:val="18"/>
          <w:szCs w:val="18"/>
        </w:rPr>
        <w:t xml:space="preserve"> method will give us the amount to be paid in order to earn 14%. The following table shows the required calculations:</w:t>
      </w:r>
    </w:p>
    <w:p w:rsidR="00671A30" w:rsidRPr="004515C4" w:rsidRDefault="00671A30" w:rsidP="004A5F58">
      <w:pPr>
        <w:shd w:val="clear" w:color="auto" w:fill="FFFFFF"/>
        <w:spacing w:after="100" w:line="240" w:lineRule="auto"/>
        <w:ind w:left="-720"/>
        <w:rPr>
          <w:rFonts w:ascii="Arial" w:eastAsia="Times New Roman" w:hAnsi="Arial" w:cs="Arial"/>
          <w:sz w:val="18"/>
          <w:szCs w:val="18"/>
        </w:rPr>
      </w:pPr>
    </w:p>
    <w:tbl>
      <w:tblPr>
        <w:tblW w:w="7021" w:type="dxa"/>
        <w:tblCellSpacing w:w="0" w:type="dxa"/>
        <w:tblBorders>
          <w:top w:val="outset" w:sz="6" w:space="0" w:color="auto"/>
          <w:left w:val="outset" w:sz="6" w:space="0" w:color="auto"/>
          <w:bottom w:val="outset" w:sz="6" w:space="0" w:color="auto"/>
          <w:right w:val="outset" w:sz="6" w:space="0" w:color="auto"/>
        </w:tblBorders>
        <w:shd w:val="clear" w:color="auto" w:fill="FEFCE2"/>
        <w:tblLayout w:type="fixed"/>
        <w:tblCellMar>
          <w:top w:w="60" w:type="dxa"/>
          <w:left w:w="60" w:type="dxa"/>
          <w:bottom w:w="60" w:type="dxa"/>
          <w:right w:w="60" w:type="dxa"/>
        </w:tblCellMar>
        <w:tblLook w:val="04A0"/>
      </w:tblPr>
      <w:tblGrid>
        <w:gridCol w:w="2485"/>
        <w:gridCol w:w="4536"/>
      </w:tblGrid>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bottom"/>
            <w:hideMark/>
          </w:tcPr>
          <w:p w:rsidR="008A624F" w:rsidRPr="004515C4" w:rsidRDefault="008A624F" w:rsidP="004A5F58">
            <w:pPr>
              <w:spacing w:after="0" w:line="240" w:lineRule="auto"/>
              <w:ind w:left="-720"/>
              <w:rPr>
                <w:rFonts w:ascii="Arial" w:eastAsia="Times New Roman" w:hAnsi="Arial" w:cs="Arial"/>
                <w:sz w:val="18"/>
                <w:szCs w:val="18"/>
              </w:rPr>
            </w:pPr>
          </w:p>
        </w:tc>
        <w:tc>
          <w:tcPr>
            <w:tcW w:w="4536" w:type="dxa"/>
            <w:tcBorders>
              <w:top w:val="outset" w:sz="6" w:space="0" w:color="auto"/>
              <w:left w:val="outset" w:sz="6" w:space="0" w:color="auto"/>
              <w:bottom w:val="outset" w:sz="6" w:space="0" w:color="auto"/>
              <w:right w:val="outset" w:sz="6" w:space="0" w:color="auto"/>
            </w:tcBorders>
            <w:shd w:val="clear" w:color="auto" w:fill="FEFCE2"/>
            <w:vAlign w:val="bottom"/>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Net Cash Flows Before Discounting</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1</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2</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3</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4</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5</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6</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7</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8</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9</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10</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15,000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sz w:val="18"/>
                <w:szCs w:val="18"/>
              </w:rPr>
              <w:t>Year 10 sale</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r w:rsidRPr="004515C4">
              <w:rPr>
                <w:rFonts w:ascii="Arial" w:eastAsia="Times New Roman" w:hAnsi="Arial" w:cs="Arial"/>
                <w:sz w:val="18"/>
                <w:szCs w:val="18"/>
              </w:rPr>
              <w:t>40,000</w:t>
            </w:r>
          </w:p>
        </w:tc>
      </w:tr>
      <w:tr w:rsidR="008A624F" w:rsidRPr="004515C4" w:rsidTr="005248C7">
        <w:trPr>
          <w:tblCellSpacing w:w="0" w:type="dxa"/>
        </w:trPr>
        <w:tc>
          <w:tcPr>
            <w:tcW w:w="2485"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center"/>
              <w:rPr>
                <w:rFonts w:ascii="Arial" w:eastAsia="Times New Roman" w:hAnsi="Arial" w:cs="Arial"/>
                <w:sz w:val="18"/>
                <w:szCs w:val="18"/>
              </w:rPr>
            </w:pPr>
            <w:r w:rsidRPr="004515C4">
              <w:rPr>
                <w:rFonts w:ascii="Arial" w:eastAsia="Times New Roman" w:hAnsi="Arial" w:cs="Arial"/>
                <w:b/>
                <w:bCs/>
                <w:sz w:val="18"/>
                <w:szCs w:val="18"/>
              </w:rPr>
              <w:t>Net Present Value</w:t>
            </w:r>
          </w:p>
        </w:tc>
        <w:tc>
          <w:tcPr>
            <w:tcW w:w="4536" w:type="dxa"/>
            <w:tcBorders>
              <w:top w:val="outset" w:sz="6" w:space="0" w:color="auto"/>
              <w:left w:val="outset" w:sz="6" w:space="0" w:color="auto"/>
              <w:bottom w:val="outset" w:sz="6" w:space="0" w:color="auto"/>
              <w:right w:val="outset" w:sz="6" w:space="0" w:color="auto"/>
            </w:tcBorders>
            <w:shd w:val="clear" w:color="auto" w:fill="FEFCE2"/>
            <w:vAlign w:val="center"/>
            <w:hideMark/>
          </w:tcPr>
          <w:p w:rsidR="008A624F" w:rsidRPr="004515C4" w:rsidRDefault="008A624F" w:rsidP="004A5F58">
            <w:pPr>
              <w:spacing w:after="0" w:line="240" w:lineRule="auto"/>
              <w:ind w:left="-720"/>
              <w:jc w:val="right"/>
              <w:rPr>
                <w:rFonts w:ascii="Arial" w:eastAsia="Times New Roman" w:hAnsi="Arial" w:cs="Arial"/>
                <w:sz w:val="18"/>
                <w:szCs w:val="18"/>
              </w:rPr>
            </w:pPr>
          </w:p>
        </w:tc>
      </w:tr>
    </w:tbl>
    <w:p w:rsidR="00671A30" w:rsidRPr="004515C4" w:rsidRDefault="00671A30" w:rsidP="004A5F58">
      <w:pPr>
        <w:shd w:val="clear" w:color="auto" w:fill="FFFFFF"/>
        <w:spacing w:after="0" w:line="240" w:lineRule="auto"/>
        <w:ind w:left="-720"/>
        <w:rPr>
          <w:rFonts w:ascii="Arial" w:eastAsia="Times New Roman" w:hAnsi="Arial" w:cs="Arial"/>
          <w:sz w:val="18"/>
          <w:szCs w:val="18"/>
        </w:rPr>
      </w:pPr>
    </w:p>
    <w:p w:rsidR="00671A30" w:rsidRPr="004515C4" w:rsidRDefault="00671A30" w:rsidP="004A5F58">
      <w:pPr>
        <w:shd w:val="clear" w:color="auto" w:fill="FFFFFF"/>
        <w:spacing w:after="0" w:line="235" w:lineRule="atLeast"/>
        <w:ind w:left="-720"/>
        <w:rPr>
          <w:rFonts w:ascii="Arial" w:eastAsia="Times New Roman" w:hAnsi="Arial" w:cs="Arial"/>
          <w:sz w:val="18"/>
          <w:szCs w:val="18"/>
        </w:rPr>
      </w:pPr>
      <w:r w:rsidRPr="004515C4">
        <w:rPr>
          <w:rFonts w:ascii="Arial" w:eastAsia="Times New Roman" w:hAnsi="Arial" w:cs="Arial"/>
          <w:sz w:val="18"/>
          <w:szCs w:val="18"/>
        </w:rPr>
        <w:t xml:space="preserve">If you purchase the </w:t>
      </w:r>
      <w:r w:rsidR="000767F6" w:rsidRPr="004515C4">
        <w:rPr>
          <w:rFonts w:ascii="Arial" w:eastAsia="Times New Roman" w:hAnsi="Arial" w:cs="Arial"/>
          <w:sz w:val="18"/>
          <w:szCs w:val="18"/>
        </w:rPr>
        <w:t xml:space="preserve">Kenya </w:t>
      </w:r>
      <w:r w:rsidR="00CA77CD" w:rsidRPr="004515C4">
        <w:rPr>
          <w:rFonts w:ascii="Arial" w:eastAsia="Times New Roman" w:hAnsi="Arial" w:cs="Arial"/>
          <w:sz w:val="18"/>
          <w:szCs w:val="18"/>
        </w:rPr>
        <w:t>orchards</w:t>
      </w:r>
      <w:r w:rsidRPr="004515C4">
        <w:rPr>
          <w:rFonts w:ascii="Arial" w:eastAsia="Times New Roman" w:hAnsi="Arial" w:cs="Arial"/>
          <w:sz w:val="18"/>
          <w:szCs w:val="18"/>
        </w:rPr>
        <w:t xml:space="preserve"> for Ksh.8</w:t>
      </w:r>
      <w:r w:rsidR="00CA77CD">
        <w:rPr>
          <w:rFonts w:ascii="Arial" w:eastAsia="Times New Roman" w:hAnsi="Arial" w:cs="Arial"/>
          <w:sz w:val="18"/>
          <w:szCs w:val="18"/>
        </w:rPr>
        <w:t>8</w:t>
      </w:r>
      <w:proofErr w:type="gramStart"/>
      <w:r w:rsidR="00CA77CD">
        <w:rPr>
          <w:rFonts w:ascii="Arial" w:eastAsia="Times New Roman" w:hAnsi="Arial" w:cs="Arial"/>
          <w:sz w:val="18"/>
          <w:szCs w:val="18"/>
        </w:rPr>
        <w:t>,380</w:t>
      </w:r>
      <w:r w:rsidR="005F6E24">
        <w:rPr>
          <w:rFonts w:ascii="Arial" w:eastAsia="Times New Roman" w:hAnsi="Arial" w:cs="Arial"/>
          <w:sz w:val="18"/>
          <w:szCs w:val="18"/>
        </w:rPr>
        <w:t>.00</w:t>
      </w:r>
      <w:proofErr w:type="gramEnd"/>
      <w:r w:rsidRPr="004515C4">
        <w:rPr>
          <w:rFonts w:ascii="Arial" w:eastAsia="Times New Roman" w:hAnsi="Arial" w:cs="Arial"/>
          <w:sz w:val="18"/>
          <w:szCs w:val="18"/>
        </w:rPr>
        <w:t xml:space="preserve"> you will earn exactly a 14% return if the cash flows occur as estimated. If you pay more than Ksh.88,380 you will earn less than a 14% return; a price of less than Ksh.88,380 means you will earn more than a 14% return.</w:t>
      </w:r>
    </w:p>
    <w:p w:rsidR="00671A30" w:rsidRPr="004515C4" w:rsidRDefault="00671A30" w:rsidP="004A5F58">
      <w:pPr>
        <w:shd w:val="clear" w:color="auto" w:fill="FFFFFF"/>
        <w:spacing w:after="0" w:line="240" w:lineRule="auto"/>
        <w:ind w:left="-720"/>
        <w:rPr>
          <w:rFonts w:ascii="Arial" w:eastAsia="Times New Roman" w:hAnsi="Arial" w:cs="Arial"/>
          <w:sz w:val="18"/>
          <w:szCs w:val="18"/>
        </w:rPr>
      </w:pPr>
    </w:p>
    <w:p w:rsidR="00671A30" w:rsidRPr="004515C4" w:rsidRDefault="00671A30" w:rsidP="004A5F58">
      <w:pPr>
        <w:shd w:val="clear" w:color="auto" w:fill="FFFFFF"/>
        <w:spacing w:after="0" w:line="235" w:lineRule="atLeast"/>
        <w:ind w:left="-720"/>
        <w:rPr>
          <w:rFonts w:ascii="Arial" w:eastAsia="Times New Roman" w:hAnsi="Arial" w:cs="Arial"/>
          <w:sz w:val="18"/>
          <w:szCs w:val="18"/>
        </w:rPr>
      </w:pPr>
      <w:r w:rsidRPr="004515C4">
        <w:rPr>
          <w:rFonts w:ascii="Arial" w:eastAsia="Times New Roman" w:hAnsi="Arial" w:cs="Arial"/>
          <w:sz w:val="18"/>
          <w:szCs w:val="18"/>
        </w:rPr>
        <w:t>To learn the rate that you will earn on a specific price, you can compute the internal rate of return. This is done by finding the rate that will discount the future cash amounts back to the price.</w:t>
      </w:r>
    </w:p>
    <w:p w:rsidR="00671A30" w:rsidRPr="004515C4" w:rsidRDefault="00671A30" w:rsidP="00FB13A4">
      <w:pPr>
        <w:shd w:val="clear" w:color="auto" w:fill="FFFFFF"/>
        <w:spacing w:after="240" w:line="240" w:lineRule="auto"/>
        <w:ind w:left="-709"/>
        <w:rPr>
          <w:rFonts w:ascii="Arial" w:eastAsia="Times New Roman" w:hAnsi="Arial" w:cs="Arial"/>
          <w:sz w:val="18"/>
          <w:szCs w:val="18"/>
        </w:rPr>
      </w:pPr>
    </w:p>
    <w:p w:rsidR="00EB25E8" w:rsidRPr="004515C4" w:rsidRDefault="00EB25E8" w:rsidP="00FB13A4">
      <w:pPr>
        <w:ind w:left="-709"/>
      </w:pPr>
    </w:p>
    <w:sectPr w:rsidR="00EB25E8" w:rsidRPr="004515C4" w:rsidSect="00FB13A4">
      <w:pgSz w:w="11906" w:h="16838"/>
      <w:pgMar w:top="709" w:right="70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9pt;height:7.6pt" o:bullet="t">
        <v:imagedata r:id="rId1" o:title="arrowlist"/>
      </v:shape>
    </w:pict>
  </w:numPicBullet>
  <w:numPicBullet w:numPicBulletId="1">
    <w:pict>
      <v:shape id="_x0000_i1044" type="#_x0000_t75" style="width:3in;height:3in" o:bullet="t"/>
    </w:pict>
  </w:numPicBullet>
  <w:abstractNum w:abstractNumId="0">
    <w:nsid w:val="142D46E2"/>
    <w:multiLevelType w:val="multilevel"/>
    <w:tmpl w:val="1E84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27381"/>
    <w:multiLevelType w:val="multilevel"/>
    <w:tmpl w:val="B420AF1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11B5F"/>
    <w:multiLevelType w:val="hybridMultilevel"/>
    <w:tmpl w:val="06786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AB3708"/>
    <w:multiLevelType w:val="multilevel"/>
    <w:tmpl w:val="E9AA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C15C08"/>
    <w:multiLevelType w:val="multilevel"/>
    <w:tmpl w:val="DBEEF6A4"/>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9A2668"/>
    <w:multiLevelType w:val="multilevel"/>
    <w:tmpl w:val="2CFE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671A30"/>
    <w:rsid w:val="0001425C"/>
    <w:rsid w:val="00030EB0"/>
    <w:rsid w:val="00031B34"/>
    <w:rsid w:val="000767F6"/>
    <w:rsid w:val="00085BF5"/>
    <w:rsid w:val="000E5179"/>
    <w:rsid w:val="001A3E7B"/>
    <w:rsid w:val="00213AAC"/>
    <w:rsid w:val="00277F62"/>
    <w:rsid w:val="003030E0"/>
    <w:rsid w:val="003D556C"/>
    <w:rsid w:val="004445B5"/>
    <w:rsid w:val="004515C4"/>
    <w:rsid w:val="004A5F58"/>
    <w:rsid w:val="004E4255"/>
    <w:rsid w:val="005248C7"/>
    <w:rsid w:val="00566101"/>
    <w:rsid w:val="00595722"/>
    <w:rsid w:val="005B477F"/>
    <w:rsid w:val="005F6E24"/>
    <w:rsid w:val="006275F9"/>
    <w:rsid w:val="00630E07"/>
    <w:rsid w:val="00632FBE"/>
    <w:rsid w:val="00653CD2"/>
    <w:rsid w:val="00671A30"/>
    <w:rsid w:val="006D2309"/>
    <w:rsid w:val="007A3FD7"/>
    <w:rsid w:val="00807089"/>
    <w:rsid w:val="00815D3B"/>
    <w:rsid w:val="00842430"/>
    <w:rsid w:val="008578AF"/>
    <w:rsid w:val="008A624F"/>
    <w:rsid w:val="008F6657"/>
    <w:rsid w:val="00900EA5"/>
    <w:rsid w:val="00944738"/>
    <w:rsid w:val="00974D61"/>
    <w:rsid w:val="00990AE2"/>
    <w:rsid w:val="00A31F2A"/>
    <w:rsid w:val="00B51816"/>
    <w:rsid w:val="00B71855"/>
    <w:rsid w:val="00BB3371"/>
    <w:rsid w:val="00C17645"/>
    <w:rsid w:val="00CA77CD"/>
    <w:rsid w:val="00D40604"/>
    <w:rsid w:val="00E03E2B"/>
    <w:rsid w:val="00EA0B05"/>
    <w:rsid w:val="00EB25E8"/>
    <w:rsid w:val="00F14A2C"/>
    <w:rsid w:val="00F833B4"/>
    <w:rsid w:val="00FB1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3B4"/>
  </w:style>
  <w:style w:type="paragraph" w:styleId="Heading2">
    <w:name w:val="heading 2"/>
    <w:basedOn w:val="Normal"/>
    <w:link w:val="Heading2Char"/>
    <w:uiPriority w:val="9"/>
    <w:qFormat/>
    <w:rsid w:val="00671A30"/>
    <w:pPr>
      <w:spacing w:after="0" w:line="240" w:lineRule="auto"/>
      <w:outlineLvl w:val="1"/>
    </w:pPr>
    <w:rPr>
      <w:rFonts w:ascii="Times New Roman" w:eastAsia="Times New Roman" w:hAnsi="Times New Roman" w:cs="Times New Roman"/>
      <w:b/>
      <w:bCs/>
      <w:color w:val="FFFFFF"/>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A30"/>
    <w:rPr>
      <w:rFonts w:ascii="Times New Roman" w:eastAsia="Times New Roman" w:hAnsi="Times New Roman" w:cs="Times New Roman"/>
      <w:b/>
      <w:bCs/>
      <w:color w:val="FFFFFF"/>
      <w:sz w:val="25"/>
      <w:szCs w:val="25"/>
    </w:rPr>
  </w:style>
  <w:style w:type="character" w:styleId="Hyperlink">
    <w:name w:val="Hyperlink"/>
    <w:basedOn w:val="DefaultParagraphFont"/>
    <w:uiPriority w:val="99"/>
    <w:semiHidden/>
    <w:unhideWhenUsed/>
    <w:rsid w:val="00671A30"/>
    <w:rPr>
      <w:color w:val="0000FF"/>
      <w:u w:val="single"/>
    </w:rPr>
  </w:style>
  <w:style w:type="paragraph" w:styleId="NormalWeb">
    <w:name w:val="Normal (Web)"/>
    <w:basedOn w:val="Normal"/>
    <w:uiPriority w:val="99"/>
    <w:semiHidden/>
    <w:unhideWhenUsed/>
    <w:rsid w:val="00671A30"/>
    <w:pPr>
      <w:spacing w:after="0" w:line="235" w:lineRule="atLeast"/>
    </w:pPr>
    <w:rPr>
      <w:rFonts w:ascii="Arial" w:eastAsia="Times New Roman" w:hAnsi="Arial" w:cs="Arial"/>
      <w:color w:val="000000"/>
      <w:sz w:val="18"/>
      <w:szCs w:val="18"/>
    </w:rPr>
  </w:style>
  <w:style w:type="character" w:customStyle="1" w:styleId="doublebottom1">
    <w:name w:val="doublebottom1"/>
    <w:basedOn w:val="DefaultParagraphFont"/>
    <w:rsid w:val="00671A30"/>
  </w:style>
  <w:style w:type="paragraph" w:styleId="BalloonText">
    <w:name w:val="Balloon Text"/>
    <w:basedOn w:val="Normal"/>
    <w:link w:val="BalloonTextChar"/>
    <w:uiPriority w:val="99"/>
    <w:semiHidden/>
    <w:unhideWhenUsed/>
    <w:rsid w:val="00671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A30"/>
    <w:rPr>
      <w:rFonts w:ascii="Tahoma" w:hAnsi="Tahoma" w:cs="Tahoma"/>
      <w:sz w:val="16"/>
      <w:szCs w:val="16"/>
    </w:rPr>
  </w:style>
  <w:style w:type="paragraph" w:styleId="ListParagraph">
    <w:name w:val="List Paragraph"/>
    <w:basedOn w:val="Normal"/>
    <w:uiPriority w:val="34"/>
    <w:qFormat/>
    <w:rsid w:val="004515C4"/>
    <w:pPr>
      <w:ind w:left="720"/>
      <w:contextualSpacing/>
    </w:pPr>
  </w:style>
  <w:style w:type="character" w:styleId="Strong">
    <w:name w:val="Strong"/>
    <w:basedOn w:val="DefaultParagraphFont"/>
    <w:uiPriority w:val="22"/>
    <w:qFormat/>
    <w:rsid w:val="004A5F58"/>
    <w:rPr>
      <w:b/>
      <w:bCs/>
    </w:rPr>
  </w:style>
</w:styles>
</file>

<file path=word/webSettings.xml><?xml version="1.0" encoding="utf-8"?>
<w:webSettings xmlns:r="http://schemas.openxmlformats.org/officeDocument/2006/relationships" xmlns:w="http://schemas.openxmlformats.org/wordprocessingml/2006/main">
  <w:divs>
    <w:div w:id="617372858">
      <w:bodyDiv w:val="1"/>
      <w:marLeft w:val="0"/>
      <w:marRight w:val="0"/>
      <w:marTop w:val="0"/>
      <w:marBottom w:val="0"/>
      <w:divBdr>
        <w:top w:val="none" w:sz="0" w:space="0" w:color="auto"/>
        <w:left w:val="none" w:sz="0" w:space="0" w:color="auto"/>
        <w:bottom w:val="none" w:sz="0" w:space="0" w:color="auto"/>
        <w:right w:val="none" w:sz="0" w:space="0" w:color="auto"/>
      </w:divBdr>
      <w:divsChild>
        <w:div w:id="501705469">
          <w:marLeft w:val="0"/>
          <w:marRight w:val="0"/>
          <w:marTop w:val="0"/>
          <w:marBottom w:val="0"/>
          <w:divBdr>
            <w:top w:val="single" w:sz="2" w:space="0" w:color="000000"/>
            <w:left w:val="single" w:sz="2" w:space="0" w:color="000000"/>
            <w:bottom w:val="single" w:sz="2" w:space="0" w:color="000000"/>
            <w:right w:val="single" w:sz="2" w:space="0" w:color="000000"/>
          </w:divBdr>
          <w:divsChild>
            <w:div w:id="2119834560">
              <w:marLeft w:val="0"/>
              <w:marRight w:val="0"/>
              <w:marTop w:val="0"/>
              <w:marBottom w:val="0"/>
              <w:divBdr>
                <w:top w:val="single" w:sz="2" w:space="0" w:color="2C5A82"/>
                <w:left w:val="none" w:sz="0" w:space="0" w:color="auto"/>
                <w:bottom w:val="none" w:sz="0" w:space="0" w:color="auto"/>
                <w:right w:val="none" w:sz="0" w:space="0" w:color="auto"/>
              </w:divBdr>
              <w:divsChild>
                <w:div w:id="1966347826">
                  <w:marLeft w:val="0"/>
                  <w:marRight w:val="0"/>
                  <w:marTop w:val="0"/>
                  <w:marBottom w:val="0"/>
                  <w:divBdr>
                    <w:top w:val="single" w:sz="2" w:space="0" w:color="003869"/>
                    <w:left w:val="single" w:sz="2" w:space="0" w:color="003869"/>
                    <w:bottom w:val="single" w:sz="2" w:space="21" w:color="003869"/>
                    <w:right w:val="single" w:sz="2" w:space="0" w:color="003869"/>
                  </w:divBdr>
                  <w:divsChild>
                    <w:div w:id="439957070">
                      <w:marLeft w:val="0"/>
                      <w:marRight w:val="0"/>
                      <w:marTop w:val="0"/>
                      <w:marBottom w:val="0"/>
                      <w:divBdr>
                        <w:top w:val="single" w:sz="2" w:space="0" w:color="FFFFFF"/>
                        <w:left w:val="single" w:sz="2" w:space="0" w:color="FFFFFF"/>
                        <w:bottom w:val="single" w:sz="2" w:space="0" w:color="FFFFFF"/>
                        <w:right w:val="single" w:sz="2" w:space="0" w:color="FFFFFF"/>
                      </w:divBdr>
                      <w:divsChild>
                        <w:div w:id="1536432427">
                          <w:marLeft w:val="0"/>
                          <w:marRight w:val="0"/>
                          <w:marTop w:val="0"/>
                          <w:marBottom w:val="0"/>
                          <w:divBdr>
                            <w:top w:val="none" w:sz="0" w:space="0" w:color="auto"/>
                            <w:left w:val="none" w:sz="0" w:space="0" w:color="auto"/>
                            <w:bottom w:val="none" w:sz="0" w:space="0" w:color="auto"/>
                            <w:right w:val="none" w:sz="0" w:space="0" w:color="auto"/>
                          </w:divBdr>
                        </w:div>
                      </w:divsChild>
                    </w:div>
                    <w:div w:id="668367033">
                      <w:marLeft w:val="0"/>
                      <w:marRight w:val="0"/>
                      <w:marTop w:val="0"/>
                      <w:marBottom w:val="0"/>
                      <w:divBdr>
                        <w:top w:val="single" w:sz="2" w:space="0" w:color="FFFFFF"/>
                        <w:left w:val="single" w:sz="2" w:space="0" w:color="FFFFFF"/>
                        <w:bottom w:val="single" w:sz="2" w:space="0" w:color="FFFFFF"/>
                        <w:right w:val="single" w:sz="2" w:space="0" w:color="FFFFFF"/>
                      </w:divBdr>
                      <w:divsChild>
                        <w:div w:id="1823740133">
                          <w:marLeft w:val="0"/>
                          <w:marRight w:val="0"/>
                          <w:marTop w:val="0"/>
                          <w:marBottom w:val="0"/>
                          <w:divBdr>
                            <w:top w:val="none" w:sz="0" w:space="0" w:color="auto"/>
                            <w:left w:val="none" w:sz="0" w:space="0" w:color="auto"/>
                            <w:bottom w:val="none" w:sz="0" w:space="0" w:color="auto"/>
                            <w:right w:val="none" w:sz="0" w:space="0" w:color="auto"/>
                          </w:divBdr>
                        </w:div>
                      </w:divsChild>
                    </w:div>
                    <w:div w:id="212568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739302">
                      <w:marLeft w:val="0"/>
                      <w:marRight w:val="0"/>
                      <w:marTop w:val="0"/>
                      <w:marBottom w:val="0"/>
                      <w:divBdr>
                        <w:top w:val="single" w:sz="2" w:space="0" w:color="FFFFFF"/>
                        <w:left w:val="single" w:sz="2" w:space="0" w:color="FFFFFF"/>
                        <w:bottom w:val="single" w:sz="2" w:space="0" w:color="FFFFFF"/>
                        <w:right w:val="single" w:sz="2" w:space="0" w:color="FFFFFF"/>
                      </w:divBdr>
                      <w:divsChild>
                        <w:div w:id="284006">
                          <w:marLeft w:val="0"/>
                          <w:marRight w:val="0"/>
                          <w:marTop w:val="0"/>
                          <w:marBottom w:val="0"/>
                          <w:divBdr>
                            <w:top w:val="none" w:sz="0" w:space="0" w:color="auto"/>
                            <w:left w:val="none" w:sz="0" w:space="0" w:color="auto"/>
                            <w:bottom w:val="none" w:sz="0" w:space="0" w:color="auto"/>
                            <w:right w:val="none" w:sz="0" w:space="0" w:color="auto"/>
                          </w:divBdr>
                        </w:div>
                      </w:divsChild>
                    </w:div>
                    <w:div w:id="26222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351467">
                      <w:marLeft w:val="0"/>
                      <w:marRight w:val="0"/>
                      <w:marTop w:val="0"/>
                      <w:marBottom w:val="0"/>
                      <w:divBdr>
                        <w:top w:val="none" w:sz="0" w:space="0" w:color="auto"/>
                        <w:left w:val="none" w:sz="0" w:space="0" w:color="auto"/>
                        <w:bottom w:val="none" w:sz="0" w:space="0" w:color="auto"/>
                        <w:right w:val="none" w:sz="0" w:space="0" w:color="auto"/>
                      </w:divBdr>
                    </w:div>
                    <w:div w:id="623385196">
                      <w:marLeft w:val="0"/>
                      <w:marRight w:val="0"/>
                      <w:marTop w:val="0"/>
                      <w:marBottom w:val="0"/>
                      <w:divBdr>
                        <w:top w:val="single" w:sz="2" w:space="0" w:color="FFFFFF"/>
                        <w:left w:val="single" w:sz="2" w:space="0" w:color="FFFFFF"/>
                        <w:bottom w:val="single" w:sz="2" w:space="0" w:color="FFFFFF"/>
                        <w:right w:val="single" w:sz="2" w:space="0" w:color="FFFFFF"/>
                      </w:divBdr>
                      <w:divsChild>
                        <w:div w:id="445855892">
                          <w:marLeft w:val="0"/>
                          <w:marRight w:val="0"/>
                          <w:marTop w:val="0"/>
                          <w:marBottom w:val="0"/>
                          <w:divBdr>
                            <w:top w:val="none" w:sz="0" w:space="0" w:color="auto"/>
                            <w:left w:val="none" w:sz="0" w:space="0" w:color="auto"/>
                            <w:bottom w:val="none" w:sz="0" w:space="0" w:color="auto"/>
                            <w:right w:val="none" w:sz="0" w:space="0" w:color="auto"/>
                          </w:divBdr>
                        </w:div>
                      </w:divsChild>
                    </w:div>
                    <w:div w:id="975641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80171221">
      <w:bodyDiv w:val="1"/>
      <w:marLeft w:val="0"/>
      <w:marRight w:val="0"/>
      <w:marTop w:val="0"/>
      <w:marBottom w:val="0"/>
      <w:divBdr>
        <w:top w:val="none" w:sz="0" w:space="0" w:color="auto"/>
        <w:left w:val="none" w:sz="0" w:space="0" w:color="auto"/>
        <w:bottom w:val="none" w:sz="0" w:space="0" w:color="auto"/>
        <w:right w:val="none" w:sz="0" w:space="0" w:color="auto"/>
      </w:divBdr>
      <w:divsChild>
        <w:div w:id="1635212212">
          <w:marLeft w:val="0"/>
          <w:marRight w:val="0"/>
          <w:marTop w:val="0"/>
          <w:marBottom w:val="0"/>
          <w:divBdr>
            <w:top w:val="single" w:sz="2" w:space="0" w:color="000000"/>
            <w:left w:val="single" w:sz="2" w:space="0" w:color="000000"/>
            <w:bottom w:val="single" w:sz="2" w:space="0" w:color="000000"/>
            <w:right w:val="single" w:sz="2" w:space="0" w:color="000000"/>
          </w:divBdr>
          <w:divsChild>
            <w:div w:id="1280574353">
              <w:marLeft w:val="0"/>
              <w:marRight w:val="0"/>
              <w:marTop w:val="0"/>
              <w:marBottom w:val="0"/>
              <w:divBdr>
                <w:top w:val="single" w:sz="2" w:space="0" w:color="2C5A82"/>
                <w:left w:val="none" w:sz="0" w:space="0" w:color="auto"/>
                <w:bottom w:val="none" w:sz="0" w:space="0" w:color="auto"/>
                <w:right w:val="none" w:sz="0" w:space="0" w:color="auto"/>
              </w:divBdr>
              <w:divsChild>
                <w:div w:id="1570001781">
                  <w:marLeft w:val="0"/>
                  <w:marRight w:val="0"/>
                  <w:marTop w:val="0"/>
                  <w:marBottom w:val="0"/>
                  <w:divBdr>
                    <w:top w:val="single" w:sz="2" w:space="0" w:color="003869"/>
                    <w:left w:val="single" w:sz="2" w:space="0" w:color="003869"/>
                    <w:bottom w:val="single" w:sz="2" w:space="21" w:color="003869"/>
                    <w:right w:val="single" w:sz="2" w:space="0" w:color="003869"/>
                  </w:divBdr>
                </w:div>
              </w:divsChild>
            </w:div>
          </w:divsChild>
        </w:div>
      </w:divsChild>
    </w:div>
    <w:div w:id="1337687116">
      <w:bodyDiv w:val="1"/>
      <w:marLeft w:val="0"/>
      <w:marRight w:val="0"/>
      <w:marTop w:val="0"/>
      <w:marBottom w:val="0"/>
      <w:divBdr>
        <w:top w:val="none" w:sz="0" w:space="0" w:color="auto"/>
        <w:left w:val="none" w:sz="0" w:space="0" w:color="auto"/>
        <w:bottom w:val="none" w:sz="0" w:space="0" w:color="auto"/>
        <w:right w:val="none" w:sz="0" w:space="0" w:color="auto"/>
      </w:divBdr>
      <w:divsChild>
        <w:div w:id="331950015">
          <w:marLeft w:val="0"/>
          <w:marRight w:val="0"/>
          <w:marTop w:val="0"/>
          <w:marBottom w:val="0"/>
          <w:divBdr>
            <w:top w:val="none" w:sz="0" w:space="0" w:color="auto"/>
            <w:left w:val="none" w:sz="0" w:space="0" w:color="auto"/>
            <w:bottom w:val="none" w:sz="0" w:space="0" w:color="auto"/>
            <w:right w:val="none" w:sz="0" w:space="0" w:color="auto"/>
          </w:divBdr>
          <w:divsChild>
            <w:div w:id="667562712">
              <w:marLeft w:val="0"/>
              <w:marRight w:val="0"/>
              <w:marTop w:val="0"/>
              <w:marBottom w:val="0"/>
              <w:divBdr>
                <w:top w:val="none" w:sz="0" w:space="0" w:color="auto"/>
                <w:left w:val="none" w:sz="0" w:space="0" w:color="auto"/>
                <w:bottom w:val="none" w:sz="0" w:space="0" w:color="auto"/>
                <w:right w:val="none" w:sz="0" w:space="0" w:color="auto"/>
              </w:divBdr>
              <w:divsChild>
                <w:div w:id="1297875158">
                  <w:marLeft w:val="0"/>
                  <w:marRight w:val="0"/>
                  <w:marTop w:val="0"/>
                  <w:marBottom w:val="0"/>
                  <w:divBdr>
                    <w:top w:val="none" w:sz="0" w:space="0" w:color="auto"/>
                    <w:left w:val="none" w:sz="0" w:space="0" w:color="auto"/>
                    <w:bottom w:val="none" w:sz="0" w:space="0" w:color="auto"/>
                    <w:right w:val="none" w:sz="0" w:space="0" w:color="auto"/>
                  </w:divBdr>
                  <w:divsChild>
                    <w:div w:id="366880929">
                      <w:marLeft w:val="0"/>
                      <w:marRight w:val="0"/>
                      <w:marTop w:val="0"/>
                      <w:marBottom w:val="0"/>
                      <w:divBdr>
                        <w:top w:val="none" w:sz="0" w:space="0" w:color="auto"/>
                        <w:left w:val="none" w:sz="0" w:space="0" w:color="auto"/>
                        <w:bottom w:val="none" w:sz="0" w:space="0" w:color="auto"/>
                        <w:right w:val="none" w:sz="0" w:space="0" w:color="auto"/>
                      </w:divBdr>
                      <w:divsChild>
                        <w:div w:id="517547445">
                          <w:marLeft w:val="0"/>
                          <w:marRight w:val="0"/>
                          <w:marTop w:val="0"/>
                          <w:marBottom w:val="0"/>
                          <w:divBdr>
                            <w:top w:val="none" w:sz="0" w:space="0" w:color="auto"/>
                            <w:left w:val="none" w:sz="0" w:space="0" w:color="auto"/>
                            <w:bottom w:val="none" w:sz="0" w:space="0" w:color="auto"/>
                            <w:right w:val="none" w:sz="0" w:space="0" w:color="auto"/>
                          </w:divBdr>
                          <w:divsChild>
                            <w:div w:id="154615092">
                              <w:marLeft w:val="0"/>
                              <w:marRight w:val="0"/>
                              <w:marTop w:val="0"/>
                              <w:marBottom w:val="0"/>
                              <w:divBdr>
                                <w:top w:val="none" w:sz="0" w:space="0" w:color="auto"/>
                                <w:left w:val="none" w:sz="0" w:space="0" w:color="auto"/>
                                <w:bottom w:val="none" w:sz="0" w:space="0" w:color="auto"/>
                                <w:right w:val="none" w:sz="0" w:space="0" w:color="auto"/>
                              </w:divBdr>
                              <w:divsChild>
                                <w:div w:id="732629757">
                                  <w:marLeft w:val="0"/>
                                  <w:marRight w:val="0"/>
                                  <w:marTop w:val="0"/>
                                  <w:marBottom w:val="0"/>
                                  <w:divBdr>
                                    <w:top w:val="none" w:sz="0" w:space="0" w:color="auto"/>
                                    <w:left w:val="none" w:sz="0" w:space="0" w:color="auto"/>
                                    <w:bottom w:val="none" w:sz="0" w:space="0" w:color="auto"/>
                                    <w:right w:val="none" w:sz="0" w:space="0" w:color="auto"/>
                                  </w:divBdr>
                                  <w:divsChild>
                                    <w:div w:id="1948852491">
                                      <w:marLeft w:val="0"/>
                                      <w:marRight w:val="0"/>
                                      <w:marTop w:val="0"/>
                                      <w:marBottom w:val="0"/>
                                      <w:divBdr>
                                        <w:top w:val="none" w:sz="0" w:space="0" w:color="auto"/>
                                        <w:left w:val="none" w:sz="0" w:space="0" w:color="auto"/>
                                        <w:bottom w:val="none" w:sz="0" w:space="0" w:color="auto"/>
                                        <w:right w:val="none" w:sz="0" w:space="0" w:color="auto"/>
                                      </w:divBdr>
                                      <w:divsChild>
                                        <w:div w:id="1719933229">
                                          <w:marLeft w:val="0"/>
                                          <w:marRight w:val="0"/>
                                          <w:marTop w:val="0"/>
                                          <w:marBottom w:val="0"/>
                                          <w:divBdr>
                                            <w:top w:val="none" w:sz="0" w:space="0" w:color="auto"/>
                                            <w:left w:val="none" w:sz="0" w:space="0" w:color="auto"/>
                                            <w:bottom w:val="none" w:sz="0" w:space="0" w:color="auto"/>
                                            <w:right w:val="none" w:sz="0" w:space="0" w:color="auto"/>
                                          </w:divBdr>
                                          <w:divsChild>
                                            <w:div w:id="543759341">
                                              <w:marLeft w:val="0"/>
                                              <w:marRight w:val="0"/>
                                              <w:marTop w:val="0"/>
                                              <w:marBottom w:val="0"/>
                                              <w:divBdr>
                                                <w:top w:val="none" w:sz="0" w:space="0" w:color="auto"/>
                                                <w:left w:val="none" w:sz="0" w:space="0" w:color="auto"/>
                                                <w:bottom w:val="none" w:sz="0" w:space="0" w:color="auto"/>
                                                <w:right w:val="none" w:sz="0" w:space="0" w:color="auto"/>
                                              </w:divBdr>
                                              <w:divsChild>
                                                <w:div w:id="928851815">
                                                  <w:marLeft w:val="0"/>
                                                  <w:marRight w:val="0"/>
                                                  <w:marTop w:val="0"/>
                                                  <w:marBottom w:val="0"/>
                                                  <w:divBdr>
                                                    <w:top w:val="none" w:sz="0" w:space="0" w:color="auto"/>
                                                    <w:left w:val="none" w:sz="0" w:space="0" w:color="auto"/>
                                                    <w:bottom w:val="none" w:sz="0" w:space="0" w:color="auto"/>
                                                    <w:right w:val="none" w:sz="0" w:space="0" w:color="auto"/>
                                                  </w:divBdr>
                                                  <w:divsChild>
                                                    <w:div w:id="448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1635492">
      <w:bodyDiv w:val="1"/>
      <w:marLeft w:val="0"/>
      <w:marRight w:val="0"/>
      <w:marTop w:val="0"/>
      <w:marBottom w:val="0"/>
      <w:divBdr>
        <w:top w:val="none" w:sz="0" w:space="0" w:color="auto"/>
        <w:left w:val="none" w:sz="0" w:space="0" w:color="auto"/>
        <w:bottom w:val="none" w:sz="0" w:space="0" w:color="auto"/>
        <w:right w:val="none" w:sz="0" w:space="0" w:color="auto"/>
      </w:divBdr>
      <w:divsChild>
        <w:div w:id="1166242309">
          <w:marLeft w:val="0"/>
          <w:marRight w:val="0"/>
          <w:marTop w:val="0"/>
          <w:marBottom w:val="0"/>
          <w:divBdr>
            <w:top w:val="single" w:sz="2" w:space="0" w:color="000000"/>
            <w:left w:val="single" w:sz="2" w:space="0" w:color="000000"/>
            <w:bottom w:val="single" w:sz="2" w:space="0" w:color="000000"/>
            <w:right w:val="single" w:sz="2" w:space="0" w:color="000000"/>
          </w:divBdr>
          <w:divsChild>
            <w:div w:id="1630430220">
              <w:marLeft w:val="0"/>
              <w:marRight w:val="0"/>
              <w:marTop w:val="0"/>
              <w:marBottom w:val="0"/>
              <w:divBdr>
                <w:top w:val="single" w:sz="2" w:space="0" w:color="2C5A82"/>
                <w:left w:val="none" w:sz="0" w:space="0" w:color="auto"/>
                <w:bottom w:val="none" w:sz="0" w:space="0" w:color="auto"/>
                <w:right w:val="none" w:sz="0" w:space="0" w:color="auto"/>
              </w:divBdr>
              <w:divsChild>
                <w:div w:id="2014724233">
                  <w:marLeft w:val="0"/>
                  <w:marRight w:val="0"/>
                  <w:marTop w:val="0"/>
                  <w:marBottom w:val="0"/>
                  <w:divBdr>
                    <w:top w:val="single" w:sz="2" w:space="0" w:color="003869"/>
                    <w:left w:val="single" w:sz="2" w:space="0" w:color="003869"/>
                    <w:bottom w:val="single" w:sz="2" w:space="21" w:color="003869"/>
                    <w:right w:val="single" w:sz="2" w:space="0" w:color="003869"/>
                  </w:divBdr>
                  <w:divsChild>
                    <w:div w:id="1911236141">
                      <w:marLeft w:val="0"/>
                      <w:marRight w:val="0"/>
                      <w:marTop w:val="0"/>
                      <w:marBottom w:val="0"/>
                      <w:divBdr>
                        <w:top w:val="single" w:sz="2" w:space="0" w:color="FFFFFF"/>
                        <w:left w:val="single" w:sz="2" w:space="0" w:color="FFFFFF"/>
                        <w:bottom w:val="single" w:sz="2" w:space="0" w:color="FFFFFF"/>
                        <w:right w:val="single" w:sz="2" w:space="0" w:color="FFFFFF"/>
                      </w:divBdr>
                      <w:divsChild>
                        <w:div w:id="2032416014">
                          <w:marLeft w:val="0"/>
                          <w:marRight w:val="0"/>
                          <w:marTop w:val="0"/>
                          <w:marBottom w:val="0"/>
                          <w:divBdr>
                            <w:top w:val="none" w:sz="0" w:space="0" w:color="auto"/>
                            <w:left w:val="none" w:sz="0" w:space="0" w:color="auto"/>
                            <w:bottom w:val="none" w:sz="0" w:space="0" w:color="auto"/>
                            <w:right w:val="none" w:sz="0" w:space="0" w:color="auto"/>
                          </w:divBdr>
                        </w:div>
                      </w:divsChild>
                    </w:div>
                    <w:div w:id="757362007">
                      <w:marLeft w:val="0"/>
                      <w:marRight w:val="0"/>
                      <w:marTop w:val="0"/>
                      <w:marBottom w:val="0"/>
                      <w:divBdr>
                        <w:top w:val="single" w:sz="12" w:space="7" w:color="CCCCCC"/>
                        <w:left w:val="single" w:sz="12" w:space="7" w:color="CCCCCC"/>
                        <w:bottom w:val="single" w:sz="12" w:space="7" w:color="CCCCCC"/>
                        <w:right w:val="single" w:sz="12" w:space="7" w:color="CCCCCC"/>
                      </w:divBdr>
                    </w:div>
                    <w:div w:id="13001150">
                      <w:marLeft w:val="0"/>
                      <w:marRight w:val="0"/>
                      <w:marTop w:val="0"/>
                      <w:marBottom w:val="0"/>
                      <w:divBdr>
                        <w:top w:val="none" w:sz="0" w:space="0" w:color="auto"/>
                        <w:left w:val="none" w:sz="0" w:space="0" w:color="auto"/>
                        <w:bottom w:val="none" w:sz="0" w:space="0" w:color="auto"/>
                        <w:right w:val="none" w:sz="0" w:space="0" w:color="auto"/>
                      </w:divBdr>
                    </w:div>
                    <w:div w:id="903955989">
                      <w:marLeft w:val="0"/>
                      <w:marRight w:val="0"/>
                      <w:marTop w:val="0"/>
                      <w:marBottom w:val="0"/>
                      <w:divBdr>
                        <w:top w:val="single" w:sz="2" w:space="0" w:color="FFFFFF"/>
                        <w:left w:val="single" w:sz="2" w:space="0" w:color="FFFFFF"/>
                        <w:bottom w:val="single" w:sz="2" w:space="0" w:color="FFFFFF"/>
                        <w:right w:val="single" w:sz="2" w:space="0" w:color="FFFFFF"/>
                      </w:divBdr>
                      <w:divsChild>
                        <w:div w:id="1720277797">
                          <w:marLeft w:val="0"/>
                          <w:marRight w:val="0"/>
                          <w:marTop w:val="0"/>
                          <w:marBottom w:val="0"/>
                          <w:divBdr>
                            <w:top w:val="none" w:sz="0" w:space="0" w:color="auto"/>
                            <w:left w:val="none" w:sz="0" w:space="0" w:color="auto"/>
                            <w:bottom w:val="none" w:sz="0" w:space="0" w:color="auto"/>
                            <w:right w:val="none" w:sz="0" w:space="0" w:color="auto"/>
                          </w:divBdr>
                        </w:div>
                      </w:divsChild>
                    </w:div>
                    <w:div w:id="487327972">
                      <w:marLeft w:val="0"/>
                      <w:marRight w:val="0"/>
                      <w:marTop w:val="0"/>
                      <w:marBottom w:val="0"/>
                      <w:divBdr>
                        <w:top w:val="single" w:sz="2" w:space="0" w:color="FFFFFF"/>
                        <w:left w:val="single" w:sz="2" w:space="0" w:color="FFFFFF"/>
                        <w:bottom w:val="single" w:sz="2" w:space="0" w:color="FFFFFF"/>
                        <w:right w:val="single" w:sz="2" w:space="0" w:color="FFFFFF"/>
                      </w:divBdr>
                      <w:divsChild>
                        <w:div w:id="1089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ountingcoach.com/terms/C/carrying-amount.html" TargetMode="External"/><Relationship Id="rId13" Type="http://schemas.openxmlformats.org/officeDocument/2006/relationships/hyperlink" Target="http://www.accountingcoach.com/terms/I/internal-rate-of-return.html" TargetMode="External"/><Relationship Id="rId3" Type="http://schemas.openxmlformats.org/officeDocument/2006/relationships/settings" Target="settings.xml"/><Relationship Id="rId7" Type="http://schemas.openxmlformats.org/officeDocument/2006/relationships/hyperlink" Target="http://www.accountingcoach.com/terms/A/accounting-rate-of-return.html" TargetMode="External"/><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ccountingcoach.com/terms/D/depreciation-expense.html" TargetMode="External"/><Relationship Id="rId11" Type="http://schemas.openxmlformats.org/officeDocument/2006/relationships/hyperlink" Target="http://www.accountingcoach.com/terms/N/net-present-value.html" TargetMode="External"/><Relationship Id="rId5" Type="http://schemas.openxmlformats.org/officeDocument/2006/relationships/hyperlink" Target="http://www.accountingcoach.com/terms/C/capital-expenditures.html" TargetMode="External"/><Relationship Id="rId15" Type="http://schemas.openxmlformats.org/officeDocument/2006/relationships/fontTable" Target="fontTable.xml"/><Relationship Id="rId10" Type="http://schemas.openxmlformats.org/officeDocument/2006/relationships/hyperlink" Target="http://www.accountingcoach.com/terms/P/payback.html" TargetMode="External"/><Relationship Id="rId4" Type="http://schemas.openxmlformats.org/officeDocument/2006/relationships/webSettings" Target="webSettings.xml"/><Relationship Id="rId9" Type="http://schemas.openxmlformats.org/officeDocument/2006/relationships/hyperlink" Target="http://www.accountingcoach.com/terms/B/book-value.html" TargetMode="External"/><Relationship Id="rId14" Type="http://schemas.openxmlformats.org/officeDocument/2006/relationships/hyperlink" Target="http://www.accountingcoach.com/terms/N/net-present-valu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6</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36</cp:revision>
  <dcterms:created xsi:type="dcterms:W3CDTF">2010-10-03T12:05:00Z</dcterms:created>
  <dcterms:modified xsi:type="dcterms:W3CDTF">2010-11-24T18:41:00Z</dcterms:modified>
</cp:coreProperties>
</file>