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45A" w:rsidRPr="00394DEF" w:rsidRDefault="0072045A" w:rsidP="0072045A">
      <w:pPr>
        <w:pStyle w:val="Heading1"/>
        <w:jc w:val="center"/>
        <w:rPr>
          <w:rStyle w:val="CharAttribute2"/>
          <w:b/>
          <w:sz w:val="28"/>
        </w:rPr>
      </w:pPr>
      <w:r w:rsidRPr="00394DEF">
        <w:rPr>
          <w:rStyle w:val="CharAttribute2"/>
          <w:b/>
          <w:sz w:val="28"/>
        </w:rPr>
        <w:t>KARATINA UNIVERSITY COLLEGE</w:t>
      </w:r>
    </w:p>
    <w:p w:rsidR="0072045A" w:rsidRPr="00394DEF" w:rsidRDefault="0072045A" w:rsidP="0072045A">
      <w:pPr>
        <w:pStyle w:val="Heading1"/>
        <w:jc w:val="center"/>
        <w:rPr>
          <w:b w:val="0"/>
        </w:rPr>
      </w:pPr>
      <w:r w:rsidRPr="00394DEF">
        <w:rPr>
          <w:rStyle w:val="CharAttribute2"/>
          <w:b/>
          <w:sz w:val="28"/>
        </w:rPr>
        <w:t>BBM 415: INTERNATIONAL FINANCE</w:t>
      </w:r>
    </w:p>
    <w:p w:rsidR="0072045A" w:rsidRDefault="0072045A" w:rsidP="0072045A">
      <w:pPr>
        <w:pStyle w:val="ListParagraph"/>
        <w:numPr>
          <w:ilvl w:val="2"/>
          <w:numId w:val="2"/>
        </w:numPr>
        <w:spacing w:before="200" w:line="276" w:lineRule="auto"/>
        <w:ind w:left="720"/>
        <w:jc w:val="left"/>
        <w:rPr>
          <w:b/>
          <w:sz w:val="24"/>
          <w:szCs w:val="24"/>
        </w:rPr>
      </w:pPr>
      <w:r>
        <w:rPr>
          <w:rStyle w:val="CharAttribute2"/>
          <w:szCs w:val="24"/>
        </w:rPr>
        <w:t>COURSE PURPOSE</w:t>
      </w:r>
    </w:p>
    <w:p w:rsidR="0072045A" w:rsidRDefault="0072045A" w:rsidP="0072045A">
      <w:pPr>
        <w:pStyle w:val="ParaAttribute12"/>
        <w:spacing w:line="276" w:lineRule="auto"/>
        <w:rPr>
          <w:sz w:val="24"/>
          <w:szCs w:val="24"/>
        </w:rPr>
      </w:pPr>
      <w:r>
        <w:rPr>
          <w:rStyle w:val="CharAttribute10"/>
          <w:szCs w:val="24"/>
        </w:rPr>
        <w:t xml:space="preserve">The course covers the making of international finance decisions by applying the principles of finance in the </w:t>
      </w:r>
      <w:r w:rsidR="005D2A54">
        <w:rPr>
          <w:rStyle w:val="CharAttribute10"/>
          <w:szCs w:val="24"/>
        </w:rPr>
        <w:t xml:space="preserve">international </w:t>
      </w:r>
      <w:r>
        <w:rPr>
          <w:rStyle w:val="CharAttribute10"/>
          <w:szCs w:val="24"/>
        </w:rPr>
        <w:t>context. It looks at the international perspectives of risk, capital budgeting, financing, and dividend policies.</w:t>
      </w:r>
    </w:p>
    <w:p w:rsidR="0072045A" w:rsidRDefault="0072045A" w:rsidP="0072045A">
      <w:pPr>
        <w:pStyle w:val="ParaAttribute20"/>
        <w:spacing w:line="276" w:lineRule="auto"/>
        <w:rPr>
          <w:b/>
          <w:sz w:val="24"/>
          <w:szCs w:val="24"/>
        </w:rPr>
      </w:pPr>
      <w:r>
        <w:rPr>
          <w:rStyle w:val="CharAttribute2"/>
          <w:szCs w:val="24"/>
        </w:rPr>
        <w:t>2.0.</w:t>
      </w:r>
      <w:r>
        <w:rPr>
          <w:rStyle w:val="CharAttribute2"/>
          <w:szCs w:val="24"/>
        </w:rPr>
        <w:tab/>
        <w:t>LEARNING OUTCOMES</w:t>
      </w:r>
    </w:p>
    <w:p w:rsidR="0072045A" w:rsidRDefault="0072045A" w:rsidP="0072045A">
      <w:pPr>
        <w:pStyle w:val="ParaAttribute4"/>
        <w:spacing w:line="276" w:lineRule="auto"/>
        <w:rPr>
          <w:b/>
          <w:sz w:val="24"/>
          <w:szCs w:val="24"/>
        </w:rPr>
      </w:pPr>
      <w:r>
        <w:rPr>
          <w:rStyle w:val="CharAttribute4"/>
          <w:szCs w:val="24"/>
        </w:rPr>
        <w:t>By the end of the course, the learner should be able to;</w:t>
      </w:r>
    </w:p>
    <w:p w:rsidR="0072045A" w:rsidRDefault="0072045A" w:rsidP="0072045A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rStyle w:val="CharAttribute5"/>
          <w:rFonts w:eastAsia="Batang"/>
          <w:szCs w:val="24"/>
        </w:rPr>
        <w:t>Apply the concepts of financial management in an international context.</w:t>
      </w:r>
    </w:p>
    <w:p w:rsidR="0072045A" w:rsidRDefault="0072045A" w:rsidP="0072045A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rStyle w:val="CharAttribute5"/>
          <w:rFonts w:eastAsia="Batang"/>
          <w:szCs w:val="24"/>
        </w:rPr>
        <w:t>Evaluate and manage international risk exposure.</w:t>
      </w:r>
    </w:p>
    <w:p w:rsidR="0072045A" w:rsidRDefault="0072045A" w:rsidP="0072045A">
      <w:pPr>
        <w:pStyle w:val="ParaAttribute20"/>
        <w:spacing w:line="276" w:lineRule="auto"/>
        <w:rPr>
          <w:b/>
          <w:sz w:val="24"/>
          <w:szCs w:val="24"/>
        </w:rPr>
      </w:pPr>
      <w:r>
        <w:rPr>
          <w:rStyle w:val="CharAttribute2"/>
          <w:szCs w:val="24"/>
        </w:rPr>
        <w:t>3.0.</w:t>
      </w:r>
      <w:r>
        <w:rPr>
          <w:rStyle w:val="CharAttribute2"/>
          <w:szCs w:val="24"/>
        </w:rPr>
        <w:tab/>
        <w:t>COURSE CONTENT</w:t>
      </w:r>
    </w:p>
    <w:p w:rsidR="0072045A" w:rsidRDefault="0072045A" w:rsidP="0072045A">
      <w:pPr>
        <w:pStyle w:val="ParaAttribute4"/>
        <w:spacing w:line="276" w:lineRule="auto"/>
        <w:rPr>
          <w:sz w:val="24"/>
          <w:szCs w:val="24"/>
        </w:rPr>
      </w:pPr>
      <w:r>
        <w:rPr>
          <w:rStyle w:val="CharAttribute10"/>
          <w:szCs w:val="24"/>
        </w:rPr>
        <w:t>Finance at the international level; evolution of multinational corporations; capital budgeting, financing decision; working capital management; dividend policy decisions at global level; international financial institutions and their management; foreign exchange market operations; foreign exchange exposures and their management, international derivatives; international parity relationships, international banking environment; international debt crisis and assessment of country risk.</w:t>
      </w:r>
    </w:p>
    <w:p w:rsidR="0072045A" w:rsidRDefault="0072045A" w:rsidP="0072045A">
      <w:pPr>
        <w:pStyle w:val="ParaAttribute20"/>
        <w:spacing w:line="276" w:lineRule="auto"/>
        <w:rPr>
          <w:b/>
          <w:sz w:val="24"/>
          <w:szCs w:val="24"/>
        </w:rPr>
      </w:pPr>
      <w:r>
        <w:rPr>
          <w:rStyle w:val="CharAttribute2"/>
          <w:szCs w:val="24"/>
        </w:rPr>
        <w:t>4.0.</w:t>
      </w:r>
      <w:r>
        <w:rPr>
          <w:rStyle w:val="CharAttribute2"/>
          <w:szCs w:val="24"/>
        </w:rPr>
        <w:tab/>
        <w:t>TEACHING METHODOLOGY</w:t>
      </w:r>
    </w:p>
    <w:p w:rsidR="0072045A" w:rsidRDefault="0072045A" w:rsidP="0072045A">
      <w:pPr>
        <w:pStyle w:val="ParaAttribute7"/>
        <w:spacing w:line="276" w:lineRule="auto"/>
        <w:rPr>
          <w:sz w:val="24"/>
          <w:szCs w:val="24"/>
        </w:rPr>
      </w:pPr>
      <w:r>
        <w:rPr>
          <w:rStyle w:val="CharAttribute10"/>
          <w:szCs w:val="24"/>
        </w:rPr>
        <w:t xml:space="preserve">In order to achieve the learning objectives the following learning and teaching methods will be used: </w:t>
      </w:r>
    </w:p>
    <w:p w:rsidR="0072045A" w:rsidRDefault="0072045A" w:rsidP="0072045A">
      <w:pPr>
        <w:pStyle w:val="ListParagraph"/>
        <w:numPr>
          <w:ilvl w:val="0"/>
          <w:numId w:val="1"/>
        </w:numPr>
        <w:spacing w:before="120" w:after="240"/>
        <w:rPr>
          <w:sz w:val="24"/>
          <w:szCs w:val="24"/>
        </w:rPr>
      </w:pPr>
      <w:r>
        <w:rPr>
          <w:rStyle w:val="CharAttribute5"/>
          <w:rFonts w:eastAsia="Batang"/>
          <w:szCs w:val="24"/>
        </w:rPr>
        <w:t xml:space="preserve">Lectures and discussions </w:t>
      </w:r>
    </w:p>
    <w:p w:rsidR="0072045A" w:rsidRDefault="0072045A" w:rsidP="0072045A">
      <w:pPr>
        <w:pStyle w:val="ListParagraph"/>
        <w:numPr>
          <w:ilvl w:val="0"/>
          <w:numId w:val="1"/>
        </w:numPr>
        <w:spacing w:before="120" w:after="240"/>
        <w:rPr>
          <w:sz w:val="24"/>
          <w:szCs w:val="24"/>
        </w:rPr>
      </w:pPr>
      <w:r>
        <w:rPr>
          <w:rStyle w:val="CharAttribute5"/>
          <w:rFonts w:eastAsia="Batang"/>
          <w:szCs w:val="24"/>
        </w:rPr>
        <w:t>Case studies.</w:t>
      </w:r>
    </w:p>
    <w:p w:rsidR="0072045A" w:rsidRPr="0072045A" w:rsidRDefault="0072045A" w:rsidP="0072045A">
      <w:pPr>
        <w:pStyle w:val="ListParagraph"/>
        <w:numPr>
          <w:ilvl w:val="0"/>
          <w:numId w:val="1"/>
        </w:numPr>
        <w:spacing w:before="120" w:after="240"/>
        <w:rPr>
          <w:rStyle w:val="CharAttribute5"/>
          <w:rFonts w:ascii="Batang" w:eastAsia="Batang"/>
          <w:szCs w:val="24"/>
        </w:rPr>
      </w:pPr>
      <w:r>
        <w:rPr>
          <w:rStyle w:val="CharAttribute5"/>
          <w:rFonts w:eastAsia="Batang"/>
          <w:szCs w:val="24"/>
        </w:rPr>
        <w:t>Class discussions and presentations</w:t>
      </w:r>
    </w:p>
    <w:p w:rsidR="0072045A" w:rsidRDefault="0072045A" w:rsidP="0072045A">
      <w:pPr>
        <w:pStyle w:val="ListParagraph"/>
        <w:spacing w:before="120" w:after="240"/>
        <w:ind w:left="720"/>
        <w:rPr>
          <w:sz w:val="24"/>
          <w:szCs w:val="24"/>
        </w:rPr>
      </w:pPr>
    </w:p>
    <w:p w:rsidR="0072045A" w:rsidRDefault="0072045A" w:rsidP="0072045A">
      <w:pPr>
        <w:pStyle w:val="ParaAttribute20"/>
        <w:spacing w:line="276" w:lineRule="auto"/>
        <w:rPr>
          <w:b/>
          <w:sz w:val="24"/>
          <w:szCs w:val="24"/>
        </w:rPr>
      </w:pPr>
      <w:r>
        <w:rPr>
          <w:rStyle w:val="CharAttribute2"/>
          <w:szCs w:val="24"/>
        </w:rPr>
        <w:t>5.0.</w:t>
      </w:r>
      <w:r>
        <w:rPr>
          <w:rStyle w:val="CharAttribute2"/>
          <w:szCs w:val="24"/>
        </w:rPr>
        <w:tab/>
        <w:t>INSTRUCTIONAL MATERIALS AND EQUIPMENT</w:t>
      </w:r>
    </w:p>
    <w:p w:rsidR="0072045A" w:rsidRDefault="0072045A" w:rsidP="0072045A">
      <w:pPr>
        <w:pStyle w:val="ParaAttribute9"/>
        <w:spacing w:line="276" w:lineRule="auto"/>
        <w:rPr>
          <w:sz w:val="24"/>
          <w:szCs w:val="24"/>
        </w:rPr>
      </w:pPr>
      <w:r>
        <w:rPr>
          <w:rStyle w:val="CharAttribute5"/>
          <w:rFonts w:eastAsia="Batang"/>
          <w:szCs w:val="24"/>
        </w:rPr>
        <w:t>Computers/internet services, journals, newspapers, chalk/pens and white boards.</w:t>
      </w:r>
    </w:p>
    <w:p w:rsidR="0072045A" w:rsidRDefault="0072045A" w:rsidP="0072045A">
      <w:pPr>
        <w:pStyle w:val="ParaAttribute20"/>
        <w:spacing w:line="276" w:lineRule="auto"/>
        <w:rPr>
          <w:b/>
          <w:sz w:val="24"/>
          <w:szCs w:val="24"/>
        </w:rPr>
      </w:pPr>
      <w:r>
        <w:rPr>
          <w:rStyle w:val="CharAttribute2"/>
          <w:szCs w:val="24"/>
        </w:rPr>
        <w:t>6.0.</w:t>
      </w:r>
      <w:r>
        <w:rPr>
          <w:rStyle w:val="CharAttribute2"/>
          <w:szCs w:val="24"/>
        </w:rPr>
        <w:tab/>
        <w:t>EVALUATION</w:t>
      </w:r>
    </w:p>
    <w:p w:rsidR="0072045A" w:rsidRDefault="0072045A" w:rsidP="0072045A">
      <w:pPr>
        <w:pStyle w:val="ParaAttribute10"/>
        <w:rPr>
          <w:sz w:val="24"/>
          <w:szCs w:val="24"/>
        </w:rPr>
      </w:pPr>
      <w:r>
        <w:rPr>
          <w:rStyle w:val="CharAttribute5"/>
          <w:rFonts w:eastAsia="Batang"/>
          <w:szCs w:val="24"/>
        </w:rPr>
        <w:t xml:space="preserve">A minimum of two </w:t>
      </w:r>
      <w:r w:rsidR="00DD56A9">
        <w:rPr>
          <w:rStyle w:val="CharAttribute5"/>
          <w:rFonts w:eastAsia="Batang"/>
          <w:szCs w:val="24"/>
        </w:rPr>
        <w:t>continuous</w:t>
      </w:r>
      <w:r>
        <w:rPr>
          <w:rStyle w:val="CharAttribute5"/>
          <w:rFonts w:eastAsia="Batang"/>
          <w:szCs w:val="24"/>
        </w:rPr>
        <w:t xml:space="preserve"> assessment tests totaling 15%, on top of classroom assignments amounting to 15%. The end of semester exam will be out of 70% of the course evaluation. </w:t>
      </w:r>
    </w:p>
    <w:p w:rsidR="0072045A" w:rsidRDefault="0072045A" w:rsidP="0072045A">
      <w:pPr>
        <w:pStyle w:val="ParaAttribute10"/>
        <w:rPr>
          <w:sz w:val="24"/>
          <w:szCs w:val="24"/>
        </w:rPr>
      </w:pPr>
    </w:p>
    <w:p w:rsidR="0072045A" w:rsidRDefault="0072045A" w:rsidP="0072045A">
      <w:pPr>
        <w:pStyle w:val="ParaAttribute10"/>
        <w:rPr>
          <w:sz w:val="24"/>
          <w:szCs w:val="24"/>
        </w:rPr>
      </w:pPr>
      <w:r>
        <w:rPr>
          <w:rStyle w:val="CharAttribute5"/>
          <w:rFonts w:eastAsia="Batang"/>
          <w:szCs w:val="24"/>
        </w:rPr>
        <w:t>Continuous Assessment Tests</w:t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  <w:t xml:space="preserve">            15%</w:t>
      </w:r>
    </w:p>
    <w:p w:rsidR="0072045A" w:rsidRDefault="0072045A" w:rsidP="0072045A">
      <w:pPr>
        <w:pStyle w:val="ParaAttribute10"/>
        <w:rPr>
          <w:sz w:val="24"/>
          <w:szCs w:val="24"/>
        </w:rPr>
      </w:pPr>
      <w:r>
        <w:rPr>
          <w:rStyle w:val="CharAttribute5"/>
          <w:rFonts w:eastAsia="Batang"/>
          <w:szCs w:val="24"/>
        </w:rPr>
        <w:t>Classroom assignments</w:t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  <w:t>15%</w:t>
      </w:r>
    </w:p>
    <w:p w:rsidR="0072045A" w:rsidRDefault="0072045A" w:rsidP="0072045A">
      <w:pPr>
        <w:pStyle w:val="ParaAttribute10"/>
        <w:rPr>
          <w:sz w:val="24"/>
          <w:szCs w:val="24"/>
        </w:rPr>
      </w:pPr>
      <w:r>
        <w:rPr>
          <w:rStyle w:val="CharAttribute5"/>
          <w:rFonts w:eastAsia="Batang"/>
          <w:szCs w:val="24"/>
        </w:rPr>
        <w:t>End of semester examinations</w:t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  <w:t>70%</w:t>
      </w:r>
    </w:p>
    <w:p w:rsidR="0072045A" w:rsidRDefault="0072045A" w:rsidP="0072045A">
      <w:pPr>
        <w:pStyle w:val="ParaAttribute10"/>
        <w:rPr>
          <w:sz w:val="24"/>
          <w:szCs w:val="24"/>
        </w:rPr>
      </w:pPr>
      <w:r>
        <w:rPr>
          <w:rStyle w:val="CharAttribute5"/>
          <w:rFonts w:eastAsia="Batang"/>
          <w:szCs w:val="24"/>
        </w:rPr>
        <w:t>TOTAL</w:t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  <w:t>100%</w:t>
      </w:r>
    </w:p>
    <w:p w:rsidR="00EF653C" w:rsidRDefault="0072045A" w:rsidP="0072045A">
      <w:pPr>
        <w:pStyle w:val="ParaAttribute20"/>
        <w:spacing w:line="276" w:lineRule="auto"/>
        <w:rPr>
          <w:rStyle w:val="CharAttribute2"/>
          <w:szCs w:val="24"/>
        </w:rPr>
      </w:pPr>
      <w:r>
        <w:rPr>
          <w:rStyle w:val="CharAttribute2"/>
          <w:szCs w:val="24"/>
        </w:rPr>
        <w:t>7.0.</w:t>
      </w:r>
      <w:r>
        <w:rPr>
          <w:rStyle w:val="CharAttribute2"/>
          <w:szCs w:val="24"/>
        </w:rPr>
        <w:tab/>
        <w:t>RECOMENDED TEXTS</w:t>
      </w:r>
    </w:p>
    <w:p w:rsidR="00EF653C" w:rsidRDefault="00EF653C" w:rsidP="0072045A">
      <w:pPr>
        <w:pStyle w:val="ParaAttribute20"/>
        <w:spacing w:line="276" w:lineRule="auto"/>
        <w:rPr>
          <w:rStyle w:val="CharAttribute2"/>
          <w:b w:val="0"/>
          <w:szCs w:val="24"/>
        </w:rPr>
      </w:pPr>
      <w:r w:rsidRPr="00EF653C">
        <w:rPr>
          <w:rStyle w:val="CharAttribute2"/>
          <w:b w:val="0"/>
          <w:szCs w:val="24"/>
        </w:rPr>
        <w:t xml:space="preserve">Madura, J. (2008). </w:t>
      </w:r>
      <w:r w:rsidRPr="00EF653C">
        <w:rPr>
          <w:rStyle w:val="CharAttribute2"/>
          <w:b w:val="0"/>
          <w:i/>
          <w:szCs w:val="24"/>
        </w:rPr>
        <w:t>International Financial management, 8</w:t>
      </w:r>
      <w:r w:rsidRPr="00EF653C">
        <w:rPr>
          <w:rStyle w:val="CharAttribute2"/>
          <w:b w:val="0"/>
          <w:i/>
          <w:szCs w:val="24"/>
          <w:vertAlign w:val="superscript"/>
        </w:rPr>
        <w:t>th</w:t>
      </w:r>
      <w:r w:rsidRPr="00EF653C">
        <w:rPr>
          <w:rStyle w:val="CharAttribute2"/>
          <w:b w:val="0"/>
          <w:i/>
          <w:szCs w:val="24"/>
        </w:rPr>
        <w:t xml:space="preserve"> Edition</w:t>
      </w:r>
      <w:r w:rsidRPr="00EF653C">
        <w:rPr>
          <w:rStyle w:val="CharAttribute2"/>
          <w:b w:val="0"/>
          <w:szCs w:val="24"/>
        </w:rPr>
        <w:t>. Cengage Learning: NY.</w:t>
      </w:r>
    </w:p>
    <w:p w:rsidR="00865A3D" w:rsidRPr="00EF653C" w:rsidRDefault="00865A3D" w:rsidP="0072045A">
      <w:pPr>
        <w:pStyle w:val="ParaAttribute20"/>
        <w:spacing w:line="276" w:lineRule="auto"/>
        <w:rPr>
          <w:rFonts w:ascii="Cambria" w:eastAsia="Cambria"/>
          <w:sz w:val="24"/>
          <w:szCs w:val="24"/>
        </w:rPr>
      </w:pPr>
    </w:p>
    <w:p w:rsidR="0069755B" w:rsidRPr="0069755B" w:rsidRDefault="0069755B" w:rsidP="0069755B">
      <w:pPr>
        <w:rPr>
          <w:rStyle w:val="CharAttribute2"/>
          <w:rFonts w:hAnsi="Times New Roman" w:cs="Times New Roman"/>
          <w:b w:val="0"/>
          <w:szCs w:val="24"/>
        </w:rPr>
      </w:pPr>
      <w:r w:rsidRPr="0069755B">
        <w:rPr>
          <w:rStyle w:val="CharAttribute2"/>
          <w:rFonts w:hAnsi="Times New Roman" w:cs="Times New Roman"/>
          <w:b w:val="0"/>
        </w:rPr>
        <w:t>Sercu</w:t>
      </w:r>
      <w:r w:rsidRPr="0069755B">
        <w:rPr>
          <w:rStyle w:val="CharAttribute2"/>
          <w:rFonts w:hAnsi="Times New Roman" w:cs="Times New Roman"/>
          <w:b w:val="0"/>
          <w:szCs w:val="24"/>
        </w:rPr>
        <w:t xml:space="preserve">, P. (2008). </w:t>
      </w:r>
      <w:r w:rsidRPr="0069755B">
        <w:rPr>
          <w:rStyle w:val="CharAttribute2"/>
          <w:rFonts w:hAnsi="Times New Roman" w:cs="Times New Roman"/>
          <w:b w:val="0"/>
          <w:i/>
          <w:szCs w:val="24"/>
        </w:rPr>
        <w:t>International Finance: Putting Theory into Practice</w:t>
      </w:r>
      <w:r w:rsidRPr="0069755B">
        <w:rPr>
          <w:rStyle w:val="CharAttribute2"/>
          <w:rFonts w:hAnsi="Times New Roman" w:cs="Times New Roman"/>
          <w:b w:val="0"/>
          <w:szCs w:val="24"/>
        </w:rPr>
        <w:t xml:space="preserve">. </w:t>
      </w:r>
      <w:r w:rsidRPr="0069755B">
        <w:rPr>
          <w:rStyle w:val="CharAttribute2"/>
          <w:rFonts w:hAnsi="Times New Roman" w:cs="Times New Roman"/>
          <w:b w:val="0"/>
        </w:rPr>
        <w:t>Leuven School of Business and Economics. Leuven.</w:t>
      </w:r>
    </w:p>
    <w:p w:rsidR="0069755B" w:rsidRPr="00EF653C" w:rsidRDefault="0069755B"/>
    <w:sectPr w:rsidR="0069755B" w:rsidRPr="00EF653C" w:rsidSect="00B61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5234610"/>
    <w:lvl w:ilvl="0" w:tplc="7A7A166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4"/>
      </w:rPr>
    </w:lvl>
    <w:lvl w:ilvl="1" w:tplc="25B0478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4"/>
      </w:rPr>
    </w:lvl>
    <w:lvl w:ilvl="2" w:tplc="CB6CA47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4"/>
      </w:rPr>
    </w:lvl>
    <w:lvl w:ilvl="3" w:tplc="CF94D76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4"/>
      </w:rPr>
    </w:lvl>
    <w:lvl w:ilvl="4" w:tplc="2C12268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4"/>
      </w:rPr>
    </w:lvl>
    <w:lvl w:ilvl="5" w:tplc="2C4603B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4"/>
      </w:rPr>
    </w:lvl>
    <w:lvl w:ilvl="6" w:tplc="D8E8BB9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4"/>
      </w:rPr>
    </w:lvl>
    <w:lvl w:ilvl="7" w:tplc="7C540B5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4"/>
      </w:rPr>
    </w:lvl>
    <w:lvl w:ilvl="8" w:tplc="1486D4C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4"/>
      </w:rPr>
    </w:lvl>
  </w:abstractNum>
  <w:abstractNum w:abstractNumId="1">
    <w:nsid w:val="00000027"/>
    <w:multiLevelType w:val="hybridMultilevel"/>
    <w:tmpl w:val="61966852"/>
    <w:lvl w:ilvl="0" w:tplc="4094FC26">
      <w:start w:val="1"/>
      <w:numFmt w:val="decimal"/>
      <w:lvlText w:val="%1."/>
      <w:lvlJc w:val="left"/>
      <w:pPr>
        <w:ind w:left="720" w:hanging="360"/>
      </w:pPr>
    </w:lvl>
    <w:lvl w:ilvl="1" w:tplc="FBC69BD4">
      <w:start w:val="1"/>
      <w:numFmt w:val="decimal"/>
      <w:lvlText w:val="%2."/>
      <w:lvlJc w:val="left"/>
      <w:pPr>
        <w:ind w:left="1440" w:hanging="360"/>
      </w:pPr>
    </w:lvl>
    <w:lvl w:ilvl="2" w:tplc="B04492D4">
      <w:start w:val="1"/>
      <w:numFmt w:val="decimal"/>
      <w:lvlText w:val="%3."/>
      <w:lvlJc w:val="left"/>
      <w:pPr>
        <w:ind w:left="2400" w:hanging="420"/>
      </w:pPr>
      <w:rPr>
        <w:b/>
      </w:rPr>
    </w:lvl>
    <w:lvl w:ilvl="3" w:tplc="4826558E">
      <w:start w:val="1"/>
      <w:numFmt w:val="decimal"/>
      <w:lvlText w:val="%4."/>
      <w:lvlJc w:val="left"/>
      <w:pPr>
        <w:ind w:left="2880" w:hanging="360"/>
      </w:pPr>
    </w:lvl>
    <w:lvl w:ilvl="4" w:tplc="98B288D2">
      <w:start w:val="1"/>
      <w:numFmt w:val="decimal"/>
      <w:lvlText w:val="%5."/>
      <w:lvlJc w:val="left"/>
      <w:pPr>
        <w:ind w:left="3600" w:hanging="360"/>
      </w:pPr>
    </w:lvl>
    <w:lvl w:ilvl="5" w:tplc="6C740A64">
      <w:start w:val="1"/>
      <w:numFmt w:val="decimal"/>
      <w:lvlText w:val="%6."/>
      <w:lvlJc w:val="left"/>
      <w:pPr>
        <w:ind w:left="4320" w:hanging="180"/>
      </w:pPr>
    </w:lvl>
    <w:lvl w:ilvl="6" w:tplc="DA9653CE">
      <w:start w:val="1"/>
      <w:numFmt w:val="decimal"/>
      <w:lvlText w:val="%7."/>
      <w:lvlJc w:val="left"/>
      <w:pPr>
        <w:ind w:left="5040" w:hanging="360"/>
      </w:pPr>
    </w:lvl>
    <w:lvl w:ilvl="7" w:tplc="87403046">
      <w:start w:val="1"/>
      <w:numFmt w:val="decimal"/>
      <w:lvlText w:val="%8."/>
      <w:lvlJc w:val="left"/>
      <w:pPr>
        <w:ind w:left="5760" w:hanging="360"/>
      </w:pPr>
    </w:lvl>
    <w:lvl w:ilvl="8" w:tplc="4CF81F0E">
      <w:start w:val="1"/>
      <w:numFmt w:val="decimal"/>
      <w:lvlText w:val="%9."/>
      <w:lvlJc w:val="lef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2045A"/>
    <w:rsid w:val="00394DEF"/>
    <w:rsid w:val="005D2A54"/>
    <w:rsid w:val="0069755B"/>
    <w:rsid w:val="0072045A"/>
    <w:rsid w:val="007D2207"/>
    <w:rsid w:val="00865A3D"/>
    <w:rsid w:val="00A03D05"/>
    <w:rsid w:val="00B61226"/>
    <w:rsid w:val="00DD56A9"/>
    <w:rsid w:val="00EF6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226"/>
  </w:style>
  <w:style w:type="paragraph" w:styleId="Heading1">
    <w:name w:val="heading 1"/>
    <w:basedOn w:val="Normal"/>
    <w:next w:val="Normal"/>
    <w:link w:val="Heading1Char"/>
    <w:uiPriority w:val="9"/>
    <w:qFormat/>
    <w:rsid w:val="007204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45A"/>
    <w:pPr>
      <w:widowControl w:val="0"/>
      <w:wordWrap w:val="0"/>
      <w:autoSpaceDE w:val="0"/>
      <w:autoSpaceDN w:val="0"/>
      <w:spacing w:after="0" w:line="240" w:lineRule="auto"/>
      <w:ind w:left="400"/>
      <w:jc w:val="both"/>
    </w:pPr>
    <w:rPr>
      <w:rFonts w:ascii="Batang" w:eastAsia="Batang" w:hAnsi="Times New Roman" w:cs="Times New Roman"/>
      <w:kern w:val="2"/>
      <w:sz w:val="20"/>
      <w:szCs w:val="20"/>
      <w:lang w:eastAsia="ko-KR"/>
    </w:rPr>
  </w:style>
  <w:style w:type="paragraph" w:customStyle="1" w:styleId="ParaAttribute2">
    <w:name w:val="ParaAttribute2"/>
    <w:rsid w:val="0072045A"/>
    <w:pPr>
      <w:keepNext/>
      <w:keepLines/>
      <w:widowControl w:val="0"/>
      <w:spacing w:before="480"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4">
    <w:name w:val="ParaAttribute4"/>
    <w:rsid w:val="0072045A"/>
    <w:pPr>
      <w:widowControl w:val="0"/>
      <w:spacing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7">
    <w:name w:val="ParaAttribute7"/>
    <w:rsid w:val="0072045A"/>
    <w:pPr>
      <w:widowControl w:val="0"/>
      <w:spacing w:before="120" w:after="24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9">
    <w:name w:val="ParaAttribute9"/>
    <w:rsid w:val="0072045A"/>
    <w:pPr>
      <w:widowControl w:val="0"/>
      <w:spacing w:line="240" w:lineRule="auto"/>
      <w:ind w:left="720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0">
    <w:name w:val="ParaAttribute10"/>
    <w:rsid w:val="0072045A"/>
    <w:pPr>
      <w:widowControl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2">
    <w:name w:val="ParaAttribute12"/>
    <w:rsid w:val="0072045A"/>
    <w:pPr>
      <w:widowControl w:val="0"/>
      <w:spacing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0">
    <w:name w:val="ParaAttribute20"/>
    <w:rsid w:val="0072045A"/>
    <w:pPr>
      <w:keepNext/>
      <w:keepLines/>
      <w:widowControl w:val="0"/>
      <w:spacing w:before="200"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2">
    <w:name w:val="CharAttribute2"/>
    <w:rsid w:val="0072045A"/>
    <w:rPr>
      <w:rFonts w:ascii="Cambria" w:eastAsia="Cambria"/>
      <w:b/>
      <w:sz w:val="24"/>
    </w:rPr>
  </w:style>
  <w:style w:type="character" w:customStyle="1" w:styleId="CharAttribute4">
    <w:name w:val="CharAttribute4"/>
    <w:rsid w:val="0072045A"/>
    <w:rPr>
      <w:rFonts w:ascii="Times New Roman" w:eastAsia="Calibri"/>
      <w:b/>
      <w:sz w:val="24"/>
    </w:rPr>
  </w:style>
  <w:style w:type="character" w:customStyle="1" w:styleId="CharAttribute5">
    <w:name w:val="CharAttribute5"/>
    <w:rsid w:val="0072045A"/>
    <w:rPr>
      <w:rFonts w:ascii="Times New Roman" w:eastAsia="Times New Roman"/>
      <w:sz w:val="24"/>
    </w:rPr>
  </w:style>
  <w:style w:type="character" w:customStyle="1" w:styleId="CharAttribute10">
    <w:name w:val="CharAttribute10"/>
    <w:rsid w:val="0072045A"/>
    <w:rPr>
      <w:rFonts w:ascii="Times New Roman" w:eastAsia="Calibr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204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KUBASU</dc:creator>
  <cp:keywords/>
  <dc:description/>
  <cp:lastModifiedBy>KUBASU</cp:lastModifiedBy>
  <cp:revision>10</cp:revision>
  <dcterms:created xsi:type="dcterms:W3CDTF">2013-02-11T12:07:00Z</dcterms:created>
  <dcterms:modified xsi:type="dcterms:W3CDTF">2013-02-13T08:24:00Z</dcterms:modified>
</cp:coreProperties>
</file>