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C56" w:rsidRPr="00391169" w:rsidRDefault="00C70C56" w:rsidP="00AC5AD5">
      <w:pPr>
        <w:autoSpaceDE w:val="0"/>
        <w:autoSpaceDN w:val="0"/>
        <w:adjustRightInd w:val="0"/>
        <w:spacing w:after="0" w:line="240" w:lineRule="auto"/>
        <w:jc w:val="both"/>
        <w:rPr>
          <w:rFonts w:ascii="Book Antiqua" w:hAnsi="Book Antiqua" w:cs="GalliardStd-Roman"/>
          <w:b/>
          <w:color w:val="000000"/>
          <w:sz w:val="24"/>
          <w:szCs w:val="24"/>
          <w:lang w:val="en-GB"/>
        </w:rPr>
      </w:pPr>
      <w:r w:rsidRPr="00391169">
        <w:rPr>
          <w:rFonts w:ascii="Book Antiqua" w:hAnsi="Book Antiqua" w:cs="GalliardStd-Roman"/>
          <w:b/>
          <w:color w:val="000000"/>
          <w:sz w:val="24"/>
          <w:szCs w:val="24"/>
          <w:lang w:val="en-GB"/>
        </w:rPr>
        <w:t>Is Exchange Rate Risk Relevant?</w:t>
      </w:r>
    </w:p>
    <w:p w:rsidR="00C70C56" w:rsidRPr="00391169" w:rsidRDefault="00C70C56" w:rsidP="00AC5AD5">
      <w:pPr>
        <w:autoSpaceDE w:val="0"/>
        <w:autoSpaceDN w:val="0"/>
        <w:adjustRightInd w:val="0"/>
        <w:spacing w:after="0" w:line="240" w:lineRule="auto"/>
        <w:jc w:val="both"/>
        <w:rPr>
          <w:rFonts w:ascii="Book Antiqua" w:hAnsi="Book Antiqua" w:cs="GalliardStd-Roman"/>
          <w:color w:val="000000"/>
          <w:sz w:val="24"/>
          <w:szCs w:val="24"/>
          <w:lang w:val="en-GB"/>
        </w:rPr>
      </w:pPr>
      <w:r w:rsidRPr="00391169">
        <w:rPr>
          <w:rFonts w:ascii="Book Antiqua" w:hAnsi="Book Antiqua" w:cs="GalliardStd-Roman"/>
          <w:color w:val="000000"/>
          <w:sz w:val="24"/>
          <w:szCs w:val="24"/>
          <w:lang w:val="en-GB"/>
        </w:rPr>
        <w:t>Some have argued that exchange rate risk is irrelevant. These contentions, in turn, have resulted in counterarguments, as summarized here.</w:t>
      </w:r>
    </w:p>
    <w:p w:rsidR="00C70C56" w:rsidRPr="00391169" w:rsidRDefault="00C70C56" w:rsidP="00AC5AD5">
      <w:pPr>
        <w:autoSpaceDE w:val="0"/>
        <w:autoSpaceDN w:val="0"/>
        <w:adjustRightInd w:val="0"/>
        <w:spacing w:after="0" w:line="240" w:lineRule="auto"/>
        <w:jc w:val="both"/>
        <w:rPr>
          <w:rFonts w:ascii="Book Antiqua" w:hAnsi="Book Antiqua" w:cs="HelveticaNeueLTStd-MdEx"/>
          <w:color w:val="006F9B"/>
          <w:sz w:val="24"/>
          <w:szCs w:val="24"/>
          <w:lang w:val="en-GB"/>
        </w:rPr>
      </w:pPr>
    </w:p>
    <w:p w:rsidR="00C70C56" w:rsidRPr="00391169" w:rsidRDefault="00C70C56" w:rsidP="00AC5AD5">
      <w:pPr>
        <w:autoSpaceDE w:val="0"/>
        <w:autoSpaceDN w:val="0"/>
        <w:adjustRightInd w:val="0"/>
        <w:spacing w:after="0" w:line="240" w:lineRule="auto"/>
        <w:jc w:val="both"/>
        <w:rPr>
          <w:rFonts w:ascii="Book Antiqua" w:hAnsi="Book Antiqua" w:cs="GalliardStd-Roman"/>
          <w:b/>
          <w:color w:val="000000"/>
          <w:sz w:val="24"/>
          <w:szCs w:val="24"/>
          <w:lang w:val="en-GB"/>
        </w:rPr>
      </w:pPr>
      <w:r w:rsidRPr="00391169">
        <w:rPr>
          <w:rFonts w:ascii="Book Antiqua" w:hAnsi="Book Antiqua" w:cs="GalliardStd-Roman"/>
          <w:b/>
          <w:color w:val="000000"/>
          <w:sz w:val="24"/>
          <w:szCs w:val="24"/>
          <w:lang w:val="en-GB"/>
        </w:rPr>
        <w:t>Purchasing Power Parity Argument</w:t>
      </w:r>
    </w:p>
    <w:p w:rsidR="00DF0D38" w:rsidRPr="00391169" w:rsidRDefault="00C70C56" w:rsidP="00AC5AD5">
      <w:pPr>
        <w:autoSpaceDE w:val="0"/>
        <w:autoSpaceDN w:val="0"/>
        <w:adjustRightInd w:val="0"/>
        <w:spacing w:after="0" w:line="240" w:lineRule="auto"/>
        <w:jc w:val="both"/>
        <w:rPr>
          <w:rFonts w:ascii="Book Antiqua" w:hAnsi="Book Antiqua" w:cs="GalliardStd-Roman"/>
          <w:color w:val="000000"/>
          <w:sz w:val="24"/>
          <w:szCs w:val="24"/>
          <w:lang w:val="en-GB"/>
        </w:rPr>
      </w:pPr>
      <w:r w:rsidRPr="00391169">
        <w:rPr>
          <w:rFonts w:ascii="Book Antiqua" w:hAnsi="Book Antiqua" w:cs="GalliardStd-Roman"/>
          <w:color w:val="000000"/>
          <w:sz w:val="24"/>
          <w:szCs w:val="24"/>
          <w:lang w:val="en-GB"/>
        </w:rPr>
        <w:t>One argument for exchange rate irrelevance is that, according to purchasing power parity (PPP) theory, exchange rate movements are just a response to differentials in price changes between countries. Therefore, the exchange rate effect is offset by the change in prices.</w:t>
      </w:r>
    </w:p>
    <w:p w:rsidR="00391169" w:rsidRPr="00391169" w:rsidRDefault="00391169" w:rsidP="00AC5AD5">
      <w:pPr>
        <w:autoSpaceDE w:val="0"/>
        <w:autoSpaceDN w:val="0"/>
        <w:adjustRightInd w:val="0"/>
        <w:spacing w:after="0" w:line="240" w:lineRule="auto"/>
        <w:jc w:val="both"/>
        <w:rPr>
          <w:rFonts w:ascii="Book Antiqua" w:hAnsi="Book Antiqua" w:cs="GalliardStd-Roman"/>
          <w:color w:val="000000"/>
          <w:sz w:val="24"/>
          <w:szCs w:val="24"/>
          <w:lang w:val="en-GB"/>
        </w:rPr>
      </w:pPr>
    </w:p>
    <w:p w:rsidR="00391169" w:rsidRDefault="00391169" w:rsidP="00AC5AD5">
      <w:pPr>
        <w:autoSpaceDE w:val="0"/>
        <w:autoSpaceDN w:val="0"/>
        <w:adjustRightInd w:val="0"/>
        <w:spacing w:after="0" w:line="240" w:lineRule="auto"/>
        <w:jc w:val="both"/>
        <w:rPr>
          <w:rFonts w:ascii="Book Antiqua" w:hAnsi="Book Antiqua" w:cs="GalliardStd-Roman"/>
          <w:sz w:val="24"/>
          <w:szCs w:val="24"/>
          <w:lang w:val="en-GB"/>
        </w:rPr>
      </w:pPr>
      <w:r w:rsidRPr="00391169">
        <w:rPr>
          <w:rFonts w:ascii="Book Antiqua" w:hAnsi="Book Antiqua" w:cs="GalliardStd-Roman"/>
          <w:sz w:val="24"/>
          <w:szCs w:val="24"/>
          <w:lang w:val="en-GB"/>
        </w:rPr>
        <w:t>PPP does not necessarily hold, however, so the exchange rate will not necessarily change in accordance with the inflation differential between the two countries. Since a perfect offsetting effect is unlikely, the firm’s competitive capabilities may indeed be influenced by exchange rate movements. Even if PPP did hold over a very long period of time, this would not comfort managers of MNCs that are focusing on the next quarter or year.</w:t>
      </w:r>
    </w:p>
    <w:p w:rsidR="00391169" w:rsidRDefault="00391169" w:rsidP="00AC5AD5">
      <w:pPr>
        <w:autoSpaceDE w:val="0"/>
        <w:autoSpaceDN w:val="0"/>
        <w:adjustRightInd w:val="0"/>
        <w:spacing w:after="0" w:line="240" w:lineRule="auto"/>
        <w:jc w:val="both"/>
        <w:rPr>
          <w:rFonts w:ascii="Book Antiqua" w:hAnsi="Book Antiqua" w:cs="GalliardStd-Roman"/>
          <w:sz w:val="24"/>
          <w:szCs w:val="24"/>
          <w:lang w:val="en-GB"/>
        </w:rPr>
      </w:pPr>
    </w:p>
    <w:p w:rsidR="00391169" w:rsidRPr="00391169" w:rsidRDefault="00391169" w:rsidP="00AC5AD5">
      <w:pPr>
        <w:autoSpaceDE w:val="0"/>
        <w:autoSpaceDN w:val="0"/>
        <w:adjustRightInd w:val="0"/>
        <w:spacing w:after="0" w:line="240" w:lineRule="auto"/>
        <w:jc w:val="both"/>
        <w:rPr>
          <w:rFonts w:ascii="Book Antiqua" w:hAnsi="Book Antiqua" w:cs="GalliardStd-Roman"/>
          <w:b/>
          <w:sz w:val="24"/>
          <w:szCs w:val="24"/>
          <w:lang w:val="en-GB"/>
        </w:rPr>
      </w:pPr>
      <w:r w:rsidRPr="00391169">
        <w:rPr>
          <w:rFonts w:ascii="Book Antiqua" w:hAnsi="Book Antiqua" w:cs="GalliardStd-Roman"/>
          <w:b/>
          <w:sz w:val="24"/>
          <w:szCs w:val="24"/>
          <w:lang w:val="en-GB"/>
        </w:rPr>
        <w:t>The Investor Hedge Argument</w:t>
      </w:r>
    </w:p>
    <w:p w:rsidR="00391169" w:rsidRPr="00391169" w:rsidRDefault="00391169" w:rsidP="00AC5AD5">
      <w:pPr>
        <w:autoSpaceDE w:val="0"/>
        <w:autoSpaceDN w:val="0"/>
        <w:adjustRightInd w:val="0"/>
        <w:spacing w:after="0" w:line="240" w:lineRule="auto"/>
        <w:jc w:val="both"/>
        <w:rPr>
          <w:rFonts w:ascii="Book Antiqua" w:hAnsi="Book Antiqua" w:cs="GalliardStd-Roman"/>
          <w:sz w:val="24"/>
          <w:szCs w:val="24"/>
          <w:lang w:val="en-GB"/>
        </w:rPr>
      </w:pPr>
      <w:r w:rsidRPr="00391169">
        <w:rPr>
          <w:rFonts w:ascii="Book Antiqua" w:hAnsi="Book Antiqua" w:cs="GalliardStd-Roman"/>
          <w:sz w:val="24"/>
          <w:szCs w:val="24"/>
          <w:lang w:val="en-GB"/>
        </w:rPr>
        <w:t>A second argument for exchange rate irrelevance is that investors in MNCs can hedge exchange rate risk on their own. The investor hedge argument assumes that investors have complete information on corporate exposure to exchange rate fluctuations as well as the capabilities to correctly insulate their individual exposure. To the extent that investors prefer that investors prefer that corporations perform the hedging for them, exchange rate exposure is relevant to corporations. An MNC may be able to hedge at a lower cost than individual investors. In addition, it has more information about its exposure and can more effectively hedge its exposure.</w:t>
      </w:r>
    </w:p>
    <w:p w:rsidR="00391169" w:rsidRDefault="00391169" w:rsidP="00AC5AD5">
      <w:pPr>
        <w:autoSpaceDE w:val="0"/>
        <w:autoSpaceDN w:val="0"/>
        <w:adjustRightInd w:val="0"/>
        <w:spacing w:after="0" w:line="240" w:lineRule="auto"/>
        <w:jc w:val="both"/>
        <w:rPr>
          <w:rFonts w:ascii="Book Antiqua" w:hAnsi="Book Antiqua" w:cs="GalliardStd-Roman"/>
          <w:sz w:val="24"/>
          <w:szCs w:val="24"/>
          <w:lang w:val="en-GB"/>
        </w:rPr>
      </w:pPr>
    </w:p>
    <w:p w:rsidR="00391169" w:rsidRPr="00391169" w:rsidRDefault="00391169" w:rsidP="00AC5AD5">
      <w:pPr>
        <w:autoSpaceDE w:val="0"/>
        <w:autoSpaceDN w:val="0"/>
        <w:adjustRightInd w:val="0"/>
        <w:spacing w:after="0" w:line="240" w:lineRule="auto"/>
        <w:jc w:val="both"/>
        <w:rPr>
          <w:rFonts w:ascii="Book Antiqua" w:hAnsi="Book Antiqua" w:cs="GalliardStd-Roman"/>
          <w:b/>
          <w:sz w:val="24"/>
          <w:szCs w:val="24"/>
          <w:lang w:val="en-GB"/>
        </w:rPr>
      </w:pPr>
      <w:r w:rsidRPr="00391169">
        <w:rPr>
          <w:rFonts w:ascii="Book Antiqua" w:hAnsi="Book Antiqua" w:cs="GalliardStd-Roman"/>
          <w:b/>
          <w:sz w:val="24"/>
          <w:szCs w:val="24"/>
          <w:lang w:val="en-GB"/>
        </w:rPr>
        <w:t>Currency Diversification Argument</w:t>
      </w:r>
    </w:p>
    <w:p w:rsidR="00391169" w:rsidRPr="00391169" w:rsidRDefault="00391169" w:rsidP="00AC5AD5">
      <w:pPr>
        <w:autoSpaceDE w:val="0"/>
        <w:autoSpaceDN w:val="0"/>
        <w:adjustRightInd w:val="0"/>
        <w:spacing w:after="0" w:line="240" w:lineRule="auto"/>
        <w:jc w:val="both"/>
        <w:rPr>
          <w:rFonts w:ascii="Book Antiqua" w:hAnsi="Book Antiqua" w:cs="GalliardStd-Roman"/>
          <w:sz w:val="24"/>
          <w:szCs w:val="24"/>
          <w:lang w:val="en-GB"/>
        </w:rPr>
      </w:pPr>
      <w:r w:rsidRPr="00391169">
        <w:rPr>
          <w:rFonts w:ascii="Book Antiqua" w:hAnsi="Book Antiqua" w:cs="GalliardStd-Roman"/>
          <w:sz w:val="24"/>
          <w:szCs w:val="24"/>
          <w:lang w:val="en-GB"/>
        </w:rPr>
        <w:t>An</w:t>
      </w:r>
      <w:r>
        <w:rPr>
          <w:rFonts w:ascii="Book Antiqua" w:hAnsi="Book Antiqua" w:cs="GalliardStd-Roman"/>
          <w:sz w:val="24"/>
          <w:szCs w:val="24"/>
          <w:lang w:val="en-GB"/>
        </w:rPr>
        <w:t>other argument is that if a Kenya</w:t>
      </w:r>
      <w:r w:rsidRPr="00391169">
        <w:rPr>
          <w:rFonts w:ascii="Book Antiqua" w:hAnsi="Book Antiqua" w:cs="GalliardStd-Roman"/>
          <w:sz w:val="24"/>
          <w:szCs w:val="24"/>
          <w:lang w:val="en-GB"/>
        </w:rPr>
        <w:t>-based MNC is well diversified across numerous countries, its value will not be affected by exchange rate movements because of offsetting effects. It is naive, however, to presume that exchange rate effects will offset each other just because an MNC has transactions in many different currencies.</w:t>
      </w:r>
    </w:p>
    <w:p w:rsidR="00391169" w:rsidRDefault="00391169" w:rsidP="00AC5AD5">
      <w:pPr>
        <w:autoSpaceDE w:val="0"/>
        <w:autoSpaceDN w:val="0"/>
        <w:adjustRightInd w:val="0"/>
        <w:spacing w:after="0" w:line="240" w:lineRule="auto"/>
        <w:jc w:val="both"/>
        <w:rPr>
          <w:rFonts w:ascii="Book Antiqua" w:hAnsi="Book Antiqua" w:cs="GalliardStd-Roman"/>
          <w:sz w:val="24"/>
          <w:szCs w:val="24"/>
          <w:lang w:val="en-GB"/>
        </w:rPr>
      </w:pPr>
    </w:p>
    <w:p w:rsidR="00391169" w:rsidRPr="00391169" w:rsidRDefault="00391169" w:rsidP="00AC5AD5">
      <w:pPr>
        <w:autoSpaceDE w:val="0"/>
        <w:autoSpaceDN w:val="0"/>
        <w:adjustRightInd w:val="0"/>
        <w:spacing w:after="0" w:line="240" w:lineRule="auto"/>
        <w:jc w:val="both"/>
        <w:rPr>
          <w:rFonts w:ascii="Book Antiqua" w:hAnsi="Book Antiqua" w:cs="GalliardStd-Roman"/>
          <w:b/>
          <w:sz w:val="24"/>
          <w:szCs w:val="24"/>
          <w:lang w:val="en-GB"/>
        </w:rPr>
      </w:pPr>
      <w:r w:rsidRPr="00391169">
        <w:rPr>
          <w:rFonts w:ascii="Book Antiqua" w:hAnsi="Book Antiqua" w:cs="GalliardStd-Roman"/>
          <w:b/>
          <w:sz w:val="24"/>
          <w:szCs w:val="24"/>
          <w:lang w:val="en-GB"/>
        </w:rPr>
        <w:t>Stakeholder Diversification Argument</w:t>
      </w:r>
    </w:p>
    <w:p w:rsidR="00391169" w:rsidRDefault="00391169" w:rsidP="00AC5AD5">
      <w:pPr>
        <w:autoSpaceDE w:val="0"/>
        <w:autoSpaceDN w:val="0"/>
        <w:adjustRightInd w:val="0"/>
        <w:spacing w:after="0" w:line="240" w:lineRule="auto"/>
        <w:jc w:val="both"/>
        <w:rPr>
          <w:rFonts w:ascii="Book Antiqua" w:hAnsi="Book Antiqua" w:cs="GalliardStd-Roman"/>
          <w:sz w:val="24"/>
          <w:szCs w:val="24"/>
          <w:lang w:val="en-GB"/>
        </w:rPr>
      </w:pPr>
      <w:r w:rsidRPr="00391169">
        <w:rPr>
          <w:rFonts w:ascii="Book Antiqua" w:hAnsi="Book Antiqua" w:cs="GalliardStd-Roman"/>
          <w:sz w:val="24"/>
          <w:szCs w:val="24"/>
          <w:lang w:val="en-GB"/>
        </w:rPr>
        <w:t>Some critics also argue that if stakeholders (such as creditors or stockholders) are well diversified, they will be somewhat insulated against losses experienced by an MNC due to exchange rate risk. Many MNCs are similarly affected by exchange rate movements, however, so it is difficult to compose a diversified portfolio of stocks that will be insulated from exchange rate movements.</w:t>
      </w:r>
    </w:p>
    <w:p w:rsidR="00425EEB" w:rsidRDefault="00425EEB" w:rsidP="00AC5AD5">
      <w:pPr>
        <w:autoSpaceDE w:val="0"/>
        <w:autoSpaceDN w:val="0"/>
        <w:adjustRightInd w:val="0"/>
        <w:spacing w:after="0" w:line="240" w:lineRule="auto"/>
        <w:jc w:val="both"/>
        <w:rPr>
          <w:rFonts w:ascii="Book Antiqua" w:hAnsi="Book Antiqua" w:cs="GalliardStd-Roman"/>
          <w:sz w:val="24"/>
          <w:szCs w:val="24"/>
          <w:lang w:val="en-GB"/>
        </w:rPr>
      </w:pPr>
    </w:p>
    <w:p w:rsidR="00425EEB" w:rsidRPr="00391169" w:rsidRDefault="00425EEB" w:rsidP="00AC5AD5">
      <w:pPr>
        <w:autoSpaceDE w:val="0"/>
        <w:autoSpaceDN w:val="0"/>
        <w:adjustRightInd w:val="0"/>
        <w:spacing w:after="0" w:line="240" w:lineRule="auto"/>
        <w:jc w:val="both"/>
        <w:rPr>
          <w:rFonts w:ascii="Book Antiqua" w:hAnsi="Book Antiqua" w:cs="GalliardStd-Roman"/>
          <w:sz w:val="24"/>
          <w:szCs w:val="24"/>
          <w:lang w:val="en-GB"/>
        </w:rPr>
      </w:pPr>
    </w:p>
    <w:p w:rsidR="00425EEB" w:rsidRPr="00425EEB" w:rsidRDefault="00425EEB" w:rsidP="00AC5AD5">
      <w:pPr>
        <w:autoSpaceDE w:val="0"/>
        <w:autoSpaceDN w:val="0"/>
        <w:adjustRightInd w:val="0"/>
        <w:spacing w:after="0" w:line="240" w:lineRule="auto"/>
        <w:jc w:val="both"/>
        <w:rPr>
          <w:rFonts w:ascii="Book Antiqua" w:hAnsi="Book Antiqua" w:cs="GalliardStd-Roman"/>
          <w:b/>
          <w:sz w:val="24"/>
          <w:szCs w:val="24"/>
          <w:lang w:val="en-GB"/>
        </w:rPr>
      </w:pPr>
      <w:r w:rsidRPr="00425EEB">
        <w:rPr>
          <w:rFonts w:ascii="Book Antiqua" w:hAnsi="Book Antiqua" w:cs="GalliardStd-Roman"/>
          <w:b/>
          <w:sz w:val="24"/>
          <w:szCs w:val="24"/>
          <w:lang w:val="en-GB"/>
        </w:rPr>
        <w:t>Response from MNCs</w:t>
      </w:r>
    </w:p>
    <w:p w:rsidR="00425EEB" w:rsidRPr="00425EEB" w:rsidRDefault="00425EEB" w:rsidP="00AC5AD5">
      <w:pPr>
        <w:autoSpaceDE w:val="0"/>
        <w:autoSpaceDN w:val="0"/>
        <w:adjustRightInd w:val="0"/>
        <w:spacing w:after="0" w:line="240" w:lineRule="auto"/>
        <w:jc w:val="both"/>
        <w:rPr>
          <w:rFonts w:ascii="Book Antiqua" w:hAnsi="Book Antiqua" w:cs="GalliardStd-Roman"/>
          <w:sz w:val="24"/>
          <w:szCs w:val="24"/>
          <w:lang w:val="en-GB"/>
        </w:rPr>
      </w:pPr>
      <w:r w:rsidRPr="00425EEB">
        <w:rPr>
          <w:rFonts w:ascii="Book Antiqua" w:hAnsi="Book Antiqua" w:cs="GalliardStd-Roman"/>
          <w:sz w:val="24"/>
          <w:szCs w:val="24"/>
          <w:lang w:val="en-GB"/>
        </w:rPr>
        <w:t>Creditors that provide loans to MNCs can experience large losses if the MNCs experience financial problems. Thus, creditors may prefer that the MNCs maintain low exposure to exchange rate risk. Consequently, MNCs that hedge their exposure to risk may be able to borrow funds at a lower cost.</w:t>
      </w:r>
    </w:p>
    <w:p w:rsidR="00391169" w:rsidRPr="00425EEB" w:rsidRDefault="00425EEB" w:rsidP="00AC5AD5">
      <w:pPr>
        <w:autoSpaceDE w:val="0"/>
        <w:autoSpaceDN w:val="0"/>
        <w:adjustRightInd w:val="0"/>
        <w:spacing w:after="0" w:line="240" w:lineRule="auto"/>
        <w:jc w:val="both"/>
        <w:rPr>
          <w:rFonts w:ascii="Book Antiqua" w:hAnsi="Book Antiqua" w:cs="GalliardStd-Roman"/>
          <w:sz w:val="24"/>
          <w:szCs w:val="24"/>
          <w:lang w:val="en-GB"/>
        </w:rPr>
      </w:pPr>
      <w:r w:rsidRPr="00425EEB">
        <w:rPr>
          <w:rFonts w:ascii="Book Antiqua" w:hAnsi="Book Antiqua" w:cs="GalliardStd-Roman"/>
          <w:sz w:val="24"/>
          <w:szCs w:val="24"/>
          <w:lang w:val="en-GB"/>
        </w:rPr>
        <w:lastRenderedPageBreak/>
        <w:t>To the extent that MNCs can stabilize their earnings over time by hedging their exchange rate risk, they may also reduce their general operating expenses over time (by avoiding costs of downsizing and restructuring). Many MNCs, including Kenya Airways, and British Airways have attempted to stabilize their earnings with hedging strategies because they believe exchange rate risk is relevant. Further evidence that MNCs consider exchange rate risk to be relevant can be found in annual reports.</w:t>
      </w:r>
    </w:p>
    <w:p w:rsidR="00425EEB" w:rsidRPr="00425EEB" w:rsidRDefault="00425EEB" w:rsidP="00AC5AD5">
      <w:pPr>
        <w:autoSpaceDE w:val="0"/>
        <w:autoSpaceDN w:val="0"/>
        <w:adjustRightInd w:val="0"/>
        <w:spacing w:after="0" w:line="240" w:lineRule="auto"/>
        <w:jc w:val="both"/>
        <w:rPr>
          <w:rFonts w:ascii="Book Antiqua" w:hAnsi="Book Antiqua" w:cs="GalliardStd-Roman"/>
          <w:sz w:val="24"/>
          <w:szCs w:val="24"/>
          <w:lang w:val="en-GB"/>
        </w:rPr>
      </w:pPr>
    </w:p>
    <w:p w:rsidR="00425EEB" w:rsidRPr="00425EEB" w:rsidRDefault="00425EEB" w:rsidP="00AC5AD5">
      <w:pPr>
        <w:autoSpaceDE w:val="0"/>
        <w:autoSpaceDN w:val="0"/>
        <w:adjustRightInd w:val="0"/>
        <w:spacing w:after="0" w:line="240" w:lineRule="auto"/>
        <w:jc w:val="both"/>
        <w:rPr>
          <w:rFonts w:ascii="Book Antiqua" w:hAnsi="Book Antiqua" w:cs="GalliardStd-Roman"/>
          <w:b/>
          <w:sz w:val="24"/>
          <w:szCs w:val="24"/>
          <w:lang w:val="en-GB"/>
        </w:rPr>
      </w:pPr>
      <w:r w:rsidRPr="00425EEB">
        <w:rPr>
          <w:rFonts w:ascii="Book Antiqua" w:hAnsi="Book Antiqua" w:cs="GalliardStd-Roman"/>
          <w:b/>
          <w:sz w:val="24"/>
          <w:szCs w:val="24"/>
          <w:lang w:val="en-GB"/>
        </w:rPr>
        <w:t>Types of Exposure</w:t>
      </w:r>
    </w:p>
    <w:p w:rsidR="00425EEB" w:rsidRPr="00425EEB" w:rsidRDefault="00425EEB" w:rsidP="00AC5AD5">
      <w:pPr>
        <w:autoSpaceDE w:val="0"/>
        <w:autoSpaceDN w:val="0"/>
        <w:adjustRightInd w:val="0"/>
        <w:spacing w:after="0" w:line="240" w:lineRule="auto"/>
        <w:jc w:val="both"/>
        <w:rPr>
          <w:rFonts w:ascii="Book Antiqua" w:hAnsi="Book Antiqua" w:cs="GalliardStd-Roman"/>
          <w:sz w:val="24"/>
          <w:szCs w:val="24"/>
          <w:lang w:val="en-GB"/>
        </w:rPr>
      </w:pPr>
      <w:r w:rsidRPr="00425EEB">
        <w:rPr>
          <w:rFonts w:ascii="Book Antiqua" w:hAnsi="Book Antiqua" w:cs="GalliardStd-Roman"/>
          <w:sz w:val="24"/>
          <w:szCs w:val="24"/>
          <w:lang w:val="en-GB"/>
        </w:rPr>
        <w:t>As mentioned in the previous chapter, exchange rates cannot be forecasted with perfect accuracy, but the firm can at least measure its exposure to exchange rate fluctuations. If the firm is highly exposed to exchange rate fluctuations, it can consider techniques to reduce its exposure. Such techniques</w:t>
      </w:r>
      <w:r w:rsidR="009D43BC">
        <w:rPr>
          <w:rFonts w:ascii="Book Antiqua" w:hAnsi="Book Antiqua" w:cs="GalliardStd-Roman"/>
          <w:sz w:val="24"/>
          <w:szCs w:val="24"/>
          <w:lang w:val="en-GB"/>
        </w:rPr>
        <w:t xml:space="preserve"> are identified in the next</w:t>
      </w:r>
      <w:r w:rsidRPr="00425EEB">
        <w:rPr>
          <w:rFonts w:ascii="Book Antiqua" w:hAnsi="Book Antiqua" w:cs="GalliardStd-Roman"/>
          <w:sz w:val="24"/>
          <w:szCs w:val="24"/>
          <w:lang w:val="en-GB"/>
        </w:rPr>
        <w:t xml:space="preserve"> chapter. Before choosing among them, the firm should first measure its degree of exposure.</w:t>
      </w:r>
    </w:p>
    <w:p w:rsidR="00425EEB" w:rsidRPr="00425EEB" w:rsidRDefault="00425EEB" w:rsidP="00AC5AD5">
      <w:pPr>
        <w:autoSpaceDE w:val="0"/>
        <w:autoSpaceDN w:val="0"/>
        <w:adjustRightInd w:val="0"/>
        <w:spacing w:after="0" w:line="240" w:lineRule="auto"/>
        <w:jc w:val="both"/>
        <w:rPr>
          <w:rFonts w:ascii="Book Antiqua" w:hAnsi="Book Antiqua" w:cs="GalliardStd-Roman"/>
          <w:sz w:val="24"/>
          <w:szCs w:val="24"/>
          <w:lang w:val="en-GB"/>
        </w:rPr>
      </w:pPr>
    </w:p>
    <w:p w:rsidR="00425EEB" w:rsidRPr="00425EEB" w:rsidRDefault="00425EEB" w:rsidP="00AC5AD5">
      <w:pPr>
        <w:autoSpaceDE w:val="0"/>
        <w:autoSpaceDN w:val="0"/>
        <w:adjustRightInd w:val="0"/>
        <w:spacing w:after="0" w:line="240" w:lineRule="auto"/>
        <w:jc w:val="both"/>
        <w:rPr>
          <w:rFonts w:ascii="Book Antiqua" w:hAnsi="Book Antiqua" w:cs="GalliardStd-Roman"/>
          <w:sz w:val="24"/>
          <w:szCs w:val="24"/>
          <w:lang w:val="en-GB"/>
        </w:rPr>
      </w:pPr>
      <w:r w:rsidRPr="00425EEB">
        <w:rPr>
          <w:rFonts w:ascii="Book Antiqua" w:hAnsi="Book Antiqua" w:cs="GalliardStd-Roman"/>
          <w:sz w:val="24"/>
          <w:szCs w:val="24"/>
          <w:lang w:val="en-GB"/>
        </w:rPr>
        <w:t>Exposure to exchange rate fluctuations comes in three forms:</w:t>
      </w:r>
    </w:p>
    <w:p w:rsidR="00425EEB" w:rsidRPr="00425EEB" w:rsidRDefault="00425EEB" w:rsidP="00AC5AD5">
      <w:pPr>
        <w:pStyle w:val="ListParagraph"/>
        <w:numPr>
          <w:ilvl w:val="0"/>
          <w:numId w:val="1"/>
        </w:numPr>
        <w:autoSpaceDE w:val="0"/>
        <w:autoSpaceDN w:val="0"/>
        <w:adjustRightInd w:val="0"/>
        <w:spacing w:after="0" w:line="240" w:lineRule="auto"/>
        <w:jc w:val="both"/>
        <w:rPr>
          <w:rFonts w:ascii="Book Antiqua" w:hAnsi="Book Antiqua" w:cs="GalliardStd-Roman"/>
          <w:sz w:val="24"/>
          <w:szCs w:val="24"/>
          <w:lang w:val="en-GB"/>
        </w:rPr>
      </w:pPr>
      <w:r w:rsidRPr="00425EEB">
        <w:rPr>
          <w:rFonts w:ascii="Book Antiqua" w:hAnsi="Book Antiqua" w:cs="GalliardStd-Roman"/>
          <w:sz w:val="24"/>
          <w:szCs w:val="24"/>
          <w:lang w:val="en-GB"/>
        </w:rPr>
        <w:t>Transaction exposure</w:t>
      </w:r>
      <w:r>
        <w:rPr>
          <w:rFonts w:ascii="Book Antiqua" w:hAnsi="Book Antiqua" w:cs="GalliardStd-Roman"/>
          <w:sz w:val="24"/>
          <w:szCs w:val="24"/>
          <w:lang w:val="en-GB"/>
        </w:rPr>
        <w:t>.</w:t>
      </w:r>
    </w:p>
    <w:p w:rsidR="00425EEB" w:rsidRPr="00425EEB" w:rsidRDefault="00425EEB" w:rsidP="00AC5AD5">
      <w:pPr>
        <w:pStyle w:val="ListParagraph"/>
        <w:numPr>
          <w:ilvl w:val="0"/>
          <w:numId w:val="1"/>
        </w:numPr>
        <w:autoSpaceDE w:val="0"/>
        <w:autoSpaceDN w:val="0"/>
        <w:adjustRightInd w:val="0"/>
        <w:spacing w:after="0" w:line="240" w:lineRule="auto"/>
        <w:jc w:val="both"/>
        <w:rPr>
          <w:rFonts w:ascii="Book Antiqua" w:hAnsi="Book Antiqua" w:cs="GalliardStd-Roman"/>
          <w:sz w:val="24"/>
          <w:szCs w:val="24"/>
          <w:lang w:val="en-GB"/>
        </w:rPr>
      </w:pPr>
      <w:r w:rsidRPr="00425EEB">
        <w:rPr>
          <w:rFonts w:ascii="Book Antiqua" w:hAnsi="Book Antiqua" w:cs="GalliardStd-Roman"/>
          <w:sz w:val="24"/>
          <w:szCs w:val="24"/>
          <w:lang w:val="en-GB"/>
        </w:rPr>
        <w:t>Economic exposure</w:t>
      </w:r>
      <w:r>
        <w:rPr>
          <w:rFonts w:ascii="Book Antiqua" w:hAnsi="Book Antiqua" w:cs="GalliardStd-Roman"/>
          <w:sz w:val="24"/>
          <w:szCs w:val="24"/>
          <w:lang w:val="en-GB"/>
        </w:rPr>
        <w:t>.</w:t>
      </w:r>
    </w:p>
    <w:p w:rsidR="00425EEB" w:rsidRPr="00425EEB" w:rsidRDefault="00425EEB" w:rsidP="00AC5AD5">
      <w:pPr>
        <w:pStyle w:val="ListParagraph"/>
        <w:numPr>
          <w:ilvl w:val="0"/>
          <w:numId w:val="1"/>
        </w:numPr>
        <w:autoSpaceDE w:val="0"/>
        <w:autoSpaceDN w:val="0"/>
        <w:adjustRightInd w:val="0"/>
        <w:spacing w:after="0" w:line="240" w:lineRule="auto"/>
        <w:jc w:val="both"/>
        <w:rPr>
          <w:rFonts w:ascii="Book Antiqua" w:hAnsi="Book Antiqua" w:cs="GalliardStd-Roman"/>
          <w:sz w:val="24"/>
          <w:szCs w:val="24"/>
          <w:lang w:val="en-GB"/>
        </w:rPr>
      </w:pPr>
      <w:r w:rsidRPr="00425EEB">
        <w:rPr>
          <w:rFonts w:ascii="Book Antiqua" w:hAnsi="Book Antiqua" w:cs="GalliardStd-Roman"/>
          <w:sz w:val="24"/>
          <w:szCs w:val="24"/>
          <w:lang w:val="en-GB"/>
        </w:rPr>
        <w:t>Translation exposure</w:t>
      </w:r>
      <w:r>
        <w:rPr>
          <w:rFonts w:ascii="Book Antiqua" w:hAnsi="Book Antiqua" w:cs="GalliardStd-Roman"/>
          <w:sz w:val="24"/>
          <w:szCs w:val="24"/>
          <w:lang w:val="en-GB"/>
        </w:rPr>
        <w:t>.</w:t>
      </w:r>
    </w:p>
    <w:p w:rsidR="00391169" w:rsidRDefault="00425EEB" w:rsidP="00AC5AD5">
      <w:pPr>
        <w:autoSpaceDE w:val="0"/>
        <w:autoSpaceDN w:val="0"/>
        <w:adjustRightInd w:val="0"/>
        <w:spacing w:after="0" w:line="240" w:lineRule="auto"/>
        <w:jc w:val="both"/>
        <w:rPr>
          <w:rFonts w:ascii="Book Antiqua" w:hAnsi="Book Antiqua" w:cs="GalliardStd-Roman"/>
          <w:sz w:val="24"/>
          <w:szCs w:val="24"/>
          <w:lang w:val="en-GB"/>
        </w:rPr>
      </w:pPr>
      <w:r w:rsidRPr="00425EEB">
        <w:rPr>
          <w:rFonts w:ascii="Book Antiqua" w:hAnsi="Book Antiqua" w:cs="GalliardStd-Roman"/>
          <w:sz w:val="24"/>
          <w:szCs w:val="24"/>
          <w:lang w:val="en-GB"/>
        </w:rPr>
        <w:t>Each type of exposure will be discussed in turn.</w:t>
      </w:r>
    </w:p>
    <w:p w:rsidR="00425EEB" w:rsidRDefault="00425EEB" w:rsidP="00AC5AD5">
      <w:pPr>
        <w:autoSpaceDE w:val="0"/>
        <w:autoSpaceDN w:val="0"/>
        <w:adjustRightInd w:val="0"/>
        <w:spacing w:after="0" w:line="240" w:lineRule="auto"/>
        <w:jc w:val="both"/>
        <w:rPr>
          <w:rFonts w:ascii="Book Antiqua" w:hAnsi="Book Antiqua" w:cs="GalliardStd-Roman"/>
          <w:sz w:val="24"/>
          <w:szCs w:val="24"/>
          <w:lang w:val="en-GB"/>
        </w:rPr>
      </w:pPr>
    </w:p>
    <w:p w:rsidR="00425EEB" w:rsidRPr="00635570" w:rsidRDefault="00635570" w:rsidP="00AC5AD5">
      <w:pPr>
        <w:autoSpaceDE w:val="0"/>
        <w:autoSpaceDN w:val="0"/>
        <w:adjustRightInd w:val="0"/>
        <w:spacing w:after="0" w:line="240" w:lineRule="auto"/>
        <w:jc w:val="both"/>
        <w:rPr>
          <w:rFonts w:ascii="Book Antiqua" w:hAnsi="Book Antiqua" w:cs="GalliardStd-Roman"/>
          <w:b/>
          <w:sz w:val="24"/>
          <w:szCs w:val="24"/>
          <w:u w:val="single"/>
          <w:lang w:val="en-GB"/>
        </w:rPr>
      </w:pPr>
      <w:r w:rsidRPr="00635570">
        <w:rPr>
          <w:rFonts w:ascii="Book Antiqua" w:hAnsi="Book Antiqua" w:cs="GalliardStd-Roman"/>
          <w:b/>
          <w:sz w:val="24"/>
          <w:szCs w:val="24"/>
          <w:u w:val="single"/>
          <w:lang w:val="en-GB"/>
        </w:rPr>
        <w:t>TRANSACTION EXPOSURE</w:t>
      </w:r>
    </w:p>
    <w:p w:rsidR="00425EEB" w:rsidRPr="00425EEB" w:rsidRDefault="00425EEB" w:rsidP="00AC5AD5">
      <w:pPr>
        <w:autoSpaceDE w:val="0"/>
        <w:autoSpaceDN w:val="0"/>
        <w:adjustRightInd w:val="0"/>
        <w:spacing w:after="0" w:line="240" w:lineRule="auto"/>
        <w:jc w:val="both"/>
        <w:rPr>
          <w:rFonts w:ascii="Book Antiqua" w:hAnsi="Book Antiqua" w:cs="GalliardStd-Roman"/>
          <w:sz w:val="24"/>
          <w:szCs w:val="24"/>
          <w:lang w:val="en-GB"/>
        </w:rPr>
      </w:pPr>
      <w:r w:rsidRPr="00425EEB">
        <w:rPr>
          <w:rFonts w:ascii="Book Antiqua" w:hAnsi="Book Antiqua" w:cs="GalliardStd-Roman"/>
          <w:sz w:val="24"/>
          <w:szCs w:val="24"/>
          <w:lang w:val="en-GB"/>
        </w:rPr>
        <w:t>The value of a firm’s future contractual transactions in foreign currencies is affected by exchange rate movements. The sensitivity of the firm’s contractual transactions in foreign currencies to exchange rate movements is referred to as transaction exposure.</w:t>
      </w:r>
    </w:p>
    <w:p w:rsidR="00425EEB" w:rsidRPr="00425EEB" w:rsidRDefault="00425EEB" w:rsidP="00AC5AD5">
      <w:pPr>
        <w:autoSpaceDE w:val="0"/>
        <w:autoSpaceDN w:val="0"/>
        <w:adjustRightInd w:val="0"/>
        <w:spacing w:after="0" w:line="240" w:lineRule="auto"/>
        <w:jc w:val="both"/>
        <w:rPr>
          <w:rFonts w:ascii="Book Antiqua" w:hAnsi="Book Antiqua" w:cs="GalliardStd-Roman"/>
          <w:sz w:val="24"/>
          <w:szCs w:val="24"/>
          <w:lang w:val="en-GB"/>
        </w:rPr>
      </w:pPr>
    </w:p>
    <w:p w:rsidR="00425EEB" w:rsidRPr="00425EEB" w:rsidRDefault="00425EEB" w:rsidP="00AC5AD5">
      <w:pPr>
        <w:autoSpaceDE w:val="0"/>
        <w:autoSpaceDN w:val="0"/>
        <w:adjustRightInd w:val="0"/>
        <w:spacing w:after="0" w:line="240" w:lineRule="auto"/>
        <w:jc w:val="both"/>
        <w:rPr>
          <w:rFonts w:ascii="Book Antiqua" w:hAnsi="Book Antiqua" w:cs="GalliardStd-Roman"/>
          <w:sz w:val="24"/>
          <w:szCs w:val="24"/>
          <w:lang w:val="en-GB"/>
        </w:rPr>
      </w:pPr>
      <w:r w:rsidRPr="00425EEB">
        <w:rPr>
          <w:rFonts w:ascii="Book Antiqua" w:hAnsi="Book Antiqua" w:cs="GalliardStd-Roman"/>
          <w:sz w:val="24"/>
          <w:szCs w:val="24"/>
          <w:lang w:val="en-GB"/>
        </w:rPr>
        <w:t>Transaction exposure can have a substantial impact on a firm’s value. It is not unusual for a currency to change by as much as 10 percent in a given year. If an exporter denominates its exports in a foreign currency, a 10 percent decline in that currency will reduce the value of its receivables by 10 percent. This effect could possibly eliminate any profits from exporting.</w:t>
      </w:r>
    </w:p>
    <w:p w:rsidR="00425EEB" w:rsidRPr="00425EEB" w:rsidRDefault="00425EEB" w:rsidP="00AC5AD5">
      <w:pPr>
        <w:autoSpaceDE w:val="0"/>
        <w:autoSpaceDN w:val="0"/>
        <w:adjustRightInd w:val="0"/>
        <w:spacing w:after="0" w:line="240" w:lineRule="auto"/>
        <w:jc w:val="both"/>
        <w:rPr>
          <w:rFonts w:ascii="Book Antiqua" w:hAnsi="Book Antiqua" w:cs="GalliardStd-Roman"/>
          <w:sz w:val="24"/>
          <w:szCs w:val="24"/>
          <w:lang w:val="en-GB"/>
        </w:rPr>
      </w:pPr>
      <w:r w:rsidRPr="00425EEB">
        <w:rPr>
          <w:rFonts w:ascii="Book Antiqua" w:hAnsi="Book Antiqua" w:cs="GalliardStd-Roman"/>
          <w:sz w:val="24"/>
          <w:szCs w:val="24"/>
          <w:lang w:val="en-GB"/>
        </w:rPr>
        <w:t xml:space="preserve">To assess transaction exposure, an MNC needs to </w:t>
      </w:r>
    </w:p>
    <w:p w:rsidR="00425EEB" w:rsidRPr="00425EEB" w:rsidRDefault="00425EEB" w:rsidP="00AC5AD5">
      <w:pPr>
        <w:pStyle w:val="ListParagraph"/>
        <w:numPr>
          <w:ilvl w:val="0"/>
          <w:numId w:val="2"/>
        </w:numPr>
        <w:autoSpaceDE w:val="0"/>
        <w:autoSpaceDN w:val="0"/>
        <w:adjustRightInd w:val="0"/>
        <w:spacing w:after="0" w:line="240" w:lineRule="auto"/>
        <w:ind w:left="426"/>
        <w:jc w:val="both"/>
        <w:rPr>
          <w:rFonts w:ascii="Book Antiqua" w:hAnsi="Book Antiqua" w:cs="GalliardStd-Roman"/>
          <w:i/>
          <w:sz w:val="24"/>
          <w:szCs w:val="24"/>
          <w:lang w:val="en-GB"/>
        </w:rPr>
      </w:pPr>
      <w:r w:rsidRPr="00425EEB">
        <w:rPr>
          <w:rFonts w:ascii="Book Antiqua" w:hAnsi="Book Antiqua" w:cs="GalliardStd-Roman"/>
          <w:i/>
          <w:sz w:val="24"/>
          <w:szCs w:val="24"/>
          <w:lang w:val="en-GB"/>
        </w:rPr>
        <w:t xml:space="preserve">Estimate its net cash flows in each currency and, </w:t>
      </w:r>
    </w:p>
    <w:p w:rsidR="00425EEB" w:rsidRDefault="00425EEB" w:rsidP="00AC5AD5">
      <w:pPr>
        <w:autoSpaceDE w:val="0"/>
        <w:autoSpaceDN w:val="0"/>
        <w:adjustRightInd w:val="0"/>
        <w:spacing w:after="0" w:line="240" w:lineRule="auto"/>
        <w:jc w:val="both"/>
        <w:rPr>
          <w:rFonts w:ascii="Book Antiqua" w:hAnsi="Book Antiqua" w:cs="GalliardStd-Roman"/>
          <w:sz w:val="24"/>
          <w:szCs w:val="24"/>
          <w:lang w:val="en-GB"/>
        </w:rPr>
      </w:pPr>
      <w:r w:rsidRPr="00425EEB">
        <w:rPr>
          <w:rFonts w:ascii="Book Antiqua" w:hAnsi="Book Antiqua" w:cs="GalliardStd-Roman"/>
          <w:sz w:val="24"/>
          <w:szCs w:val="24"/>
          <w:lang w:val="en-GB"/>
        </w:rPr>
        <w:t>To measure its transaction exposure, an MNC needs to project the consolidated net amount in currency inflows or outflows for all its subsidiaries, categorized by currency. One foreign subsidiary may have inflows of a foreign currency while another has outflows of that same currency. In that case, the MNC’s net cash flows of that currency overall may be negligible. If most of the MNC’s subsidiaries have future inflows in another currency, however, the net cash flows in that currency could be substantial. Estimating the consolidated net cash flows per currency is a useful first step when assessing an MNC’s exposure because it helps to determine the MNC’s overall position in each currency.</w:t>
      </w:r>
    </w:p>
    <w:p w:rsidR="00AD003F" w:rsidRDefault="00AD003F" w:rsidP="00AC5AD5">
      <w:pPr>
        <w:autoSpaceDE w:val="0"/>
        <w:autoSpaceDN w:val="0"/>
        <w:adjustRightInd w:val="0"/>
        <w:spacing w:after="0" w:line="240" w:lineRule="auto"/>
        <w:jc w:val="both"/>
        <w:rPr>
          <w:rFonts w:ascii="Book Antiqua" w:hAnsi="Book Antiqua" w:cs="GalliardStd-Roman"/>
          <w:sz w:val="24"/>
          <w:szCs w:val="24"/>
          <w:lang w:val="en-GB"/>
        </w:rPr>
      </w:pPr>
    </w:p>
    <w:p w:rsidR="00AD003F" w:rsidRDefault="00AD003F" w:rsidP="00AC5AD5">
      <w:pPr>
        <w:autoSpaceDE w:val="0"/>
        <w:autoSpaceDN w:val="0"/>
        <w:adjustRightInd w:val="0"/>
        <w:spacing w:after="0" w:line="240" w:lineRule="auto"/>
        <w:jc w:val="both"/>
        <w:rPr>
          <w:rFonts w:ascii="Book Antiqua" w:hAnsi="Book Antiqua" w:cs="GalliardStd-Roman"/>
          <w:sz w:val="24"/>
          <w:szCs w:val="24"/>
          <w:lang w:val="en-GB"/>
        </w:rPr>
      </w:pPr>
    </w:p>
    <w:p w:rsidR="00AD003F" w:rsidRPr="00004C0C" w:rsidRDefault="00696CE2" w:rsidP="00AC5AD5">
      <w:pPr>
        <w:autoSpaceDE w:val="0"/>
        <w:autoSpaceDN w:val="0"/>
        <w:adjustRightInd w:val="0"/>
        <w:spacing w:after="0" w:line="240" w:lineRule="auto"/>
        <w:jc w:val="both"/>
        <w:rPr>
          <w:rFonts w:ascii="HelveticaNeueLTStd-Lt" w:hAnsi="HelveticaNeueLTStd-Lt" w:cs="HelveticaNeueLTStd-Lt"/>
          <w:i/>
          <w:sz w:val="20"/>
          <w:szCs w:val="20"/>
          <w:lang w:val="en-GB"/>
        </w:rPr>
      </w:pPr>
      <w:r w:rsidRPr="00004C0C">
        <w:rPr>
          <w:rFonts w:ascii="HelveticaNeueLTStd-Lt" w:hAnsi="HelveticaNeueLTStd-Lt" w:cs="HelveticaNeueLTStd-Lt"/>
          <w:i/>
          <w:sz w:val="20"/>
          <w:szCs w:val="20"/>
          <w:lang w:val="en-GB"/>
        </w:rPr>
        <w:t>Kisumu Co. conducts its international business in four currencies. Its objective is to first measure its exposure in each currency in the next quarter and then estimate its consolidated cash flows for one quarter ahead, as shown in the exhibit below</w:t>
      </w:r>
    </w:p>
    <w:p w:rsidR="003229E7" w:rsidRPr="00004C0C" w:rsidRDefault="003229E7" w:rsidP="00AC5AD5">
      <w:pPr>
        <w:autoSpaceDE w:val="0"/>
        <w:autoSpaceDN w:val="0"/>
        <w:adjustRightInd w:val="0"/>
        <w:spacing w:after="0" w:line="240" w:lineRule="auto"/>
        <w:jc w:val="both"/>
        <w:rPr>
          <w:rFonts w:ascii="HelveticaNeueLTStd-Lt" w:hAnsi="HelveticaNeueLTStd-Lt" w:cs="HelveticaNeueLTStd-Lt"/>
          <w:i/>
          <w:sz w:val="20"/>
          <w:szCs w:val="20"/>
          <w:lang w:val="en-GB"/>
        </w:rPr>
      </w:pPr>
    </w:p>
    <w:p w:rsidR="003229E7" w:rsidRPr="00004C0C" w:rsidRDefault="00004C0C" w:rsidP="00AC5AD5">
      <w:pPr>
        <w:autoSpaceDE w:val="0"/>
        <w:autoSpaceDN w:val="0"/>
        <w:adjustRightInd w:val="0"/>
        <w:spacing w:after="0" w:line="240" w:lineRule="auto"/>
        <w:jc w:val="both"/>
        <w:rPr>
          <w:rFonts w:ascii="HelveticaNeueLTStd-Lt" w:hAnsi="HelveticaNeueLTStd-Lt" w:cs="HelveticaNeueLTStd-Lt"/>
          <w:i/>
          <w:sz w:val="20"/>
          <w:szCs w:val="20"/>
          <w:lang w:val="en-GB"/>
        </w:rPr>
      </w:pPr>
      <w:r w:rsidRPr="00004C0C">
        <w:rPr>
          <w:rFonts w:ascii="HelveticaNeueLTStd-Lt" w:hAnsi="HelveticaNeueLTStd-Lt" w:cs="HelveticaNeueLTStd-Lt"/>
          <w:i/>
          <w:sz w:val="20"/>
          <w:szCs w:val="20"/>
          <w:lang w:val="en-GB"/>
        </w:rPr>
        <w:lastRenderedPageBreak/>
        <w:t xml:space="preserve">The information in Table </w:t>
      </w:r>
      <w:r w:rsidR="003229E7" w:rsidRPr="00004C0C">
        <w:rPr>
          <w:rFonts w:ascii="HelveticaNeueLTStd-Lt" w:hAnsi="HelveticaNeueLTStd-Lt" w:cs="HelveticaNeueLTStd-Lt"/>
          <w:i/>
          <w:sz w:val="20"/>
          <w:szCs w:val="20"/>
          <w:lang w:val="en-GB"/>
        </w:rPr>
        <w:t>1 needs to be converted int</w:t>
      </w:r>
      <w:r w:rsidRPr="00004C0C">
        <w:rPr>
          <w:rFonts w:ascii="HelveticaNeueLTStd-Lt" w:hAnsi="HelveticaNeueLTStd-Lt" w:cs="HelveticaNeueLTStd-Lt"/>
          <w:i/>
          <w:sz w:val="20"/>
          <w:szCs w:val="20"/>
          <w:lang w:val="en-GB"/>
        </w:rPr>
        <w:t>o Shillings</w:t>
      </w:r>
      <w:r w:rsidR="003229E7" w:rsidRPr="00004C0C">
        <w:rPr>
          <w:rFonts w:ascii="HelveticaNeueLTStd-Lt" w:hAnsi="HelveticaNeueLTStd-Lt" w:cs="HelveticaNeueLTStd-Lt"/>
          <w:i/>
          <w:sz w:val="20"/>
          <w:szCs w:val="20"/>
          <w:lang w:val="en-GB"/>
        </w:rPr>
        <w:t xml:space="preserve"> so that Kisumu Co. can assess the exposure of each currency by using a standardized measure. For each currency, the net cash flows are converted into Ksh. to determine the Ksh. amount of exposure. Notice </w:t>
      </w:r>
      <w:r w:rsidRPr="00004C0C">
        <w:rPr>
          <w:rFonts w:ascii="HelveticaNeueLTStd-Lt" w:hAnsi="HelveticaNeueLTStd-Lt" w:cs="HelveticaNeueLTStd-Lt"/>
          <w:i/>
          <w:sz w:val="20"/>
          <w:szCs w:val="20"/>
          <w:lang w:val="en-GB"/>
        </w:rPr>
        <w:t>that Kisumu</w:t>
      </w:r>
      <w:r w:rsidR="003229E7" w:rsidRPr="00004C0C">
        <w:rPr>
          <w:rFonts w:ascii="HelveticaNeueLTStd-Lt" w:hAnsi="HelveticaNeueLTStd-Lt" w:cs="HelveticaNeueLTStd-Lt"/>
          <w:i/>
          <w:sz w:val="20"/>
          <w:szCs w:val="20"/>
          <w:lang w:val="en-GB"/>
        </w:rPr>
        <w:t xml:space="preserve"> has a smaller shilling amount of exposure in </w:t>
      </w:r>
      <w:proofErr w:type="gramStart"/>
      <w:r w:rsidR="003229E7" w:rsidRPr="00004C0C">
        <w:rPr>
          <w:rFonts w:ascii="HelveticaNeueLTStd-Lt" w:hAnsi="HelveticaNeueLTStd-Lt" w:cs="HelveticaNeueLTStd-Lt"/>
          <w:i/>
          <w:sz w:val="20"/>
          <w:szCs w:val="20"/>
          <w:lang w:val="en-GB"/>
        </w:rPr>
        <w:t>Tsh</w:t>
      </w:r>
      <w:proofErr w:type="gramEnd"/>
      <w:r w:rsidR="003229E7" w:rsidRPr="00004C0C">
        <w:rPr>
          <w:rFonts w:ascii="HelveticaNeueLTStd-Lt" w:hAnsi="HelveticaNeueLTStd-Lt" w:cs="HelveticaNeueLTStd-Lt"/>
          <w:i/>
          <w:sz w:val="20"/>
          <w:szCs w:val="20"/>
          <w:lang w:val="en-GB"/>
        </w:rPr>
        <w:t>. And E. Birr than in the other currencies. However, this does not necessarily mean that Kisumu will be less affected by these exposures. Recognize that the net inflows or outflows in each fo</w:t>
      </w:r>
      <w:r w:rsidRPr="00004C0C">
        <w:rPr>
          <w:rFonts w:ascii="HelveticaNeueLTStd-Lt" w:hAnsi="HelveticaNeueLTStd-Lt" w:cs="HelveticaNeueLTStd-Lt"/>
          <w:i/>
          <w:sz w:val="20"/>
          <w:szCs w:val="20"/>
          <w:lang w:val="en-GB"/>
        </w:rPr>
        <w:t>reign currency</w:t>
      </w:r>
      <w:r w:rsidR="003229E7" w:rsidRPr="00004C0C">
        <w:rPr>
          <w:rFonts w:ascii="HelveticaNeueLTStd-Lt" w:hAnsi="HelveticaNeueLTStd-Lt" w:cs="HelveticaNeueLTStd-Lt"/>
          <w:i/>
          <w:sz w:val="20"/>
          <w:szCs w:val="20"/>
          <w:lang w:val="en-GB"/>
        </w:rPr>
        <w:t xml:space="preserve"> and the exchange rates at the end of the period are uncertain. Thus, Kisumu mi</w:t>
      </w:r>
      <w:r w:rsidRPr="00004C0C">
        <w:rPr>
          <w:rFonts w:ascii="HelveticaNeueLTStd-Lt" w:hAnsi="HelveticaNeueLTStd-Lt" w:cs="HelveticaNeueLTStd-Lt"/>
          <w:i/>
          <w:sz w:val="20"/>
          <w:szCs w:val="20"/>
          <w:lang w:val="en-GB"/>
        </w:rPr>
        <w:t xml:space="preserve">ght develop a range of possible </w:t>
      </w:r>
      <w:r w:rsidR="003229E7" w:rsidRPr="00004C0C">
        <w:rPr>
          <w:rFonts w:ascii="HelveticaNeueLTStd-Lt" w:hAnsi="HelveticaNeueLTStd-Lt" w:cs="HelveticaNeueLTStd-Lt"/>
          <w:i/>
          <w:sz w:val="20"/>
          <w:szCs w:val="20"/>
          <w:lang w:val="en-GB"/>
        </w:rPr>
        <w:t>exchange rates for each c</w:t>
      </w:r>
      <w:r w:rsidRPr="00004C0C">
        <w:rPr>
          <w:rFonts w:ascii="HelveticaNeueLTStd-Lt" w:hAnsi="HelveticaNeueLTStd-Lt" w:cs="HelveticaNeueLTStd-Lt"/>
          <w:i/>
          <w:sz w:val="20"/>
          <w:szCs w:val="20"/>
          <w:lang w:val="en-GB"/>
        </w:rPr>
        <w:t xml:space="preserve">urrency, as shown in Table </w:t>
      </w:r>
      <w:r w:rsidR="003229E7" w:rsidRPr="00004C0C">
        <w:rPr>
          <w:rFonts w:ascii="HelveticaNeueLTStd-Lt" w:hAnsi="HelveticaNeueLTStd-Lt" w:cs="HelveticaNeueLTStd-Lt"/>
          <w:i/>
          <w:sz w:val="20"/>
          <w:szCs w:val="20"/>
          <w:lang w:val="en-GB"/>
        </w:rPr>
        <w:t xml:space="preserve">2, </w:t>
      </w:r>
      <w:r w:rsidRPr="00004C0C">
        <w:rPr>
          <w:rFonts w:ascii="HelveticaNeueLTStd-Lt" w:hAnsi="HelveticaNeueLTStd-Lt" w:cs="HelveticaNeueLTStd-Lt"/>
          <w:i/>
          <w:sz w:val="20"/>
          <w:szCs w:val="20"/>
          <w:lang w:val="en-GB"/>
        </w:rPr>
        <w:t xml:space="preserve">instead of a point estimate. In </w:t>
      </w:r>
      <w:r w:rsidR="003229E7" w:rsidRPr="00004C0C">
        <w:rPr>
          <w:rFonts w:ascii="HelveticaNeueLTStd-Lt" w:hAnsi="HelveticaNeueLTStd-Lt" w:cs="HelveticaNeueLTStd-Lt"/>
          <w:i/>
          <w:sz w:val="20"/>
          <w:szCs w:val="20"/>
          <w:lang w:val="en-GB"/>
        </w:rPr>
        <w:t>this case, there is a ra</w:t>
      </w:r>
      <w:r w:rsidRPr="00004C0C">
        <w:rPr>
          <w:rFonts w:ascii="HelveticaNeueLTStd-Lt" w:hAnsi="HelveticaNeueLTStd-Lt" w:cs="HelveticaNeueLTStd-Lt"/>
          <w:i/>
          <w:sz w:val="20"/>
          <w:szCs w:val="20"/>
          <w:lang w:val="en-GB"/>
        </w:rPr>
        <w:t>nge of net cash flows in Shilling</w:t>
      </w:r>
      <w:r w:rsidR="003229E7" w:rsidRPr="00004C0C">
        <w:rPr>
          <w:rFonts w:ascii="HelveticaNeueLTStd-Lt" w:hAnsi="HelveticaNeueLTStd-Lt" w:cs="HelveticaNeueLTStd-Lt"/>
          <w:i/>
          <w:sz w:val="20"/>
          <w:szCs w:val="20"/>
          <w:lang w:val="en-GB"/>
        </w:rPr>
        <w:t xml:space="preserve"> rather tha</w:t>
      </w:r>
      <w:r w:rsidRPr="00004C0C">
        <w:rPr>
          <w:rFonts w:ascii="HelveticaNeueLTStd-Lt" w:hAnsi="HelveticaNeueLTStd-Lt" w:cs="HelveticaNeueLTStd-Lt"/>
          <w:i/>
          <w:sz w:val="20"/>
          <w:szCs w:val="20"/>
          <w:lang w:val="en-GB"/>
        </w:rPr>
        <w:t>n a point estimate. Notice that the range of shilling cash flows resulting from Kisumu’s Tsh.</w:t>
      </w:r>
      <w:r w:rsidR="003229E7" w:rsidRPr="00004C0C">
        <w:rPr>
          <w:rFonts w:ascii="HelveticaNeueLTStd-Lt" w:hAnsi="HelveticaNeueLTStd-Lt" w:cs="HelveticaNeueLTStd-Lt"/>
          <w:i/>
          <w:sz w:val="20"/>
          <w:szCs w:val="20"/>
          <w:lang w:val="en-GB"/>
        </w:rPr>
        <w:t xml:space="preserve"> trans</w:t>
      </w:r>
      <w:r w:rsidRPr="00004C0C">
        <w:rPr>
          <w:rFonts w:ascii="HelveticaNeueLTStd-Lt" w:hAnsi="HelveticaNeueLTStd-Lt" w:cs="HelveticaNeueLTStd-Lt"/>
          <w:i/>
          <w:sz w:val="20"/>
          <w:szCs w:val="20"/>
          <w:lang w:val="en-GB"/>
        </w:rPr>
        <w:t xml:space="preserve">actions is wide, reflecting the </w:t>
      </w:r>
      <w:r w:rsidR="003229E7" w:rsidRPr="00004C0C">
        <w:rPr>
          <w:rFonts w:ascii="HelveticaNeueLTStd-Lt" w:hAnsi="HelveticaNeueLTStd-Lt" w:cs="HelveticaNeueLTStd-Lt"/>
          <w:i/>
          <w:sz w:val="20"/>
          <w:szCs w:val="20"/>
          <w:lang w:val="en-GB"/>
        </w:rPr>
        <w:t xml:space="preserve">high degree of </w:t>
      </w:r>
      <w:r w:rsidRPr="00004C0C">
        <w:rPr>
          <w:rFonts w:ascii="HelveticaNeueLTStd-Lt" w:hAnsi="HelveticaNeueLTStd-Lt" w:cs="HelveticaNeueLTStd-Lt"/>
          <w:i/>
          <w:sz w:val="20"/>
          <w:szCs w:val="20"/>
          <w:lang w:val="en-GB"/>
        </w:rPr>
        <w:t xml:space="preserve">uncertainty surrounding the </w:t>
      </w:r>
      <w:proofErr w:type="spellStart"/>
      <w:r w:rsidRPr="00004C0C">
        <w:rPr>
          <w:rFonts w:ascii="HelveticaNeueLTStd-Lt" w:hAnsi="HelveticaNeueLTStd-Lt" w:cs="HelveticaNeueLTStd-Lt"/>
          <w:i/>
          <w:sz w:val="20"/>
          <w:szCs w:val="20"/>
          <w:lang w:val="en-GB"/>
        </w:rPr>
        <w:t>Tsh</w:t>
      </w:r>
      <w:r w:rsidR="003229E7" w:rsidRPr="00004C0C">
        <w:rPr>
          <w:rFonts w:ascii="HelveticaNeueLTStd-Lt" w:hAnsi="HelveticaNeueLTStd-Lt" w:cs="HelveticaNeueLTStd-Lt"/>
          <w:i/>
          <w:sz w:val="20"/>
          <w:szCs w:val="20"/>
          <w:lang w:val="en-GB"/>
        </w:rPr>
        <w:t>’s</w:t>
      </w:r>
      <w:proofErr w:type="spellEnd"/>
      <w:r w:rsidR="003229E7" w:rsidRPr="00004C0C">
        <w:rPr>
          <w:rFonts w:ascii="HelveticaNeueLTStd-Lt" w:hAnsi="HelveticaNeueLTStd-Lt" w:cs="HelveticaNeueLTStd-Lt"/>
          <w:i/>
          <w:sz w:val="20"/>
          <w:szCs w:val="20"/>
          <w:lang w:val="en-GB"/>
        </w:rPr>
        <w:t xml:space="preserve"> value over the next quarter. I</w:t>
      </w:r>
      <w:r w:rsidRPr="00004C0C">
        <w:rPr>
          <w:rFonts w:ascii="HelveticaNeueLTStd-Lt" w:hAnsi="HelveticaNeueLTStd-Lt" w:cs="HelveticaNeueLTStd-Lt"/>
          <w:i/>
          <w:sz w:val="20"/>
          <w:szCs w:val="20"/>
          <w:lang w:val="en-GB"/>
        </w:rPr>
        <w:t xml:space="preserve">n contrast, the range of shilling </w:t>
      </w:r>
      <w:r w:rsidR="003229E7" w:rsidRPr="00004C0C">
        <w:rPr>
          <w:rFonts w:ascii="HelveticaNeueLTStd-Lt" w:hAnsi="HelveticaNeueLTStd-Lt" w:cs="HelveticaNeueLTStd-Lt"/>
          <w:i/>
          <w:sz w:val="20"/>
          <w:szCs w:val="20"/>
          <w:lang w:val="en-GB"/>
        </w:rPr>
        <w:t xml:space="preserve">cash flows resulting from the </w:t>
      </w:r>
      <w:r w:rsidRPr="00004C0C">
        <w:rPr>
          <w:rFonts w:ascii="HelveticaNeueLTStd-Lt" w:hAnsi="HelveticaNeueLTStd-Lt" w:cs="HelveticaNeueLTStd-Lt"/>
          <w:i/>
          <w:sz w:val="20"/>
          <w:szCs w:val="20"/>
          <w:lang w:val="en-GB"/>
        </w:rPr>
        <w:t>E. Birr transactions is narrow because the E. Birr</w:t>
      </w:r>
      <w:r w:rsidR="003229E7" w:rsidRPr="00004C0C">
        <w:rPr>
          <w:rFonts w:ascii="HelveticaNeueLTStd-Lt" w:hAnsi="HelveticaNeueLTStd-Lt" w:cs="HelveticaNeueLTStd-Lt"/>
          <w:i/>
          <w:sz w:val="20"/>
          <w:szCs w:val="20"/>
          <w:lang w:val="en-GB"/>
        </w:rPr>
        <w:t xml:space="preserve"> is expected to be relatively stable over the next quarter.</w:t>
      </w:r>
    </w:p>
    <w:p w:rsidR="00AD003F" w:rsidRDefault="00AD003F" w:rsidP="00AC5AD5">
      <w:pPr>
        <w:autoSpaceDE w:val="0"/>
        <w:autoSpaceDN w:val="0"/>
        <w:adjustRightInd w:val="0"/>
        <w:spacing w:after="0" w:line="240" w:lineRule="auto"/>
        <w:jc w:val="both"/>
        <w:rPr>
          <w:rFonts w:ascii="Book Antiqua" w:hAnsi="Book Antiqua" w:cs="GalliardStd-Roman"/>
          <w:sz w:val="24"/>
          <w:szCs w:val="24"/>
          <w:lang w:val="en-GB"/>
        </w:rPr>
      </w:pPr>
    </w:p>
    <w:p w:rsidR="00AD003F" w:rsidRDefault="00004C0C" w:rsidP="00AC5AD5">
      <w:pPr>
        <w:autoSpaceDE w:val="0"/>
        <w:autoSpaceDN w:val="0"/>
        <w:adjustRightInd w:val="0"/>
        <w:spacing w:after="0" w:line="240" w:lineRule="auto"/>
        <w:jc w:val="both"/>
        <w:rPr>
          <w:rFonts w:ascii="Book Antiqua" w:hAnsi="Book Antiqua" w:cs="GalliardStd-Roman"/>
          <w:sz w:val="24"/>
          <w:szCs w:val="24"/>
          <w:lang w:val="en-GB"/>
        </w:rPr>
      </w:pPr>
      <w:r>
        <w:rPr>
          <w:rFonts w:ascii="Book Antiqua" w:hAnsi="Book Antiqua" w:cs="GalliardStd-Roman"/>
          <w:sz w:val="24"/>
          <w:szCs w:val="24"/>
          <w:lang w:val="en-GB"/>
        </w:rPr>
        <w:t>Table 1: Estimating Forex exposure- Point Estimate</w:t>
      </w:r>
    </w:p>
    <w:tbl>
      <w:tblPr>
        <w:tblStyle w:val="TableGrid"/>
        <w:tblW w:w="0" w:type="auto"/>
        <w:tblLook w:val="04A0" w:firstRow="1" w:lastRow="0" w:firstColumn="1" w:lastColumn="0" w:noHBand="0" w:noVBand="1"/>
      </w:tblPr>
      <w:tblGrid>
        <w:gridCol w:w="1287"/>
        <w:gridCol w:w="1416"/>
        <w:gridCol w:w="1296"/>
        <w:gridCol w:w="1595"/>
        <w:gridCol w:w="2087"/>
        <w:gridCol w:w="1200"/>
      </w:tblGrid>
      <w:tr w:rsidR="00AD003F" w:rsidRPr="009D43BC" w:rsidTr="00AD003F">
        <w:tc>
          <w:tcPr>
            <w:tcW w:w="1287" w:type="dxa"/>
          </w:tcPr>
          <w:p w:rsidR="00AD003F" w:rsidRDefault="00AD003F"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Currency</w:t>
            </w:r>
          </w:p>
        </w:tc>
        <w:tc>
          <w:tcPr>
            <w:tcW w:w="1261" w:type="dxa"/>
          </w:tcPr>
          <w:p w:rsidR="00AD003F" w:rsidRDefault="00AD003F"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Total Inflow</w:t>
            </w:r>
          </w:p>
        </w:tc>
        <w:tc>
          <w:tcPr>
            <w:tcW w:w="1278" w:type="dxa"/>
          </w:tcPr>
          <w:p w:rsidR="00AD003F" w:rsidRDefault="00AD003F"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Total Outflow</w:t>
            </w:r>
          </w:p>
        </w:tc>
        <w:tc>
          <w:tcPr>
            <w:tcW w:w="1595" w:type="dxa"/>
          </w:tcPr>
          <w:p w:rsidR="00AD003F" w:rsidRDefault="00AD003F"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Net Inflow/ Outflow</w:t>
            </w:r>
          </w:p>
        </w:tc>
        <w:tc>
          <w:tcPr>
            <w:tcW w:w="2087" w:type="dxa"/>
          </w:tcPr>
          <w:p w:rsidR="00AD003F" w:rsidRDefault="00AD003F"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Expected Exchange rate at the end of quarter</w:t>
            </w:r>
          </w:p>
        </w:tc>
        <w:tc>
          <w:tcPr>
            <w:tcW w:w="1200" w:type="dxa"/>
          </w:tcPr>
          <w:p w:rsidR="00AD003F" w:rsidRDefault="00AD003F"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Net Inflow/ Outflow in Ksh.</w:t>
            </w:r>
          </w:p>
        </w:tc>
      </w:tr>
      <w:tr w:rsidR="00AD003F" w:rsidTr="00AD003F">
        <w:tc>
          <w:tcPr>
            <w:tcW w:w="1287"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Ush.</w:t>
            </w:r>
          </w:p>
        </w:tc>
        <w:tc>
          <w:tcPr>
            <w:tcW w:w="1261"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100,000,000</w:t>
            </w:r>
          </w:p>
        </w:tc>
        <w:tc>
          <w:tcPr>
            <w:tcW w:w="1278"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50,000,000</w:t>
            </w:r>
          </w:p>
        </w:tc>
        <w:tc>
          <w:tcPr>
            <w:tcW w:w="1595"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50,000,000</w:t>
            </w:r>
          </w:p>
        </w:tc>
        <w:tc>
          <w:tcPr>
            <w:tcW w:w="2087"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25</w:t>
            </w:r>
          </w:p>
        </w:tc>
        <w:tc>
          <w:tcPr>
            <w:tcW w:w="1200" w:type="dxa"/>
          </w:tcPr>
          <w:p w:rsidR="00AD003F" w:rsidRDefault="00AD003F" w:rsidP="00AC5AD5">
            <w:pPr>
              <w:autoSpaceDE w:val="0"/>
              <w:autoSpaceDN w:val="0"/>
              <w:adjustRightInd w:val="0"/>
              <w:jc w:val="both"/>
              <w:rPr>
                <w:rFonts w:ascii="Book Antiqua" w:hAnsi="Book Antiqua" w:cs="GalliardStd-Roman"/>
                <w:sz w:val="24"/>
                <w:szCs w:val="24"/>
                <w:lang w:val="en-GB"/>
              </w:rPr>
            </w:pPr>
          </w:p>
        </w:tc>
      </w:tr>
      <w:tr w:rsidR="00AD003F" w:rsidTr="00AD003F">
        <w:tc>
          <w:tcPr>
            <w:tcW w:w="1287"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Tsh.</w:t>
            </w:r>
          </w:p>
        </w:tc>
        <w:tc>
          <w:tcPr>
            <w:tcW w:w="1261"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80,000,000</w:t>
            </w:r>
          </w:p>
        </w:tc>
        <w:tc>
          <w:tcPr>
            <w:tcW w:w="1278" w:type="dxa"/>
          </w:tcPr>
          <w:p w:rsidR="00AD003F" w:rsidRDefault="003229E7"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7</w:t>
            </w:r>
            <w:r w:rsidR="00696CE2">
              <w:rPr>
                <w:rFonts w:ascii="Book Antiqua" w:hAnsi="Book Antiqua" w:cs="GalliardStd-Roman"/>
                <w:sz w:val="24"/>
                <w:szCs w:val="24"/>
                <w:lang w:val="en-GB"/>
              </w:rPr>
              <w:t>0,000,000</w:t>
            </w:r>
          </w:p>
        </w:tc>
        <w:tc>
          <w:tcPr>
            <w:tcW w:w="1595" w:type="dxa"/>
          </w:tcPr>
          <w:p w:rsidR="00AD003F" w:rsidRDefault="003229E7"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10,000,000</w:t>
            </w:r>
          </w:p>
        </w:tc>
        <w:tc>
          <w:tcPr>
            <w:tcW w:w="2087"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17</w:t>
            </w:r>
          </w:p>
        </w:tc>
        <w:tc>
          <w:tcPr>
            <w:tcW w:w="1200" w:type="dxa"/>
          </w:tcPr>
          <w:p w:rsidR="00AD003F" w:rsidRDefault="00AD003F" w:rsidP="00AC5AD5">
            <w:pPr>
              <w:autoSpaceDE w:val="0"/>
              <w:autoSpaceDN w:val="0"/>
              <w:adjustRightInd w:val="0"/>
              <w:jc w:val="both"/>
              <w:rPr>
                <w:rFonts w:ascii="Book Antiqua" w:hAnsi="Book Antiqua" w:cs="GalliardStd-Roman"/>
                <w:sz w:val="24"/>
                <w:szCs w:val="24"/>
                <w:lang w:val="en-GB"/>
              </w:rPr>
            </w:pPr>
          </w:p>
        </w:tc>
      </w:tr>
      <w:tr w:rsidR="00AD003F" w:rsidTr="00AD003F">
        <w:tc>
          <w:tcPr>
            <w:tcW w:w="1287"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E. Birr</w:t>
            </w:r>
          </w:p>
        </w:tc>
        <w:tc>
          <w:tcPr>
            <w:tcW w:w="1261"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20,000,000</w:t>
            </w:r>
          </w:p>
        </w:tc>
        <w:tc>
          <w:tcPr>
            <w:tcW w:w="1278"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40,000,000</w:t>
            </w:r>
          </w:p>
        </w:tc>
        <w:tc>
          <w:tcPr>
            <w:tcW w:w="1595"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(20,000,000)</w:t>
            </w:r>
          </w:p>
        </w:tc>
        <w:tc>
          <w:tcPr>
            <w:tcW w:w="2087"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0.1</w:t>
            </w:r>
          </w:p>
        </w:tc>
        <w:tc>
          <w:tcPr>
            <w:tcW w:w="1200" w:type="dxa"/>
          </w:tcPr>
          <w:p w:rsidR="00AD003F" w:rsidRDefault="00AD003F" w:rsidP="00AC5AD5">
            <w:pPr>
              <w:autoSpaceDE w:val="0"/>
              <w:autoSpaceDN w:val="0"/>
              <w:adjustRightInd w:val="0"/>
              <w:jc w:val="both"/>
              <w:rPr>
                <w:rFonts w:ascii="Book Antiqua" w:hAnsi="Book Antiqua" w:cs="GalliardStd-Roman"/>
                <w:sz w:val="24"/>
                <w:szCs w:val="24"/>
                <w:lang w:val="en-GB"/>
              </w:rPr>
            </w:pPr>
          </w:p>
        </w:tc>
      </w:tr>
      <w:tr w:rsidR="00AD003F" w:rsidTr="00AD003F">
        <w:tc>
          <w:tcPr>
            <w:tcW w:w="1287"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SA Rand</w:t>
            </w:r>
          </w:p>
        </w:tc>
        <w:tc>
          <w:tcPr>
            <w:tcW w:w="1261"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60,000,000</w:t>
            </w:r>
          </w:p>
        </w:tc>
        <w:tc>
          <w:tcPr>
            <w:tcW w:w="1278"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20,000,000</w:t>
            </w:r>
          </w:p>
        </w:tc>
        <w:tc>
          <w:tcPr>
            <w:tcW w:w="1595"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40,000,000</w:t>
            </w:r>
          </w:p>
        </w:tc>
        <w:tc>
          <w:tcPr>
            <w:tcW w:w="2087" w:type="dxa"/>
          </w:tcPr>
          <w:p w:rsidR="00AD003F" w:rsidRDefault="00696CE2"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0.09</w:t>
            </w:r>
          </w:p>
        </w:tc>
        <w:tc>
          <w:tcPr>
            <w:tcW w:w="1200" w:type="dxa"/>
          </w:tcPr>
          <w:p w:rsidR="00AD003F" w:rsidRDefault="00AD003F" w:rsidP="00AC5AD5">
            <w:pPr>
              <w:autoSpaceDE w:val="0"/>
              <w:autoSpaceDN w:val="0"/>
              <w:adjustRightInd w:val="0"/>
              <w:jc w:val="both"/>
              <w:rPr>
                <w:rFonts w:ascii="Book Antiqua" w:hAnsi="Book Antiqua" w:cs="GalliardStd-Roman"/>
                <w:sz w:val="24"/>
                <w:szCs w:val="24"/>
                <w:lang w:val="en-GB"/>
              </w:rPr>
            </w:pPr>
          </w:p>
        </w:tc>
      </w:tr>
      <w:tr w:rsidR="00AD003F" w:rsidTr="00AD003F">
        <w:tc>
          <w:tcPr>
            <w:tcW w:w="1287" w:type="dxa"/>
          </w:tcPr>
          <w:p w:rsidR="00AD003F" w:rsidRDefault="00AD003F" w:rsidP="00AC5AD5">
            <w:pPr>
              <w:autoSpaceDE w:val="0"/>
              <w:autoSpaceDN w:val="0"/>
              <w:adjustRightInd w:val="0"/>
              <w:jc w:val="both"/>
              <w:rPr>
                <w:rFonts w:ascii="Book Antiqua" w:hAnsi="Book Antiqua" w:cs="GalliardStd-Roman"/>
                <w:sz w:val="24"/>
                <w:szCs w:val="24"/>
                <w:lang w:val="en-GB"/>
              </w:rPr>
            </w:pPr>
          </w:p>
        </w:tc>
        <w:tc>
          <w:tcPr>
            <w:tcW w:w="1261" w:type="dxa"/>
          </w:tcPr>
          <w:p w:rsidR="00AD003F" w:rsidRDefault="00AD003F" w:rsidP="00AC5AD5">
            <w:pPr>
              <w:autoSpaceDE w:val="0"/>
              <w:autoSpaceDN w:val="0"/>
              <w:adjustRightInd w:val="0"/>
              <w:jc w:val="both"/>
              <w:rPr>
                <w:rFonts w:ascii="Book Antiqua" w:hAnsi="Book Antiqua" w:cs="GalliardStd-Roman"/>
                <w:sz w:val="24"/>
                <w:szCs w:val="24"/>
                <w:lang w:val="en-GB"/>
              </w:rPr>
            </w:pPr>
          </w:p>
        </w:tc>
        <w:tc>
          <w:tcPr>
            <w:tcW w:w="1278" w:type="dxa"/>
          </w:tcPr>
          <w:p w:rsidR="00AD003F" w:rsidRDefault="00AD003F" w:rsidP="00AC5AD5">
            <w:pPr>
              <w:autoSpaceDE w:val="0"/>
              <w:autoSpaceDN w:val="0"/>
              <w:adjustRightInd w:val="0"/>
              <w:jc w:val="both"/>
              <w:rPr>
                <w:rFonts w:ascii="Book Antiqua" w:hAnsi="Book Antiqua" w:cs="GalliardStd-Roman"/>
                <w:sz w:val="24"/>
                <w:szCs w:val="24"/>
                <w:lang w:val="en-GB"/>
              </w:rPr>
            </w:pPr>
          </w:p>
        </w:tc>
        <w:tc>
          <w:tcPr>
            <w:tcW w:w="1595" w:type="dxa"/>
          </w:tcPr>
          <w:p w:rsidR="00AD003F" w:rsidRDefault="00AD003F" w:rsidP="00AC5AD5">
            <w:pPr>
              <w:autoSpaceDE w:val="0"/>
              <w:autoSpaceDN w:val="0"/>
              <w:adjustRightInd w:val="0"/>
              <w:jc w:val="both"/>
              <w:rPr>
                <w:rFonts w:ascii="Book Antiqua" w:hAnsi="Book Antiqua" w:cs="GalliardStd-Roman"/>
                <w:sz w:val="24"/>
                <w:szCs w:val="24"/>
                <w:lang w:val="en-GB"/>
              </w:rPr>
            </w:pPr>
          </w:p>
        </w:tc>
        <w:tc>
          <w:tcPr>
            <w:tcW w:w="2087" w:type="dxa"/>
          </w:tcPr>
          <w:p w:rsidR="00AD003F" w:rsidRDefault="00AD003F" w:rsidP="00AC5AD5">
            <w:pPr>
              <w:autoSpaceDE w:val="0"/>
              <w:autoSpaceDN w:val="0"/>
              <w:adjustRightInd w:val="0"/>
              <w:jc w:val="both"/>
              <w:rPr>
                <w:rFonts w:ascii="Book Antiqua" w:hAnsi="Book Antiqua" w:cs="GalliardStd-Roman"/>
                <w:sz w:val="24"/>
                <w:szCs w:val="24"/>
                <w:lang w:val="en-GB"/>
              </w:rPr>
            </w:pPr>
          </w:p>
        </w:tc>
        <w:tc>
          <w:tcPr>
            <w:tcW w:w="1200" w:type="dxa"/>
          </w:tcPr>
          <w:p w:rsidR="00AD003F" w:rsidRDefault="00AD003F" w:rsidP="00AC5AD5">
            <w:pPr>
              <w:autoSpaceDE w:val="0"/>
              <w:autoSpaceDN w:val="0"/>
              <w:adjustRightInd w:val="0"/>
              <w:jc w:val="both"/>
              <w:rPr>
                <w:rFonts w:ascii="Book Antiqua" w:hAnsi="Book Antiqua" w:cs="GalliardStd-Roman"/>
                <w:sz w:val="24"/>
                <w:szCs w:val="24"/>
                <w:lang w:val="en-GB"/>
              </w:rPr>
            </w:pPr>
          </w:p>
        </w:tc>
      </w:tr>
    </w:tbl>
    <w:p w:rsidR="00AD003F" w:rsidRPr="00425EEB" w:rsidRDefault="00AD003F" w:rsidP="00AC5AD5">
      <w:pPr>
        <w:autoSpaceDE w:val="0"/>
        <w:autoSpaceDN w:val="0"/>
        <w:adjustRightInd w:val="0"/>
        <w:spacing w:after="0" w:line="240" w:lineRule="auto"/>
        <w:jc w:val="both"/>
        <w:rPr>
          <w:rFonts w:ascii="Book Antiqua" w:hAnsi="Book Antiqua" w:cs="GalliardStd-Roman"/>
          <w:sz w:val="24"/>
          <w:szCs w:val="24"/>
          <w:lang w:val="en-GB"/>
        </w:rPr>
      </w:pPr>
    </w:p>
    <w:p w:rsidR="00004C0C" w:rsidRDefault="00004C0C" w:rsidP="00AC5AD5">
      <w:pPr>
        <w:autoSpaceDE w:val="0"/>
        <w:autoSpaceDN w:val="0"/>
        <w:adjustRightInd w:val="0"/>
        <w:spacing w:after="0" w:line="240" w:lineRule="auto"/>
        <w:jc w:val="both"/>
        <w:rPr>
          <w:rFonts w:ascii="Book Antiqua" w:hAnsi="Book Antiqua" w:cs="GalliardStd-Roman"/>
          <w:i/>
          <w:sz w:val="24"/>
          <w:szCs w:val="24"/>
          <w:lang w:val="en-GB"/>
        </w:rPr>
      </w:pPr>
      <w:r>
        <w:rPr>
          <w:rFonts w:ascii="Book Antiqua" w:hAnsi="Book Antiqua" w:cs="GalliardStd-Roman"/>
          <w:i/>
          <w:sz w:val="24"/>
          <w:szCs w:val="24"/>
          <w:lang w:val="en-GB"/>
        </w:rPr>
        <w:t xml:space="preserve">Table 1: </w:t>
      </w:r>
      <w:r>
        <w:rPr>
          <w:rFonts w:ascii="Book Antiqua" w:hAnsi="Book Antiqua" w:cs="GalliardStd-Roman"/>
          <w:sz w:val="24"/>
          <w:szCs w:val="24"/>
          <w:lang w:val="en-GB"/>
        </w:rPr>
        <w:t>Estimating Forex exposure- Interval Estimate</w:t>
      </w:r>
    </w:p>
    <w:tbl>
      <w:tblPr>
        <w:tblStyle w:val="TableGrid"/>
        <w:tblW w:w="0" w:type="auto"/>
        <w:tblLayout w:type="fixed"/>
        <w:tblLook w:val="04A0" w:firstRow="1" w:lastRow="0" w:firstColumn="1" w:lastColumn="0" w:noHBand="0" w:noVBand="1"/>
      </w:tblPr>
      <w:tblGrid>
        <w:gridCol w:w="2263"/>
        <w:gridCol w:w="1560"/>
        <w:gridCol w:w="1671"/>
        <w:gridCol w:w="3432"/>
      </w:tblGrid>
      <w:tr w:rsidR="00004C0C" w:rsidRPr="009D43BC" w:rsidTr="00004C0C">
        <w:tc>
          <w:tcPr>
            <w:tcW w:w="2263" w:type="dxa"/>
          </w:tcPr>
          <w:p w:rsidR="00004C0C" w:rsidRDefault="00004C0C"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Currency</w:t>
            </w:r>
          </w:p>
        </w:tc>
        <w:tc>
          <w:tcPr>
            <w:tcW w:w="1560" w:type="dxa"/>
          </w:tcPr>
          <w:p w:rsidR="00004C0C" w:rsidRDefault="00004C0C"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Net Inflow/ Outflow</w:t>
            </w:r>
          </w:p>
        </w:tc>
        <w:tc>
          <w:tcPr>
            <w:tcW w:w="1671" w:type="dxa"/>
          </w:tcPr>
          <w:p w:rsidR="00004C0C" w:rsidRDefault="00004C0C"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Range of possible Forex rates</w:t>
            </w:r>
          </w:p>
        </w:tc>
        <w:tc>
          <w:tcPr>
            <w:tcW w:w="3432" w:type="dxa"/>
          </w:tcPr>
          <w:p w:rsidR="00004C0C" w:rsidRDefault="00004C0C"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Range of possible inflows/ outflows</w:t>
            </w:r>
          </w:p>
        </w:tc>
      </w:tr>
      <w:tr w:rsidR="00AC5AD5" w:rsidTr="00004C0C">
        <w:tc>
          <w:tcPr>
            <w:tcW w:w="2263" w:type="dxa"/>
          </w:tcPr>
          <w:p w:rsidR="00AC5AD5" w:rsidRDefault="00AC5AD5"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Ush.</w:t>
            </w:r>
          </w:p>
        </w:tc>
        <w:tc>
          <w:tcPr>
            <w:tcW w:w="1560" w:type="dxa"/>
          </w:tcPr>
          <w:p w:rsidR="00AC5AD5" w:rsidRDefault="00AC5AD5"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50,000,000</w:t>
            </w:r>
          </w:p>
        </w:tc>
        <w:tc>
          <w:tcPr>
            <w:tcW w:w="1671" w:type="dxa"/>
          </w:tcPr>
          <w:p w:rsidR="00AC5AD5" w:rsidRDefault="00AC5AD5"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25-25.50</w:t>
            </w:r>
          </w:p>
        </w:tc>
        <w:tc>
          <w:tcPr>
            <w:tcW w:w="3432" w:type="dxa"/>
          </w:tcPr>
          <w:p w:rsidR="00AC5AD5" w:rsidRDefault="00AC5AD5" w:rsidP="00AC5AD5">
            <w:pPr>
              <w:autoSpaceDE w:val="0"/>
              <w:autoSpaceDN w:val="0"/>
              <w:adjustRightInd w:val="0"/>
              <w:jc w:val="both"/>
              <w:rPr>
                <w:rFonts w:ascii="Book Antiqua" w:hAnsi="Book Antiqua" w:cs="GalliardStd-Roman"/>
                <w:sz w:val="24"/>
                <w:szCs w:val="24"/>
                <w:lang w:val="en-GB"/>
              </w:rPr>
            </w:pPr>
          </w:p>
        </w:tc>
      </w:tr>
      <w:tr w:rsidR="00AC5AD5" w:rsidTr="00004C0C">
        <w:tc>
          <w:tcPr>
            <w:tcW w:w="2263" w:type="dxa"/>
          </w:tcPr>
          <w:p w:rsidR="00AC5AD5" w:rsidRDefault="00AC5AD5"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Tsh.</w:t>
            </w:r>
          </w:p>
        </w:tc>
        <w:tc>
          <w:tcPr>
            <w:tcW w:w="1560" w:type="dxa"/>
          </w:tcPr>
          <w:p w:rsidR="00AC5AD5" w:rsidRDefault="00AC5AD5"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10,000,000</w:t>
            </w:r>
          </w:p>
        </w:tc>
        <w:tc>
          <w:tcPr>
            <w:tcW w:w="1671" w:type="dxa"/>
          </w:tcPr>
          <w:p w:rsidR="00AC5AD5" w:rsidRDefault="00AC5AD5"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16.50-18</w:t>
            </w:r>
          </w:p>
        </w:tc>
        <w:tc>
          <w:tcPr>
            <w:tcW w:w="3432" w:type="dxa"/>
          </w:tcPr>
          <w:p w:rsidR="00AC5AD5" w:rsidRDefault="00AC5AD5" w:rsidP="00AC5AD5">
            <w:pPr>
              <w:autoSpaceDE w:val="0"/>
              <w:autoSpaceDN w:val="0"/>
              <w:adjustRightInd w:val="0"/>
              <w:jc w:val="both"/>
              <w:rPr>
                <w:rFonts w:ascii="Book Antiqua" w:hAnsi="Book Antiqua" w:cs="GalliardStd-Roman"/>
                <w:sz w:val="24"/>
                <w:szCs w:val="24"/>
                <w:lang w:val="en-GB"/>
              </w:rPr>
            </w:pPr>
          </w:p>
        </w:tc>
      </w:tr>
      <w:tr w:rsidR="00AC5AD5" w:rsidTr="00004C0C">
        <w:tc>
          <w:tcPr>
            <w:tcW w:w="2263" w:type="dxa"/>
          </w:tcPr>
          <w:p w:rsidR="00AC5AD5" w:rsidRDefault="00AC5AD5"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E. Birr</w:t>
            </w:r>
          </w:p>
        </w:tc>
        <w:tc>
          <w:tcPr>
            <w:tcW w:w="1560" w:type="dxa"/>
          </w:tcPr>
          <w:p w:rsidR="00AC5AD5" w:rsidRDefault="00AC5AD5"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(20,000,000)</w:t>
            </w:r>
          </w:p>
        </w:tc>
        <w:tc>
          <w:tcPr>
            <w:tcW w:w="1671" w:type="dxa"/>
          </w:tcPr>
          <w:p w:rsidR="00AC5AD5" w:rsidRDefault="00AC5AD5"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0.1-0.1003</w:t>
            </w:r>
          </w:p>
        </w:tc>
        <w:tc>
          <w:tcPr>
            <w:tcW w:w="3432" w:type="dxa"/>
          </w:tcPr>
          <w:p w:rsidR="00AC5AD5" w:rsidRDefault="00AC5AD5" w:rsidP="00AC5AD5">
            <w:pPr>
              <w:autoSpaceDE w:val="0"/>
              <w:autoSpaceDN w:val="0"/>
              <w:adjustRightInd w:val="0"/>
              <w:jc w:val="both"/>
              <w:rPr>
                <w:rFonts w:ascii="Book Antiqua" w:hAnsi="Book Antiqua" w:cs="GalliardStd-Roman"/>
                <w:sz w:val="24"/>
                <w:szCs w:val="24"/>
                <w:lang w:val="en-GB"/>
              </w:rPr>
            </w:pPr>
          </w:p>
        </w:tc>
      </w:tr>
      <w:tr w:rsidR="00AC5AD5" w:rsidTr="00004C0C">
        <w:tc>
          <w:tcPr>
            <w:tcW w:w="2263" w:type="dxa"/>
          </w:tcPr>
          <w:p w:rsidR="00AC5AD5" w:rsidRDefault="00AC5AD5"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SA Rand</w:t>
            </w:r>
          </w:p>
        </w:tc>
        <w:tc>
          <w:tcPr>
            <w:tcW w:w="1560" w:type="dxa"/>
          </w:tcPr>
          <w:p w:rsidR="00AC5AD5" w:rsidRDefault="00AC5AD5"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40,000,000</w:t>
            </w:r>
          </w:p>
        </w:tc>
        <w:tc>
          <w:tcPr>
            <w:tcW w:w="1671" w:type="dxa"/>
          </w:tcPr>
          <w:p w:rsidR="00AC5AD5" w:rsidRDefault="00AC5AD5" w:rsidP="00AC5AD5">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0.09-0.094</w:t>
            </w:r>
          </w:p>
        </w:tc>
        <w:tc>
          <w:tcPr>
            <w:tcW w:w="3432" w:type="dxa"/>
          </w:tcPr>
          <w:p w:rsidR="00AC5AD5" w:rsidRDefault="00AC5AD5" w:rsidP="00AC5AD5">
            <w:pPr>
              <w:autoSpaceDE w:val="0"/>
              <w:autoSpaceDN w:val="0"/>
              <w:adjustRightInd w:val="0"/>
              <w:jc w:val="both"/>
              <w:rPr>
                <w:rFonts w:ascii="Book Antiqua" w:hAnsi="Book Antiqua" w:cs="GalliardStd-Roman"/>
                <w:sz w:val="24"/>
                <w:szCs w:val="24"/>
                <w:lang w:val="en-GB"/>
              </w:rPr>
            </w:pPr>
          </w:p>
        </w:tc>
      </w:tr>
      <w:tr w:rsidR="00AC5AD5" w:rsidTr="00004C0C">
        <w:tc>
          <w:tcPr>
            <w:tcW w:w="2263" w:type="dxa"/>
          </w:tcPr>
          <w:p w:rsidR="00AC5AD5" w:rsidRDefault="00AC5AD5" w:rsidP="00AC5AD5">
            <w:pPr>
              <w:autoSpaceDE w:val="0"/>
              <w:autoSpaceDN w:val="0"/>
              <w:adjustRightInd w:val="0"/>
              <w:jc w:val="both"/>
              <w:rPr>
                <w:rFonts w:ascii="Book Antiqua" w:hAnsi="Book Antiqua" w:cs="GalliardStd-Roman"/>
                <w:sz w:val="24"/>
                <w:szCs w:val="24"/>
                <w:lang w:val="en-GB"/>
              </w:rPr>
            </w:pPr>
          </w:p>
        </w:tc>
        <w:tc>
          <w:tcPr>
            <w:tcW w:w="1560" w:type="dxa"/>
          </w:tcPr>
          <w:p w:rsidR="00AC5AD5" w:rsidRDefault="00AC5AD5" w:rsidP="00AC5AD5">
            <w:pPr>
              <w:autoSpaceDE w:val="0"/>
              <w:autoSpaceDN w:val="0"/>
              <w:adjustRightInd w:val="0"/>
              <w:jc w:val="both"/>
              <w:rPr>
                <w:rFonts w:ascii="Book Antiqua" w:hAnsi="Book Antiqua" w:cs="GalliardStd-Roman"/>
                <w:sz w:val="24"/>
                <w:szCs w:val="24"/>
                <w:lang w:val="en-GB"/>
              </w:rPr>
            </w:pPr>
          </w:p>
        </w:tc>
        <w:tc>
          <w:tcPr>
            <w:tcW w:w="1671" w:type="dxa"/>
          </w:tcPr>
          <w:p w:rsidR="00AC5AD5" w:rsidRDefault="00AC5AD5" w:rsidP="00AC5AD5">
            <w:pPr>
              <w:autoSpaceDE w:val="0"/>
              <w:autoSpaceDN w:val="0"/>
              <w:adjustRightInd w:val="0"/>
              <w:jc w:val="both"/>
              <w:rPr>
                <w:rFonts w:ascii="Book Antiqua" w:hAnsi="Book Antiqua" w:cs="GalliardStd-Roman"/>
                <w:sz w:val="24"/>
                <w:szCs w:val="24"/>
                <w:lang w:val="en-GB"/>
              </w:rPr>
            </w:pPr>
          </w:p>
        </w:tc>
        <w:tc>
          <w:tcPr>
            <w:tcW w:w="3432" w:type="dxa"/>
          </w:tcPr>
          <w:p w:rsidR="00AC5AD5" w:rsidRDefault="00AC5AD5" w:rsidP="00AC5AD5">
            <w:pPr>
              <w:autoSpaceDE w:val="0"/>
              <w:autoSpaceDN w:val="0"/>
              <w:adjustRightInd w:val="0"/>
              <w:jc w:val="both"/>
              <w:rPr>
                <w:rFonts w:ascii="Book Antiqua" w:hAnsi="Book Antiqua" w:cs="GalliardStd-Roman"/>
                <w:sz w:val="24"/>
                <w:szCs w:val="24"/>
                <w:lang w:val="en-GB"/>
              </w:rPr>
            </w:pPr>
          </w:p>
        </w:tc>
      </w:tr>
    </w:tbl>
    <w:p w:rsidR="00004C0C" w:rsidRDefault="00004C0C" w:rsidP="00AC5AD5">
      <w:pPr>
        <w:autoSpaceDE w:val="0"/>
        <w:autoSpaceDN w:val="0"/>
        <w:adjustRightInd w:val="0"/>
        <w:spacing w:after="0" w:line="240" w:lineRule="auto"/>
        <w:jc w:val="both"/>
        <w:rPr>
          <w:rFonts w:ascii="Book Antiqua" w:hAnsi="Book Antiqua" w:cs="GalliardStd-Roman"/>
          <w:i/>
          <w:sz w:val="24"/>
          <w:szCs w:val="24"/>
          <w:lang w:val="en-GB"/>
        </w:rPr>
      </w:pPr>
    </w:p>
    <w:p w:rsidR="00425EEB" w:rsidRPr="00AC5AD5" w:rsidRDefault="00425EEB" w:rsidP="00AC5AD5">
      <w:pPr>
        <w:pStyle w:val="ListParagraph"/>
        <w:numPr>
          <w:ilvl w:val="0"/>
          <w:numId w:val="2"/>
        </w:numPr>
        <w:autoSpaceDE w:val="0"/>
        <w:autoSpaceDN w:val="0"/>
        <w:adjustRightInd w:val="0"/>
        <w:spacing w:after="0" w:line="240" w:lineRule="auto"/>
        <w:jc w:val="both"/>
        <w:rPr>
          <w:rFonts w:ascii="Book Antiqua" w:hAnsi="Book Antiqua" w:cs="GalliardStd-Roman"/>
          <w:i/>
          <w:sz w:val="24"/>
          <w:szCs w:val="24"/>
          <w:lang w:val="en-GB"/>
        </w:rPr>
      </w:pPr>
      <w:r w:rsidRPr="00AC5AD5">
        <w:rPr>
          <w:rFonts w:ascii="Book Antiqua" w:hAnsi="Book Antiqua" w:cs="GalliardStd-Roman"/>
          <w:i/>
          <w:sz w:val="24"/>
          <w:szCs w:val="24"/>
          <w:lang w:val="en-GB"/>
        </w:rPr>
        <w:t>Measure the potential impact of the currency exposure.</w:t>
      </w:r>
    </w:p>
    <w:p w:rsidR="00AC5AD5" w:rsidRPr="009D43BC" w:rsidRDefault="00AC5AD5" w:rsidP="00AC5AD5">
      <w:pPr>
        <w:autoSpaceDE w:val="0"/>
        <w:autoSpaceDN w:val="0"/>
        <w:adjustRightInd w:val="0"/>
        <w:spacing w:after="0" w:line="240" w:lineRule="auto"/>
        <w:ind w:left="360"/>
        <w:rPr>
          <w:rFonts w:ascii="HelveticaNeueLTStd-MdEx" w:hAnsi="HelveticaNeueLTStd-MdEx" w:cs="HelveticaNeueLTStd-MdEx"/>
          <w:color w:val="006F9B"/>
          <w:sz w:val="24"/>
          <w:szCs w:val="24"/>
          <w:lang w:val="en-GB"/>
        </w:rPr>
      </w:pPr>
    </w:p>
    <w:p w:rsidR="00AC5AD5" w:rsidRPr="00AC5AD5" w:rsidRDefault="00AC5AD5" w:rsidP="00AC5AD5">
      <w:pPr>
        <w:autoSpaceDE w:val="0"/>
        <w:autoSpaceDN w:val="0"/>
        <w:adjustRightInd w:val="0"/>
        <w:spacing w:after="0" w:line="240" w:lineRule="auto"/>
        <w:rPr>
          <w:rFonts w:ascii="Book Antiqua" w:hAnsi="Book Antiqua" w:cs="GalliardStd-Roman"/>
          <w:b/>
          <w:sz w:val="24"/>
          <w:szCs w:val="24"/>
          <w:lang w:val="en-GB"/>
        </w:rPr>
      </w:pPr>
      <w:r w:rsidRPr="00AC5AD5">
        <w:rPr>
          <w:rFonts w:ascii="Book Antiqua" w:hAnsi="Book Antiqua" w:cs="GalliardStd-Roman"/>
          <w:b/>
          <w:sz w:val="24"/>
          <w:szCs w:val="24"/>
          <w:lang w:val="en-GB"/>
        </w:rPr>
        <w:t>Measuring the Potential Impact of the Currency Exposure</w:t>
      </w:r>
    </w:p>
    <w:p w:rsidR="00AC5AD5" w:rsidRDefault="00AC5AD5" w:rsidP="00AC5AD5">
      <w:pPr>
        <w:autoSpaceDE w:val="0"/>
        <w:autoSpaceDN w:val="0"/>
        <w:adjustRightInd w:val="0"/>
        <w:spacing w:after="0" w:line="240" w:lineRule="auto"/>
        <w:jc w:val="both"/>
        <w:rPr>
          <w:rFonts w:ascii="Book Antiqua" w:hAnsi="Book Antiqua" w:cs="GalliardStd-Roman"/>
          <w:sz w:val="24"/>
          <w:szCs w:val="24"/>
          <w:lang w:val="en-GB"/>
        </w:rPr>
      </w:pPr>
      <w:r w:rsidRPr="00AC5AD5">
        <w:rPr>
          <w:rFonts w:ascii="Book Antiqua" w:hAnsi="Book Antiqua" w:cs="GalliardStd-Roman"/>
          <w:sz w:val="24"/>
          <w:szCs w:val="24"/>
          <w:lang w:val="en-GB"/>
        </w:rPr>
        <w:t>The dollar net cash flows of an MNC are generated from a portfolio of currencies.</w:t>
      </w:r>
      <w:r>
        <w:rPr>
          <w:rFonts w:ascii="Book Antiqua" w:hAnsi="Book Antiqua" w:cs="GalliardStd-Roman"/>
          <w:sz w:val="24"/>
          <w:szCs w:val="24"/>
          <w:lang w:val="en-GB"/>
        </w:rPr>
        <w:t xml:space="preserve"> </w:t>
      </w:r>
      <w:r w:rsidRPr="00AC5AD5">
        <w:rPr>
          <w:rFonts w:ascii="Book Antiqua" w:hAnsi="Book Antiqua" w:cs="GalliardStd-Roman"/>
          <w:sz w:val="24"/>
          <w:szCs w:val="24"/>
          <w:lang w:val="en-GB"/>
        </w:rPr>
        <w:t xml:space="preserve">The exposure of the portfolio of currencies </w:t>
      </w:r>
      <w:r>
        <w:rPr>
          <w:rFonts w:ascii="Book Antiqua" w:hAnsi="Book Antiqua" w:cs="GalliardStd-Roman"/>
          <w:sz w:val="24"/>
          <w:szCs w:val="24"/>
          <w:lang w:val="en-GB"/>
        </w:rPr>
        <w:t xml:space="preserve">can be measured by the standard </w:t>
      </w:r>
      <w:r w:rsidRPr="00AC5AD5">
        <w:rPr>
          <w:rFonts w:ascii="Book Antiqua" w:hAnsi="Book Antiqua" w:cs="GalliardStd-Roman"/>
          <w:sz w:val="24"/>
          <w:szCs w:val="24"/>
          <w:lang w:val="en-GB"/>
        </w:rPr>
        <w:t>deviation of the portfolio, which indicates how the portfolio’s value may deviate from what is expected. Consider an MNC that will receive payments in two foreign currencies. The risk (as measured by the standard deviation of monthly percentage changes) of a two-currency portfolio (p) can be estimated as follows:</w:t>
      </w:r>
    </w:p>
    <w:p w:rsidR="00AC5AD5" w:rsidRDefault="00AC5AD5" w:rsidP="00AC5AD5">
      <w:pPr>
        <w:autoSpaceDE w:val="0"/>
        <w:autoSpaceDN w:val="0"/>
        <w:adjustRightInd w:val="0"/>
        <w:spacing w:after="0" w:line="240" w:lineRule="auto"/>
        <w:jc w:val="both"/>
        <w:rPr>
          <w:rFonts w:ascii="Book Antiqua" w:hAnsi="Book Antiqua" w:cs="GalliardStd-Roman"/>
          <w:sz w:val="24"/>
          <w:szCs w:val="24"/>
          <w:lang w:val="en-GB"/>
        </w:rPr>
      </w:pPr>
    </w:p>
    <w:p w:rsidR="00AC5AD5" w:rsidRPr="001E31FE" w:rsidRDefault="000B3E4D" w:rsidP="00AC5AD5">
      <w:pPr>
        <w:autoSpaceDE w:val="0"/>
        <w:autoSpaceDN w:val="0"/>
        <w:adjustRightInd w:val="0"/>
        <w:spacing w:after="0" w:line="240" w:lineRule="auto"/>
        <w:jc w:val="both"/>
        <w:rPr>
          <w:rFonts w:ascii="Book Antiqua" w:hAnsi="Book Antiqua" w:cs="GalliardStd-Roman"/>
          <w:sz w:val="24"/>
          <w:szCs w:val="24"/>
          <w:lang w:val="en-GB"/>
        </w:rPr>
      </w:pPr>
      <m:oMathPara>
        <m:oMath>
          <m:sSup>
            <m:sSupPr>
              <m:ctrlPr>
                <w:rPr>
                  <w:rFonts w:ascii="Cambria Math" w:hAnsi="Cambria Math" w:cs="GalliardStd-Roman"/>
                  <w:i/>
                  <w:sz w:val="24"/>
                  <w:szCs w:val="24"/>
                  <w:lang w:val="en-GB"/>
                </w:rPr>
              </m:ctrlPr>
            </m:sSupPr>
            <m:e>
              <m:r>
                <w:rPr>
                  <w:rFonts w:ascii="Cambria Math" w:hAnsi="Cambria Math" w:cs="GalliardStd-Roman"/>
                  <w:sz w:val="24"/>
                  <w:szCs w:val="24"/>
                  <w:lang w:val="en-GB"/>
                </w:rPr>
                <m:t>σ</m:t>
              </m:r>
            </m:e>
            <m:sup>
              <m:r>
                <w:rPr>
                  <w:rFonts w:ascii="Cambria Math" w:hAnsi="Cambria Math" w:cs="GalliardStd-Roman"/>
                  <w:sz w:val="24"/>
                  <w:szCs w:val="24"/>
                  <w:lang w:val="en-GB"/>
                </w:rPr>
                <m:t>2</m:t>
              </m:r>
            </m:sup>
          </m:sSup>
          <m:r>
            <w:rPr>
              <w:rFonts w:ascii="Cambria Math" w:hAnsi="Cambria Math" w:cs="GalliardStd-Roman"/>
              <w:sz w:val="24"/>
              <w:szCs w:val="24"/>
              <w:lang w:val="en-GB"/>
            </w:rPr>
            <m:t>=</m:t>
          </m:r>
          <m:sSubSup>
            <m:sSubSupPr>
              <m:ctrlPr>
                <w:rPr>
                  <w:rFonts w:ascii="Cambria Math" w:hAnsi="Cambria Math" w:cs="GalliardStd-Roman"/>
                  <w:i/>
                  <w:sz w:val="24"/>
                  <w:szCs w:val="24"/>
                  <w:lang w:val="en-GB"/>
                </w:rPr>
              </m:ctrlPr>
            </m:sSubSupPr>
            <m:e>
              <m:r>
                <w:rPr>
                  <w:rFonts w:ascii="Cambria Math" w:hAnsi="Cambria Math" w:cs="GalliardStd-Roman"/>
                  <w:sz w:val="24"/>
                  <w:szCs w:val="24"/>
                  <w:lang w:val="en-GB"/>
                </w:rPr>
                <m:t>W</m:t>
              </m:r>
            </m:e>
            <m:sub>
              <m:r>
                <w:rPr>
                  <w:rFonts w:ascii="Cambria Math" w:hAnsi="Cambria Math" w:cs="GalliardStd-Roman"/>
                  <w:sz w:val="24"/>
                  <w:szCs w:val="24"/>
                  <w:lang w:val="en-GB"/>
                </w:rPr>
                <m:t>1</m:t>
              </m:r>
            </m:sub>
            <m:sup>
              <m:r>
                <w:rPr>
                  <w:rFonts w:ascii="Cambria Math" w:hAnsi="Cambria Math" w:cs="GalliardStd-Roman"/>
                  <w:sz w:val="24"/>
                  <w:szCs w:val="24"/>
                  <w:lang w:val="en-GB"/>
                </w:rPr>
                <m:t>2</m:t>
              </m:r>
            </m:sup>
          </m:sSubSup>
          <m:sSubSup>
            <m:sSubSupPr>
              <m:ctrlPr>
                <w:rPr>
                  <w:rFonts w:ascii="Cambria Math" w:hAnsi="Cambria Math" w:cs="GalliardStd-Roman"/>
                  <w:i/>
                  <w:sz w:val="24"/>
                  <w:szCs w:val="24"/>
                  <w:lang w:val="en-GB"/>
                </w:rPr>
              </m:ctrlPr>
            </m:sSubSupPr>
            <m:e>
              <m:r>
                <w:rPr>
                  <w:rFonts w:ascii="Cambria Math" w:hAnsi="Cambria Math" w:cs="GalliardStd-Roman"/>
                  <w:sz w:val="24"/>
                  <w:szCs w:val="24"/>
                  <w:lang w:val="en-GB"/>
                </w:rPr>
                <m:t>σ</m:t>
              </m:r>
            </m:e>
            <m:sub>
              <m:r>
                <w:rPr>
                  <w:rFonts w:ascii="Cambria Math" w:hAnsi="Cambria Math" w:cs="GalliardStd-Roman"/>
                  <w:sz w:val="24"/>
                  <w:szCs w:val="24"/>
                  <w:lang w:val="en-GB"/>
                </w:rPr>
                <m:t>1</m:t>
              </m:r>
            </m:sub>
            <m:sup>
              <m:r>
                <w:rPr>
                  <w:rFonts w:ascii="Cambria Math" w:hAnsi="Cambria Math" w:cs="GalliardStd-Roman"/>
                  <w:sz w:val="24"/>
                  <w:szCs w:val="24"/>
                  <w:lang w:val="en-GB"/>
                </w:rPr>
                <m:t>2</m:t>
              </m:r>
            </m:sup>
          </m:sSubSup>
          <m:r>
            <w:rPr>
              <w:rFonts w:ascii="Cambria Math" w:hAnsi="Cambria Math" w:cs="GalliardStd-Roman"/>
              <w:sz w:val="24"/>
              <w:szCs w:val="24"/>
              <w:lang w:val="en-GB"/>
            </w:rPr>
            <m:t>+</m:t>
          </m:r>
          <m:sSubSup>
            <m:sSubSupPr>
              <m:ctrlPr>
                <w:rPr>
                  <w:rFonts w:ascii="Cambria Math" w:hAnsi="Cambria Math" w:cs="GalliardStd-Roman"/>
                  <w:i/>
                  <w:sz w:val="24"/>
                  <w:szCs w:val="24"/>
                  <w:lang w:val="en-GB"/>
                </w:rPr>
              </m:ctrlPr>
            </m:sSubSupPr>
            <m:e>
              <m:r>
                <w:rPr>
                  <w:rFonts w:ascii="Cambria Math" w:hAnsi="Cambria Math" w:cs="GalliardStd-Roman"/>
                  <w:sz w:val="24"/>
                  <w:szCs w:val="24"/>
                  <w:lang w:val="en-GB"/>
                </w:rPr>
                <m:t>W</m:t>
              </m:r>
            </m:e>
            <m:sub>
              <m:r>
                <w:rPr>
                  <w:rFonts w:ascii="Cambria Math" w:hAnsi="Cambria Math" w:cs="GalliardStd-Roman"/>
                  <w:sz w:val="24"/>
                  <w:szCs w:val="24"/>
                  <w:lang w:val="en-GB"/>
                </w:rPr>
                <m:t>2</m:t>
              </m:r>
            </m:sub>
            <m:sup>
              <m:r>
                <w:rPr>
                  <w:rFonts w:ascii="Cambria Math" w:hAnsi="Cambria Math" w:cs="GalliardStd-Roman"/>
                  <w:sz w:val="24"/>
                  <w:szCs w:val="24"/>
                  <w:lang w:val="en-GB"/>
                </w:rPr>
                <m:t>2</m:t>
              </m:r>
            </m:sup>
          </m:sSubSup>
          <m:sSubSup>
            <m:sSubSupPr>
              <m:ctrlPr>
                <w:rPr>
                  <w:rFonts w:ascii="Cambria Math" w:hAnsi="Cambria Math" w:cs="GalliardStd-Roman"/>
                  <w:i/>
                  <w:sz w:val="24"/>
                  <w:szCs w:val="24"/>
                  <w:lang w:val="en-GB"/>
                </w:rPr>
              </m:ctrlPr>
            </m:sSubSupPr>
            <m:e>
              <m:r>
                <w:rPr>
                  <w:rFonts w:ascii="Cambria Math" w:hAnsi="Cambria Math" w:cs="GalliardStd-Roman"/>
                  <w:sz w:val="24"/>
                  <w:szCs w:val="24"/>
                  <w:lang w:val="en-GB"/>
                </w:rPr>
                <m:t>σ</m:t>
              </m:r>
            </m:e>
            <m:sub>
              <m:r>
                <w:rPr>
                  <w:rFonts w:ascii="Cambria Math" w:hAnsi="Cambria Math" w:cs="GalliardStd-Roman"/>
                  <w:sz w:val="24"/>
                  <w:szCs w:val="24"/>
                  <w:lang w:val="en-GB"/>
                </w:rPr>
                <m:t>2</m:t>
              </m:r>
            </m:sub>
            <m:sup>
              <m:r>
                <w:rPr>
                  <w:rFonts w:ascii="Cambria Math" w:hAnsi="Cambria Math" w:cs="GalliardStd-Roman"/>
                  <w:sz w:val="24"/>
                  <w:szCs w:val="24"/>
                  <w:lang w:val="en-GB"/>
                </w:rPr>
                <m:t>2</m:t>
              </m:r>
            </m:sup>
          </m:sSubSup>
          <m:r>
            <w:rPr>
              <w:rFonts w:ascii="Cambria Math" w:hAnsi="Cambria Math" w:cs="GalliardStd-Roman"/>
              <w:sz w:val="24"/>
              <w:szCs w:val="24"/>
              <w:lang w:val="en-GB"/>
            </w:rPr>
            <m:t>+2</m:t>
          </m:r>
          <m:sSub>
            <m:sSubPr>
              <m:ctrlPr>
                <w:rPr>
                  <w:rFonts w:ascii="Cambria Math" w:hAnsi="Cambria Math" w:cs="GalliardStd-Roman"/>
                  <w:i/>
                  <w:sz w:val="24"/>
                  <w:szCs w:val="24"/>
                  <w:lang w:val="en-GB"/>
                </w:rPr>
              </m:ctrlPr>
            </m:sSubPr>
            <m:e>
              <m:r>
                <w:rPr>
                  <w:rFonts w:ascii="Cambria Math" w:hAnsi="Cambria Math" w:cs="GalliardStd-Roman"/>
                  <w:sz w:val="24"/>
                  <w:szCs w:val="24"/>
                  <w:lang w:val="en-GB"/>
                </w:rPr>
                <m:t>W</m:t>
              </m:r>
            </m:e>
            <m:sub>
              <m:r>
                <w:rPr>
                  <w:rFonts w:ascii="Cambria Math" w:hAnsi="Cambria Math" w:cs="GalliardStd-Roman"/>
                  <w:sz w:val="24"/>
                  <w:szCs w:val="24"/>
                  <w:lang w:val="en-GB"/>
                </w:rPr>
                <m:t>1</m:t>
              </m:r>
            </m:sub>
          </m:sSub>
          <m:sSub>
            <m:sSubPr>
              <m:ctrlPr>
                <w:rPr>
                  <w:rFonts w:ascii="Cambria Math" w:hAnsi="Cambria Math" w:cs="GalliardStd-Roman"/>
                  <w:i/>
                  <w:sz w:val="24"/>
                  <w:szCs w:val="24"/>
                  <w:lang w:val="en-GB"/>
                </w:rPr>
              </m:ctrlPr>
            </m:sSubPr>
            <m:e>
              <m:r>
                <w:rPr>
                  <w:rFonts w:ascii="Cambria Math" w:hAnsi="Cambria Math" w:cs="GalliardStd-Roman"/>
                  <w:sz w:val="24"/>
                  <w:szCs w:val="24"/>
                  <w:lang w:val="en-GB"/>
                </w:rPr>
                <m:t>W</m:t>
              </m:r>
            </m:e>
            <m:sub>
              <m:r>
                <w:rPr>
                  <w:rFonts w:ascii="Cambria Math" w:hAnsi="Cambria Math" w:cs="GalliardStd-Roman"/>
                  <w:sz w:val="24"/>
                  <w:szCs w:val="24"/>
                  <w:lang w:val="en-GB"/>
                </w:rPr>
                <m:t>2</m:t>
              </m:r>
            </m:sub>
          </m:sSub>
          <m:sSub>
            <m:sSubPr>
              <m:ctrlPr>
                <w:rPr>
                  <w:rFonts w:ascii="Cambria Math" w:hAnsi="Cambria Math" w:cs="GalliardStd-Roman"/>
                  <w:i/>
                  <w:sz w:val="24"/>
                  <w:szCs w:val="24"/>
                  <w:lang w:val="en-GB"/>
                </w:rPr>
              </m:ctrlPr>
            </m:sSubPr>
            <m:e>
              <m:r>
                <w:rPr>
                  <w:rFonts w:ascii="Cambria Math" w:hAnsi="Cambria Math" w:cs="GalliardStd-Roman"/>
                  <w:sz w:val="24"/>
                  <w:szCs w:val="24"/>
                  <w:lang w:val="en-GB"/>
                </w:rPr>
                <m:t>σ</m:t>
              </m:r>
            </m:e>
            <m:sub>
              <m:r>
                <w:rPr>
                  <w:rFonts w:ascii="Cambria Math" w:hAnsi="Cambria Math" w:cs="GalliardStd-Roman"/>
                  <w:sz w:val="24"/>
                  <w:szCs w:val="24"/>
                  <w:lang w:val="en-GB"/>
                </w:rPr>
                <m:t>1</m:t>
              </m:r>
            </m:sub>
          </m:sSub>
          <m:sSub>
            <m:sSubPr>
              <m:ctrlPr>
                <w:rPr>
                  <w:rFonts w:ascii="Cambria Math" w:hAnsi="Cambria Math" w:cs="GalliardStd-Roman"/>
                  <w:i/>
                  <w:sz w:val="24"/>
                  <w:szCs w:val="24"/>
                  <w:lang w:val="en-GB"/>
                </w:rPr>
              </m:ctrlPr>
            </m:sSubPr>
            <m:e>
              <m:r>
                <w:rPr>
                  <w:rFonts w:ascii="Cambria Math" w:hAnsi="Cambria Math" w:cs="GalliardStd-Roman"/>
                  <w:sz w:val="24"/>
                  <w:szCs w:val="24"/>
                  <w:lang w:val="en-GB"/>
                </w:rPr>
                <m:t>σ</m:t>
              </m:r>
            </m:e>
            <m:sub>
              <m:r>
                <w:rPr>
                  <w:rFonts w:ascii="Cambria Math" w:hAnsi="Cambria Math" w:cs="GalliardStd-Roman"/>
                  <w:sz w:val="24"/>
                  <w:szCs w:val="24"/>
                  <w:lang w:val="en-GB"/>
                </w:rPr>
                <m:t>2</m:t>
              </m:r>
            </m:sub>
          </m:sSub>
          <m:sSub>
            <m:sSubPr>
              <m:ctrlPr>
                <w:rPr>
                  <w:rFonts w:ascii="Cambria Math" w:hAnsi="Cambria Math" w:cs="GalliardStd-Roman"/>
                  <w:i/>
                  <w:sz w:val="24"/>
                  <w:szCs w:val="24"/>
                  <w:lang w:val="en-GB"/>
                </w:rPr>
              </m:ctrlPr>
            </m:sSubPr>
            <m:e>
              <m:r>
                <w:rPr>
                  <w:rFonts w:ascii="Cambria Math" w:hAnsi="Cambria Math" w:cs="GalliardStd-Roman"/>
                  <w:sz w:val="24"/>
                  <w:szCs w:val="24"/>
                  <w:lang w:val="en-GB"/>
                </w:rPr>
                <m:t>Corr</m:t>
              </m:r>
            </m:e>
            <m:sub>
              <m:r>
                <w:rPr>
                  <w:rFonts w:ascii="Cambria Math" w:hAnsi="Cambria Math" w:cs="GalliardStd-Roman"/>
                  <w:sz w:val="24"/>
                  <w:szCs w:val="24"/>
                  <w:lang w:val="en-GB"/>
                </w:rPr>
                <m:t>12</m:t>
              </m:r>
            </m:sub>
          </m:sSub>
        </m:oMath>
      </m:oMathPara>
    </w:p>
    <w:p w:rsidR="001E31FE" w:rsidRDefault="001E31FE" w:rsidP="00AC5AD5">
      <w:pPr>
        <w:autoSpaceDE w:val="0"/>
        <w:autoSpaceDN w:val="0"/>
        <w:adjustRightInd w:val="0"/>
        <w:spacing w:after="0" w:line="240" w:lineRule="auto"/>
        <w:jc w:val="both"/>
        <w:rPr>
          <w:rFonts w:ascii="Book Antiqua" w:hAnsi="Book Antiqua" w:cs="GalliardStd-Roman"/>
          <w:sz w:val="24"/>
          <w:szCs w:val="24"/>
          <w:lang w:val="en-GB"/>
        </w:rPr>
      </w:pPr>
    </w:p>
    <w:p w:rsidR="001E31FE" w:rsidRDefault="001E31FE" w:rsidP="00AC5AD5">
      <w:pPr>
        <w:autoSpaceDE w:val="0"/>
        <w:autoSpaceDN w:val="0"/>
        <w:adjustRightInd w:val="0"/>
        <w:spacing w:after="0" w:line="240" w:lineRule="auto"/>
        <w:jc w:val="both"/>
        <w:rPr>
          <w:rFonts w:ascii="Book Antiqua" w:hAnsi="Book Antiqua" w:cs="GalliardStd-Roman"/>
          <w:b/>
          <w:sz w:val="24"/>
          <w:szCs w:val="24"/>
          <w:lang w:val="en-GB"/>
        </w:rPr>
      </w:pPr>
    </w:p>
    <w:p w:rsidR="001E31FE" w:rsidRDefault="001E31FE" w:rsidP="00AC5AD5">
      <w:pPr>
        <w:autoSpaceDE w:val="0"/>
        <w:autoSpaceDN w:val="0"/>
        <w:adjustRightInd w:val="0"/>
        <w:spacing w:after="0" w:line="240" w:lineRule="auto"/>
        <w:jc w:val="both"/>
        <w:rPr>
          <w:rFonts w:ascii="Book Antiqua" w:hAnsi="Book Antiqua" w:cs="GalliardStd-Roman"/>
          <w:b/>
          <w:sz w:val="24"/>
          <w:szCs w:val="24"/>
          <w:lang w:val="en-GB"/>
        </w:rPr>
      </w:pPr>
    </w:p>
    <w:p w:rsidR="009D43BC" w:rsidRDefault="009D43BC" w:rsidP="00AC5AD5">
      <w:pPr>
        <w:autoSpaceDE w:val="0"/>
        <w:autoSpaceDN w:val="0"/>
        <w:adjustRightInd w:val="0"/>
        <w:spacing w:after="0" w:line="240" w:lineRule="auto"/>
        <w:jc w:val="both"/>
        <w:rPr>
          <w:rFonts w:ascii="Book Antiqua" w:hAnsi="Book Antiqua" w:cs="GalliardStd-Roman"/>
          <w:b/>
          <w:sz w:val="24"/>
          <w:szCs w:val="24"/>
          <w:lang w:val="en-GB"/>
        </w:rPr>
      </w:pPr>
    </w:p>
    <w:p w:rsidR="001E31FE" w:rsidRDefault="001E31FE" w:rsidP="00AC5AD5">
      <w:pPr>
        <w:autoSpaceDE w:val="0"/>
        <w:autoSpaceDN w:val="0"/>
        <w:adjustRightInd w:val="0"/>
        <w:spacing w:after="0" w:line="240" w:lineRule="auto"/>
        <w:jc w:val="both"/>
        <w:rPr>
          <w:rFonts w:ascii="Book Antiqua" w:hAnsi="Book Antiqua" w:cs="GalliardStd-Roman"/>
          <w:b/>
          <w:sz w:val="24"/>
          <w:szCs w:val="24"/>
          <w:lang w:val="en-GB"/>
        </w:rPr>
      </w:pPr>
      <w:r w:rsidRPr="001E31FE">
        <w:rPr>
          <w:rFonts w:ascii="Book Antiqua" w:hAnsi="Book Antiqua" w:cs="GalliardStd-Roman"/>
          <w:b/>
          <w:sz w:val="24"/>
          <w:szCs w:val="24"/>
          <w:lang w:val="en-GB"/>
        </w:rPr>
        <w:lastRenderedPageBreak/>
        <w:t>Example</w:t>
      </w:r>
    </w:p>
    <w:p w:rsidR="001E31FE" w:rsidRPr="001E31FE" w:rsidRDefault="001E31FE" w:rsidP="00AC5AD5">
      <w:pPr>
        <w:autoSpaceDE w:val="0"/>
        <w:autoSpaceDN w:val="0"/>
        <w:adjustRightInd w:val="0"/>
        <w:spacing w:after="0" w:line="240" w:lineRule="auto"/>
        <w:jc w:val="both"/>
        <w:rPr>
          <w:rFonts w:ascii="Book Antiqua" w:hAnsi="Book Antiqua" w:cs="GalliardStd-Roman"/>
          <w:sz w:val="24"/>
          <w:szCs w:val="24"/>
          <w:lang w:val="en-GB"/>
        </w:rPr>
      </w:pPr>
      <w:r w:rsidRPr="001E31FE">
        <w:rPr>
          <w:rFonts w:ascii="Book Antiqua" w:hAnsi="Book Antiqua" w:cs="GalliardStd-Roman"/>
          <w:sz w:val="24"/>
          <w:szCs w:val="24"/>
          <w:lang w:val="en-GB"/>
        </w:rPr>
        <w:t>Consider the following example of cash inflows denominated in two currencies, all converted into Ksh.</w:t>
      </w:r>
    </w:p>
    <w:p w:rsidR="001E31FE" w:rsidRDefault="001E31FE" w:rsidP="00AC5AD5">
      <w:pPr>
        <w:autoSpaceDE w:val="0"/>
        <w:autoSpaceDN w:val="0"/>
        <w:adjustRightInd w:val="0"/>
        <w:spacing w:after="0" w:line="240" w:lineRule="auto"/>
        <w:jc w:val="both"/>
        <w:rPr>
          <w:rFonts w:ascii="Book Antiqua" w:hAnsi="Book Antiqua" w:cs="GalliardStd-Roman"/>
          <w:b/>
          <w:sz w:val="24"/>
          <w:szCs w:val="24"/>
          <w:lang w:val="en-GB"/>
        </w:rPr>
      </w:pPr>
    </w:p>
    <w:tbl>
      <w:tblPr>
        <w:tblStyle w:val="TableGrid"/>
        <w:tblW w:w="0" w:type="auto"/>
        <w:tblLook w:val="04A0" w:firstRow="1" w:lastRow="0" w:firstColumn="1" w:lastColumn="0" w:noHBand="0" w:noVBand="1"/>
      </w:tblPr>
      <w:tblGrid>
        <w:gridCol w:w="1651"/>
        <w:gridCol w:w="1731"/>
        <w:gridCol w:w="2840"/>
        <w:gridCol w:w="2840"/>
      </w:tblGrid>
      <w:tr w:rsidR="001E31FE" w:rsidTr="001E31FE">
        <w:tc>
          <w:tcPr>
            <w:tcW w:w="1651" w:type="dxa"/>
          </w:tcPr>
          <w:p w:rsidR="001E31FE" w:rsidRDefault="001E31FE" w:rsidP="00AC5AD5">
            <w:pPr>
              <w:autoSpaceDE w:val="0"/>
              <w:autoSpaceDN w:val="0"/>
              <w:adjustRightInd w:val="0"/>
              <w:jc w:val="both"/>
              <w:rPr>
                <w:rFonts w:ascii="Book Antiqua" w:hAnsi="Book Antiqua" w:cs="GalliardStd-Roman"/>
                <w:b/>
                <w:sz w:val="24"/>
                <w:szCs w:val="24"/>
                <w:lang w:val="en-GB"/>
              </w:rPr>
            </w:pPr>
            <w:r>
              <w:rPr>
                <w:rFonts w:ascii="Book Antiqua" w:hAnsi="Book Antiqua" w:cs="GalliardStd-Roman"/>
                <w:b/>
                <w:sz w:val="24"/>
                <w:szCs w:val="24"/>
                <w:lang w:val="en-GB"/>
              </w:rPr>
              <w:t>CURRENCY</w:t>
            </w:r>
          </w:p>
        </w:tc>
        <w:tc>
          <w:tcPr>
            <w:tcW w:w="1731" w:type="dxa"/>
          </w:tcPr>
          <w:p w:rsidR="001E31FE" w:rsidRDefault="001E31FE" w:rsidP="001E31FE">
            <w:pPr>
              <w:autoSpaceDE w:val="0"/>
              <w:autoSpaceDN w:val="0"/>
              <w:adjustRightInd w:val="0"/>
              <w:rPr>
                <w:rFonts w:ascii="Book Antiqua" w:hAnsi="Book Antiqua" w:cs="GalliardStd-Roman"/>
                <w:b/>
                <w:sz w:val="24"/>
                <w:szCs w:val="24"/>
                <w:lang w:val="en-GB"/>
              </w:rPr>
            </w:pPr>
            <w:r>
              <w:rPr>
                <w:rFonts w:ascii="Book Antiqua" w:hAnsi="Book Antiqua" w:cs="GalliardStd-Roman"/>
                <w:b/>
                <w:sz w:val="24"/>
                <w:szCs w:val="24"/>
                <w:lang w:val="en-GB"/>
              </w:rPr>
              <w:t>Inflows (Ksh, equivalent)</w:t>
            </w:r>
          </w:p>
        </w:tc>
        <w:tc>
          <w:tcPr>
            <w:tcW w:w="2840" w:type="dxa"/>
          </w:tcPr>
          <w:p w:rsidR="001E31FE" w:rsidRDefault="001E31FE" w:rsidP="00AC5AD5">
            <w:pPr>
              <w:autoSpaceDE w:val="0"/>
              <w:autoSpaceDN w:val="0"/>
              <w:adjustRightInd w:val="0"/>
              <w:jc w:val="both"/>
              <w:rPr>
                <w:rFonts w:ascii="Book Antiqua" w:hAnsi="Book Antiqua" w:cs="GalliardStd-Roman"/>
                <w:b/>
                <w:sz w:val="24"/>
                <w:szCs w:val="24"/>
                <w:lang w:val="en-GB"/>
              </w:rPr>
            </w:pPr>
            <w:r>
              <w:rPr>
                <w:rFonts w:ascii="Book Antiqua" w:hAnsi="Book Antiqua" w:cs="GalliardStd-Roman"/>
                <w:b/>
                <w:sz w:val="24"/>
                <w:szCs w:val="24"/>
                <w:lang w:val="en-GB"/>
              </w:rPr>
              <w:t>Standard deviation of currency</w:t>
            </w:r>
          </w:p>
        </w:tc>
        <w:tc>
          <w:tcPr>
            <w:tcW w:w="2840" w:type="dxa"/>
          </w:tcPr>
          <w:p w:rsidR="001E31FE" w:rsidRDefault="001E31FE" w:rsidP="00AC5AD5">
            <w:pPr>
              <w:autoSpaceDE w:val="0"/>
              <w:autoSpaceDN w:val="0"/>
              <w:adjustRightInd w:val="0"/>
              <w:jc w:val="both"/>
              <w:rPr>
                <w:rFonts w:ascii="Book Antiqua" w:hAnsi="Book Antiqua" w:cs="GalliardStd-Roman"/>
                <w:b/>
                <w:sz w:val="24"/>
                <w:szCs w:val="24"/>
                <w:lang w:val="en-GB"/>
              </w:rPr>
            </w:pPr>
            <w:r>
              <w:rPr>
                <w:rFonts w:ascii="Book Antiqua" w:hAnsi="Book Antiqua" w:cs="GalliardStd-Roman"/>
                <w:b/>
                <w:sz w:val="24"/>
                <w:szCs w:val="24"/>
                <w:lang w:val="en-GB"/>
              </w:rPr>
              <w:t>Correlation Coefficient between currencies</w:t>
            </w:r>
          </w:p>
        </w:tc>
      </w:tr>
      <w:tr w:rsidR="001E31FE" w:rsidTr="001E31FE">
        <w:tc>
          <w:tcPr>
            <w:tcW w:w="1651" w:type="dxa"/>
          </w:tcPr>
          <w:p w:rsidR="001E31FE" w:rsidRDefault="001E31FE" w:rsidP="00AC5AD5">
            <w:pPr>
              <w:autoSpaceDE w:val="0"/>
              <w:autoSpaceDN w:val="0"/>
              <w:adjustRightInd w:val="0"/>
              <w:jc w:val="both"/>
              <w:rPr>
                <w:rFonts w:ascii="Book Antiqua" w:hAnsi="Book Antiqua" w:cs="GalliardStd-Roman"/>
                <w:b/>
                <w:sz w:val="24"/>
                <w:szCs w:val="24"/>
                <w:lang w:val="en-GB"/>
              </w:rPr>
            </w:pPr>
            <w:r>
              <w:rPr>
                <w:rFonts w:ascii="Book Antiqua" w:hAnsi="Book Antiqua" w:cs="GalliardStd-Roman"/>
                <w:b/>
                <w:sz w:val="24"/>
                <w:szCs w:val="24"/>
                <w:lang w:val="en-GB"/>
              </w:rPr>
              <w:t>Tsh.</w:t>
            </w:r>
          </w:p>
        </w:tc>
        <w:tc>
          <w:tcPr>
            <w:tcW w:w="1731" w:type="dxa"/>
          </w:tcPr>
          <w:p w:rsidR="001E31FE" w:rsidRDefault="001E31FE" w:rsidP="00AC5AD5">
            <w:pPr>
              <w:autoSpaceDE w:val="0"/>
              <w:autoSpaceDN w:val="0"/>
              <w:adjustRightInd w:val="0"/>
              <w:jc w:val="both"/>
              <w:rPr>
                <w:rFonts w:ascii="Book Antiqua" w:hAnsi="Book Antiqua" w:cs="GalliardStd-Roman"/>
                <w:b/>
                <w:sz w:val="24"/>
                <w:szCs w:val="24"/>
                <w:lang w:val="en-GB"/>
              </w:rPr>
            </w:pPr>
            <w:r>
              <w:rPr>
                <w:rFonts w:ascii="Book Antiqua" w:hAnsi="Book Antiqua" w:cs="GalliardStd-Roman"/>
                <w:b/>
                <w:sz w:val="24"/>
                <w:szCs w:val="24"/>
                <w:lang w:val="en-GB"/>
              </w:rPr>
              <w:t>10,000,000.00</w:t>
            </w:r>
          </w:p>
        </w:tc>
        <w:tc>
          <w:tcPr>
            <w:tcW w:w="2840" w:type="dxa"/>
          </w:tcPr>
          <w:p w:rsidR="001E31FE" w:rsidRDefault="001E31FE" w:rsidP="00AC5AD5">
            <w:pPr>
              <w:autoSpaceDE w:val="0"/>
              <w:autoSpaceDN w:val="0"/>
              <w:adjustRightInd w:val="0"/>
              <w:jc w:val="both"/>
              <w:rPr>
                <w:rFonts w:ascii="Book Antiqua" w:hAnsi="Book Antiqua" w:cs="GalliardStd-Roman"/>
                <w:b/>
                <w:sz w:val="24"/>
                <w:szCs w:val="24"/>
                <w:lang w:val="en-GB"/>
              </w:rPr>
            </w:pPr>
            <w:r>
              <w:rPr>
                <w:rFonts w:ascii="Book Antiqua" w:hAnsi="Book Antiqua" w:cs="GalliardStd-Roman"/>
                <w:b/>
                <w:sz w:val="24"/>
                <w:szCs w:val="24"/>
                <w:lang w:val="en-GB"/>
              </w:rPr>
              <w:t>4</w:t>
            </w:r>
          </w:p>
        </w:tc>
        <w:tc>
          <w:tcPr>
            <w:tcW w:w="2840" w:type="dxa"/>
          </w:tcPr>
          <w:p w:rsidR="001E31FE" w:rsidRDefault="001E31FE" w:rsidP="00AC5AD5">
            <w:pPr>
              <w:autoSpaceDE w:val="0"/>
              <w:autoSpaceDN w:val="0"/>
              <w:adjustRightInd w:val="0"/>
              <w:jc w:val="both"/>
              <w:rPr>
                <w:rFonts w:ascii="Book Antiqua" w:hAnsi="Book Antiqua" w:cs="GalliardStd-Roman"/>
                <w:b/>
                <w:sz w:val="24"/>
                <w:szCs w:val="24"/>
                <w:lang w:val="en-GB"/>
              </w:rPr>
            </w:pPr>
            <w:r>
              <w:rPr>
                <w:rFonts w:ascii="Book Antiqua" w:hAnsi="Book Antiqua" w:cs="GalliardStd-Roman"/>
                <w:b/>
                <w:sz w:val="24"/>
                <w:szCs w:val="24"/>
                <w:lang w:val="en-GB"/>
              </w:rPr>
              <w:t>-0.45</w:t>
            </w:r>
          </w:p>
        </w:tc>
      </w:tr>
      <w:tr w:rsidR="001E31FE" w:rsidTr="001E31FE">
        <w:tc>
          <w:tcPr>
            <w:tcW w:w="1651" w:type="dxa"/>
          </w:tcPr>
          <w:p w:rsidR="001E31FE" w:rsidRDefault="001E31FE" w:rsidP="00AC5AD5">
            <w:pPr>
              <w:autoSpaceDE w:val="0"/>
              <w:autoSpaceDN w:val="0"/>
              <w:adjustRightInd w:val="0"/>
              <w:jc w:val="both"/>
              <w:rPr>
                <w:rFonts w:ascii="Book Antiqua" w:hAnsi="Book Antiqua" w:cs="GalliardStd-Roman"/>
                <w:b/>
                <w:sz w:val="24"/>
                <w:szCs w:val="24"/>
                <w:lang w:val="en-GB"/>
              </w:rPr>
            </w:pPr>
            <w:r>
              <w:rPr>
                <w:rFonts w:ascii="Book Antiqua" w:hAnsi="Book Antiqua" w:cs="GalliardStd-Roman"/>
                <w:b/>
                <w:sz w:val="24"/>
                <w:szCs w:val="24"/>
                <w:lang w:val="en-GB"/>
              </w:rPr>
              <w:t>Ush.</w:t>
            </w:r>
          </w:p>
        </w:tc>
        <w:tc>
          <w:tcPr>
            <w:tcW w:w="1731" w:type="dxa"/>
          </w:tcPr>
          <w:p w:rsidR="001E31FE" w:rsidRDefault="001E31FE" w:rsidP="00AC5AD5">
            <w:pPr>
              <w:autoSpaceDE w:val="0"/>
              <w:autoSpaceDN w:val="0"/>
              <w:adjustRightInd w:val="0"/>
              <w:jc w:val="both"/>
              <w:rPr>
                <w:rFonts w:ascii="Book Antiqua" w:hAnsi="Book Antiqua" w:cs="GalliardStd-Roman"/>
                <w:b/>
                <w:sz w:val="24"/>
                <w:szCs w:val="24"/>
                <w:lang w:val="en-GB"/>
              </w:rPr>
            </w:pPr>
            <w:r>
              <w:rPr>
                <w:rFonts w:ascii="Book Antiqua" w:hAnsi="Book Antiqua" w:cs="GalliardStd-Roman"/>
                <w:b/>
                <w:sz w:val="24"/>
                <w:szCs w:val="24"/>
                <w:lang w:val="en-GB"/>
              </w:rPr>
              <w:t>25,000,000.00</w:t>
            </w:r>
          </w:p>
        </w:tc>
        <w:tc>
          <w:tcPr>
            <w:tcW w:w="2840" w:type="dxa"/>
          </w:tcPr>
          <w:p w:rsidR="001E31FE" w:rsidRDefault="001E31FE" w:rsidP="00AC5AD5">
            <w:pPr>
              <w:autoSpaceDE w:val="0"/>
              <w:autoSpaceDN w:val="0"/>
              <w:adjustRightInd w:val="0"/>
              <w:jc w:val="both"/>
              <w:rPr>
                <w:rFonts w:ascii="Book Antiqua" w:hAnsi="Book Antiqua" w:cs="GalliardStd-Roman"/>
                <w:b/>
                <w:sz w:val="24"/>
                <w:szCs w:val="24"/>
                <w:lang w:val="en-GB"/>
              </w:rPr>
            </w:pPr>
            <w:r>
              <w:rPr>
                <w:rFonts w:ascii="Book Antiqua" w:hAnsi="Book Antiqua" w:cs="GalliardStd-Roman"/>
                <w:b/>
                <w:sz w:val="24"/>
                <w:szCs w:val="24"/>
                <w:lang w:val="en-GB"/>
              </w:rPr>
              <w:t>1</w:t>
            </w:r>
          </w:p>
        </w:tc>
        <w:tc>
          <w:tcPr>
            <w:tcW w:w="2840" w:type="dxa"/>
          </w:tcPr>
          <w:p w:rsidR="001E31FE" w:rsidRDefault="001E31FE" w:rsidP="00AC5AD5">
            <w:pPr>
              <w:autoSpaceDE w:val="0"/>
              <w:autoSpaceDN w:val="0"/>
              <w:adjustRightInd w:val="0"/>
              <w:jc w:val="both"/>
              <w:rPr>
                <w:rFonts w:ascii="Book Antiqua" w:hAnsi="Book Antiqua" w:cs="GalliardStd-Roman"/>
                <w:b/>
                <w:sz w:val="24"/>
                <w:szCs w:val="24"/>
                <w:lang w:val="en-GB"/>
              </w:rPr>
            </w:pPr>
          </w:p>
        </w:tc>
      </w:tr>
    </w:tbl>
    <w:p w:rsidR="001E31FE" w:rsidRDefault="001E31FE" w:rsidP="00AC5AD5">
      <w:pPr>
        <w:autoSpaceDE w:val="0"/>
        <w:autoSpaceDN w:val="0"/>
        <w:adjustRightInd w:val="0"/>
        <w:spacing w:after="0" w:line="240" w:lineRule="auto"/>
        <w:jc w:val="both"/>
        <w:rPr>
          <w:rFonts w:ascii="Book Antiqua" w:hAnsi="Book Antiqua" w:cs="GalliardStd-Roman"/>
          <w:b/>
          <w:sz w:val="24"/>
          <w:szCs w:val="24"/>
          <w:lang w:val="en-GB"/>
        </w:rPr>
      </w:pPr>
    </w:p>
    <w:p w:rsidR="001E31FE" w:rsidRDefault="001E31FE" w:rsidP="00CA7757">
      <w:pPr>
        <w:autoSpaceDE w:val="0"/>
        <w:autoSpaceDN w:val="0"/>
        <w:adjustRightInd w:val="0"/>
        <w:spacing w:after="0" w:line="240" w:lineRule="auto"/>
        <w:jc w:val="both"/>
        <w:rPr>
          <w:rFonts w:ascii="Book Antiqua" w:hAnsi="Book Antiqua" w:cs="GalliardStd-Roman"/>
          <w:sz w:val="24"/>
          <w:szCs w:val="24"/>
          <w:lang w:val="en-GB"/>
        </w:rPr>
      </w:pPr>
      <w:r w:rsidRPr="000B36CE">
        <w:rPr>
          <w:rFonts w:ascii="Book Antiqua" w:hAnsi="Book Antiqua" w:cs="GalliardStd-Roman"/>
          <w:sz w:val="24"/>
          <w:szCs w:val="24"/>
          <w:lang w:val="en-GB"/>
        </w:rPr>
        <w:t xml:space="preserve">Compute the expected exposure to the currencies. In other words, by how much do you expect your </w:t>
      </w:r>
      <w:r w:rsidR="000B36CE" w:rsidRPr="000B36CE">
        <w:rPr>
          <w:rFonts w:ascii="Book Antiqua" w:hAnsi="Book Antiqua" w:cs="GalliardStd-Roman"/>
          <w:sz w:val="24"/>
          <w:szCs w:val="24"/>
          <w:lang w:val="en-GB"/>
        </w:rPr>
        <w:t>cash flows</w:t>
      </w:r>
      <w:r w:rsidRPr="000B36CE">
        <w:rPr>
          <w:rFonts w:ascii="Book Antiqua" w:hAnsi="Book Antiqua" w:cs="GalliardStd-Roman"/>
          <w:sz w:val="24"/>
          <w:szCs w:val="24"/>
          <w:lang w:val="en-GB"/>
        </w:rPr>
        <w:t xml:space="preserve"> to fluctuate as a result of movement in exchange rates?</w:t>
      </w:r>
    </w:p>
    <w:p w:rsidR="00250F36" w:rsidRDefault="00250F36" w:rsidP="00CA7757">
      <w:pPr>
        <w:autoSpaceDE w:val="0"/>
        <w:autoSpaceDN w:val="0"/>
        <w:adjustRightInd w:val="0"/>
        <w:spacing w:after="0" w:line="240" w:lineRule="auto"/>
        <w:jc w:val="both"/>
        <w:rPr>
          <w:rFonts w:ascii="Book Antiqua" w:hAnsi="Book Antiqua" w:cs="GalliardStd-Roman"/>
          <w:sz w:val="24"/>
          <w:szCs w:val="24"/>
          <w:lang w:val="en-GB"/>
        </w:rPr>
      </w:pPr>
    </w:p>
    <w:p w:rsidR="00250F36" w:rsidRPr="00250F36" w:rsidRDefault="00250F36" w:rsidP="00CA7757">
      <w:pPr>
        <w:autoSpaceDE w:val="0"/>
        <w:autoSpaceDN w:val="0"/>
        <w:adjustRightInd w:val="0"/>
        <w:spacing w:after="0" w:line="240" w:lineRule="auto"/>
        <w:jc w:val="both"/>
        <w:rPr>
          <w:rFonts w:ascii="Book Antiqua" w:hAnsi="Book Antiqua" w:cs="GalliardStd-Roman"/>
          <w:b/>
          <w:sz w:val="24"/>
          <w:szCs w:val="24"/>
          <w:lang w:val="en-GB"/>
        </w:rPr>
      </w:pPr>
      <w:r w:rsidRPr="00250F36">
        <w:rPr>
          <w:rFonts w:ascii="Book Antiqua" w:hAnsi="Book Antiqua" w:cs="GalliardStd-Roman"/>
          <w:b/>
          <w:sz w:val="24"/>
          <w:szCs w:val="24"/>
          <w:lang w:val="en-GB"/>
        </w:rPr>
        <w:t xml:space="preserve">Measurement of Currency Variability. </w:t>
      </w:r>
    </w:p>
    <w:p w:rsidR="00250F36" w:rsidRPr="00250F36" w:rsidRDefault="00250F36" w:rsidP="00CA7757">
      <w:pPr>
        <w:autoSpaceDE w:val="0"/>
        <w:autoSpaceDN w:val="0"/>
        <w:adjustRightInd w:val="0"/>
        <w:spacing w:after="0" w:line="240" w:lineRule="auto"/>
        <w:jc w:val="both"/>
        <w:rPr>
          <w:rFonts w:ascii="Book Antiqua" w:hAnsi="Book Antiqua" w:cs="GalliardStd-Roman"/>
          <w:sz w:val="24"/>
          <w:szCs w:val="24"/>
          <w:lang w:val="en-GB"/>
        </w:rPr>
      </w:pPr>
      <w:r w:rsidRPr="00250F36">
        <w:rPr>
          <w:rFonts w:ascii="Book Antiqua" w:hAnsi="Book Antiqua" w:cs="GalliardStd-Roman"/>
          <w:sz w:val="24"/>
          <w:szCs w:val="24"/>
          <w:lang w:val="en-GB"/>
        </w:rPr>
        <w:t>The standard deviation statistic measures the degree of movement for each currency. In any given period, some currencies clearly fluctuate much more than others. Some currencies in emerging markets are very volatile.</w:t>
      </w:r>
    </w:p>
    <w:p w:rsidR="00250F36" w:rsidRDefault="00250F36" w:rsidP="00CA7757">
      <w:pPr>
        <w:autoSpaceDE w:val="0"/>
        <w:autoSpaceDN w:val="0"/>
        <w:adjustRightInd w:val="0"/>
        <w:spacing w:after="0" w:line="240" w:lineRule="auto"/>
        <w:jc w:val="both"/>
        <w:rPr>
          <w:rFonts w:ascii="Book Antiqua" w:hAnsi="Book Antiqua" w:cs="GalliardStd-Roman"/>
          <w:sz w:val="24"/>
          <w:szCs w:val="24"/>
          <w:lang w:val="en-GB"/>
        </w:rPr>
      </w:pPr>
    </w:p>
    <w:p w:rsidR="00250F36" w:rsidRPr="00250F36" w:rsidRDefault="00250F36" w:rsidP="00CA7757">
      <w:pPr>
        <w:autoSpaceDE w:val="0"/>
        <w:autoSpaceDN w:val="0"/>
        <w:adjustRightInd w:val="0"/>
        <w:spacing w:after="0" w:line="240" w:lineRule="auto"/>
        <w:jc w:val="both"/>
        <w:rPr>
          <w:rFonts w:ascii="Book Antiqua" w:hAnsi="Book Antiqua" w:cs="GalliardStd-Roman"/>
          <w:b/>
          <w:sz w:val="24"/>
          <w:szCs w:val="24"/>
          <w:lang w:val="en-GB"/>
        </w:rPr>
      </w:pPr>
      <w:r w:rsidRPr="00250F36">
        <w:rPr>
          <w:rFonts w:ascii="Book Antiqua" w:hAnsi="Book Antiqua" w:cs="GalliardStd-Roman"/>
          <w:b/>
          <w:sz w:val="24"/>
          <w:szCs w:val="24"/>
          <w:lang w:val="en-GB"/>
        </w:rPr>
        <w:t xml:space="preserve">Currency Variability over Time. </w:t>
      </w:r>
    </w:p>
    <w:p w:rsidR="00250F36" w:rsidRDefault="00250F36" w:rsidP="00CA7757">
      <w:pPr>
        <w:autoSpaceDE w:val="0"/>
        <w:autoSpaceDN w:val="0"/>
        <w:adjustRightInd w:val="0"/>
        <w:spacing w:after="0" w:line="240" w:lineRule="auto"/>
        <w:jc w:val="both"/>
        <w:rPr>
          <w:rFonts w:ascii="Book Antiqua" w:hAnsi="Book Antiqua" w:cs="GalliardStd-Roman"/>
          <w:sz w:val="24"/>
          <w:szCs w:val="24"/>
          <w:lang w:val="en-GB"/>
        </w:rPr>
      </w:pPr>
      <w:r w:rsidRPr="00250F36">
        <w:rPr>
          <w:rFonts w:ascii="Book Antiqua" w:hAnsi="Book Antiqua" w:cs="GalliardStd-Roman"/>
          <w:sz w:val="24"/>
          <w:szCs w:val="24"/>
          <w:lang w:val="en-GB"/>
        </w:rPr>
        <w:t xml:space="preserve">The variability of a currency will not necessarily remain consistent from one time period to another. Nevertheless, an MNC can at least identify currencies whose values are most likely to be stable or highly variable in the future. </w:t>
      </w:r>
    </w:p>
    <w:p w:rsidR="00CA7757" w:rsidRDefault="00CA7757" w:rsidP="00CA7757">
      <w:pPr>
        <w:autoSpaceDE w:val="0"/>
        <w:autoSpaceDN w:val="0"/>
        <w:adjustRightInd w:val="0"/>
        <w:spacing w:after="0" w:line="240" w:lineRule="auto"/>
        <w:jc w:val="both"/>
        <w:rPr>
          <w:rFonts w:ascii="Book Antiqua" w:hAnsi="Book Antiqua" w:cs="GalliardStd-Roman"/>
          <w:sz w:val="24"/>
          <w:szCs w:val="24"/>
          <w:lang w:val="en-GB"/>
        </w:rPr>
      </w:pPr>
    </w:p>
    <w:p w:rsidR="00250F36" w:rsidRPr="00250F36" w:rsidRDefault="00250F36" w:rsidP="00CA7757">
      <w:pPr>
        <w:autoSpaceDE w:val="0"/>
        <w:autoSpaceDN w:val="0"/>
        <w:adjustRightInd w:val="0"/>
        <w:spacing w:after="0" w:line="240" w:lineRule="auto"/>
        <w:jc w:val="both"/>
        <w:rPr>
          <w:rFonts w:ascii="Book Antiqua" w:hAnsi="Book Antiqua" w:cs="GalliardStd-Roman"/>
          <w:b/>
          <w:sz w:val="24"/>
          <w:szCs w:val="24"/>
          <w:lang w:val="en-GB"/>
        </w:rPr>
      </w:pPr>
      <w:r w:rsidRPr="00250F36">
        <w:rPr>
          <w:rFonts w:ascii="Book Antiqua" w:hAnsi="Book Antiqua" w:cs="GalliardStd-Roman"/>
          <w:b/>
          <w:sz w:val="24"/>
          <w:szCs w:val="24"/>
          <w:lang w:val="en-GB"/>
        </w:rPr>
        <w:t xml:space="preserve">Measurement of Currency Correlations. </w:t>
      </w:r>
    </w:p>
    <w:p w:rsidR="00250F36" w:rsidRDefault="00250F36" w:rsidP="00CA7757">
      <w:pPr>
        <w:autoSpaceDE w:val="0"/>
        <w:autoSpaceDN w:val="0"/>
        <w:adjustRightInd w:val="0"/>
        <w:spacing w:after="0" w:line="240" w:lineRule="auto"/>
        <w:jc w:val="both"/>
        <w:rPr>
          <w:rFonts w:ascii="Book Antiqua" w:hAnsi="Book Antiqua" w:cs="GalliardStd-Roman"/>
          <w:sz w:val="24"/>
          <w:szCs w:val="24"/>
          <w:lang w:val="en-GB"/>
        </w:rPr>
      </w:pPr>
      <w:r w:rsidRPr="00250F36">
        <w:rPr>
          <w:rFonts w:ascii="Book Antiqua" w:hAnsi="Book Antiqua" w:cs="GalliardStd-Roman"/>
          <w:sz w:val="24"/>
          <w:szCs w:val="24"/>
          <w:lang w:val="en-GB"/>
        </w:rPr>
        <w:t>The correlations among currency movements can be measured by their correlation coefficients, which indicate the degree to which two currencies move in relation to each other. The extreme case is perfect positive correlation, which is represented by a correlation coefficient equal to 1.00. Correlations can also be negative, reflecting an inverse relationship between individual mo</w:t>
      </w:r>
      <w:r w:rsidR="00CA7757">
        <w:rPr>
          <w:rFonts w:ascii="Book Antiqua" w:hAnsi="Book Antiqua" w:cs="GalliardStd-Roman"/>
          <w:sz w:val="24"/>
          <w:szCs w:val="24"/>
          <w:lang w:val="en-GB"/>
        </w:rPr>
        <w:t>vements, the extreme case being -</w:t>
      </w:r>
      <w:r w:rsidRPr="00250F36">
        <w:rPr>
          <w:rFonts w:ascii="Book Antiqua" w:hAnsi="Book Antiqua" w:cs="GalliardStd-Roman"/>
          <w:sz w:val="24"/>
          <w:szCs w:val="24"/>
          <w:lang w:val="en-GB"/>
        </w:rPr>
        <w:t>1.00.</w:t>
      </w:r>
      <w:r w:rsidR="00CA7757">
        <w:rPr>
          <w:rFonts w:ascii="Book Antiqua" w:hAnsi="Book Antiqua" w:cs="GalliardStd-Roman"/>
          <w:sz w:val="24"/>
          <w:szCs w:val="24"/>
          <w:lang w:val="en-GB"/>
        </w:rPr>
        <w:t xml:space="preserve"> This can be estimated using time series statistics.</w:t>
      </w:r>
    </w:p>
    <w:p w:rsidR="00CA7757" w:rsidRDefault="00CA7757" w:rsidP="00CA7757">
      <w:pPr>
        <w:autoSpaceDE w:val="0"/>
        <w:autoSpaceDN w:val="0"/>
        <w:adjustRightInd w:val="0"/>
        <w:spacing w:after="0" w:line="240" w:lineRule="auto"/>
        <w:jc w:val="both"/>
        <w:rPr>
          <w:rFonts w:ascii="Book Antiqua" w:hAnsi="Book Antiqua" w:cs="GalliardStd-Roman"/>
          <w:sz w:val="24"/>
          <w:szCs w:val="24"/>
          <w:lang w:val="en-GB"/>
        </w:rPr>
      </w:pPr>
    </w:p>
    <w:p w:rsidR="00CA7757" w:rsidRPr="00635570" w:rsidRDefault="00635570" w:rsidP="00CA7757">
      <w:pPr>
        <w:autoSpaceDE w:val="0"/>
        <w:autoSpaceDN w:val="0"/>
        <w:adjustRightInd w:val="0"/>
        <w:spacing w:after="0" w:line="240" w:lineRule="auto"/>
        <w:jc w:val="both"/>
        <w:rPr>
          <w:rFonts w:ascii="Book Antiqua" w:hAnsi="Book Antiqua" w:cs="GalliardStd-Roman"/>
          <w:b/>
          <w:sz w:val="24"/>
          <w:szCs w:val="24"/>
          <w:u w:val="single"/>
          <w:lang w:val="en-GB"/>
        </w:rPr>
      </w:pPr>
      <w:r w:rsidRPr="00635570">
        <w:rPr>
          <w:rFonts w:ascii="Book Antiqua" w:hAnsi="Book Antiqua" w:cs="GalliardStd-Roman"/>
          <w:b/>
          <w:sz w:val="24"/>
          <w:szCs w:val="24"/>
          <w:u w:val="single"/>
          <w:lang w:val="en-GB"/>
        </w:rPr>
        <w:t>ECONOMIC EXPOSURE</w:t>
      </w:r>
    </w:p>
    <w:p w:rsidR="00CA7757" w:rsidRDefault="00CA7757" w:rsidP="00CA7757">
      <w:pPr>
        <w:autoSpaceDE w:val="0"/>
        <w:autoSpaceDN w:val="0"/>
        <w:adjustRightInd w:val="0"/>
        <w:spacing w:after="0" w:line="240" w:lineRule="auto"/>
        <w:jc w:val="both"/>
        <w:rPr>
          <w:rFonts w:ascii="Book Antiqua" w:hAnsi="Book Antiqua" w:cs="GalliardStd-Roman"/>
          <w:sz w:val="24"/>
          <w:szCs w:val="24"/>
          <w:lang w:val="en-GB"/>
        </w:rPr>
      </w:pPr>
      <w:r w:rsidRPr="00CA7757">
        <w:rPr>
          <w:rFonts w:ascii="Book Antiqua" w:hAnsi="Book Antiqua" w:cs="GalliardStd-Roman"/>
          <w:sz w:val="24"/>
          <w:szCs w:val="24"/>
          <w:lang w:val="en-GB"/>
        </w:rPr>
        <w:t>The value of a firm’s cash flows can be affected by exchange rate movements if it executes transactions in foreign currencies, receives revenue from foreign customers, or is subject to foreign competition. The sensitivity of the firm’s cash flows to exchange rate movements is referred to as economic exposure (also sometimes referred to as operating exposure). Transaction exposure is a subset of economic exposure. But economic exposure also includes other ways in which a firm’s cash flows can be affected by exchange rate movements.</w:t>
      </w:r>
    </w:p>
    <w:p w:rsidR="007E1D99" w:rsidRDefault="007E1D99" w:rsidP="00CA7757">
      <w:pPr>
        <w:autoSpaceDE w:val="0"/>
        <w:autoSpaceDN w:val="0"/>
        <w:adjustRightInd w:val="0"/>
        <w:spacing w:after="0" w:line="240" w:lineRule="auto"/>
        <w:jc w:val="both"/>
        <w:rPr>
          <w:rFonts w:ascii="Book Antiqua" w:hAnsi="Book Antiqua" w:cs="GalliardStd-Roman"/>
          <w:sz w:val="24"/>
          <w:szCs w:val="24"/>
          <w:lang w:val="en-GB"/>
        </w:rPr>
      </w:pPr>
    </w:p>
    <w:p w:rsidR="007E1D99" w:rsidRDefault="007E1D99" w:rsidP="00CA7757">
      <w:pPr>
        <w:autoSpaceDE w:val="0"/>
        <w:autoSpaceDN w:val="0"/>
        <w:adjustRightInd w:val="0"/>
        <w:spacing w:after="0" w:line="240" w:lineRule="auto"/>
        <w:jc w:val="both"/>
        <w:rPr>
          <w:rFonts w:ascii="Book Antiqua" w:hAnsi="Book Antiqua" w:cs="GalliardStd-Roman"/>
          <w:sz w:val="24"/>
          <w:szCs w:val="24"/>
          <w:lang w:val="en-GB"/>
        </w:rPr>
      </w:pPr>
      <w:r>
        <w:rPr>
          <w:rFonts w:ascii="Book Antiqua" w:hAnsi="Book Antiqua" w:cs="GalliardStd-Roman"/>
          <w:sz w:val="24"/>
          <w:szCs w:val="24"/>
          <w:lang w:val="en-GB"/>
        </w:rPr>
        <w:t>Table 3: Example of economic exposure due to exchange rate movements</w:t>
      </w:r>
    </w:p>
    <w:tbl>
      <w:tblPr>
        <w:tblStyle w:val="TableGrid"/>
        <w:tblW w:w="0" w:type="auto"/>
        <w:tblLook w:val="04A0" w:firstRow="1" w:lastRow="0" w:firstColumn="1" w:lastColumn="0" w:noHBand="0" w:noVBand="1"/>
      </w:tblPr>
      <w:tblGrid>
        <w:gridCol w:w="4531"/>
        <w:gridCol w:w="4531"/>
      </w:tblGrid>
      <w:tr w:rsidR="007E1D99" w:rsidRPr="009D43BC" w:rsidTr="007E1D99">
        <w:tc>
          <w:tcPr>
            <w:tcW w:w="4531" w:type="dxa"/>
          </w:tcPr>
          <w:p w:rsidR="007E1D99" w:rsidRPr="007E1D99" w:rsidRDefault="007E1D99" w:rsidP="00CA7757">
            <w:pPr>
              <w:autoSpaceDE w:val="0"/>
              <w:autoSpaceDN w:val="0"/>
              <w:adjustRightInd w:val="0"/>
              <w:jc w:val="both"/>
              <w:rPr>
                <w:rFonts w:ascii="Book Antiqua" w:hAnsi="Book Antiqua" w:cs="GalliardStd-Roman"/>
                <w:b/>
                <w:sz w:val="24"/>
                <w:szCs w:val="24"/>
                <w:lang w:val="en-GB"/>
              </w:rPr>
            </w:pPr>
            <w:r w:rsidRPr="007E1D99">
              <w:rPr>
                <w:rFonts w:ascii="Book Antiqua" w:hAnsi="Book Antiqua" w:cs="GalliardStd-Roman"/>
                <w:b/>
                <w:sz w:val="24"/>
                <w:szCs w:val="24"/>
                <w:lang w:val="en-GB"/>
              </w:rPr>
              <w:t>A Kenyan Firm</w:t>
            </w:r>
          </w:p>
        </w:tc>
        <w:tc>
          <w:tcPr>
            <w:tcW w:w="4531" w:type="dxa"/>
          </w:tcPr>
          <w:p w:rsidR="007E1D99" w:rsidRPr="007E1D99" w:rsidRDefault="007E1D99" w:rsidP="00CA7757">
            <w:pPr>
              <w:autoSpaceDE w:val="0"/>
              <w:autoSpaceDN w:val="0"/>
              <w:adjustRightInd w:val="0"/>
              <w:jc w:val="both"/>
              <w:rPr>
                <w:rFonts w:ascii="Book Antiqua" w:hAnsi="Book Antiqua" w:cs="GalliardStd-Roman"/>
                <w:b/>
                <w:sz w:val="24"/>
                <w:szCs w:val="24"/>
                <w:lang w:val="en-GB"/>
              </w:rPr>
            </w:pPr>
            <w:r w:rsidRPr="007E1D99">
              <w:rPr>
                <w:rFonts w:ascii="Book Antiqua" w:hAnsi="Book Antiqua" w:cs="GalliardStd-Roman"/>
                <w:b/>
                <w:sz w:val="24"/>
                <w:szCs w:val="24"/>
                <w:lang w:val="en-GB"/>
              </w:rPr>
              <w:t>Ksh. Firm shilling cash flow adversely affected</w:t>
            </w:r>
          </w:p>
        </w:tc>
      </w:tr>
      <w:tr w:rsidR="007E1D99" w:rsidTr="007E1D99">
        <w:trPr>
          <w:trHeight w:val="745"/>
        </w:trPr>
        <w:tc>
          <w:tcPr>
            <w:tcW w:w="4531" w:type="dxa"/>
          </w:tcPr>
          <w:p w:rsidR="007E1D99" w:rsidRPr="007E1D99" w:rsidRDefault="007E1D99" w:rsidP="007E1D99">
            <w:pPr>
              <w:autoSpaceDE w:val="0"/>
              <w:autoSpaceDN w:val="0"/>
              <w:adjustRightInd w:val="0"/>
              <w:rPr>
                <w:rFonts w:ascii="Book Antiqua" w:hAnsi="Book Antiqua" w:cs="GalliardStd-Roman"/>
                <w:sz w:val="24"/>
                <w:szCs w:val="24"/>
                <w:lang w:val="en-GB"/>
              </w:rPr>
            </w:pPr>
            <w:r w:rsidRPr="007E1D99">
              <w:rPr>
                <w:rFonts w:ascii="Book Antiqua" w:hAnsi="Book Antiqua" w:cs="GalliardStd-Roman"/>
                <w:sz w:val="24"/>
                <w:szCs w:val="24"/>
                <w:lang w:val="en-GB"/>
              </w:rPr>
              <w:t>Has a contract to export products in. which it agreed to accept euros.</w:t>
            </w:r>
          </w:p>
        </w:tc>
        <w:tc>
          <w:tcPr>
            <w:tcW w:w="4531" w:type="dxa"/>
          </w:tcPr>
          <w:p w:rsidR="007E1D99" w:rsidRDefault="007E1D99" w:rsidP="00CA7757">
            <w:pPr>
              <w:autoSpaceDE w:val="0"/>
              <w:autoSpaceDN w:val="0"/>
              <w:adjustRightInd w:val="0"/>
              <w:jc w:val="both"/>
              <w:rPr>
                <w:rFonts w:ascii="Book Antiqua" w:hAnsi="Book Antiqua" w:cs="GalliardStd-Roman"/>
                <w:sz w:val="24"/>
                <w:szCs w:val="24"/>
                <w:lang w:val="en-GB"/>
              </w:rPr>
            </w:pPr>
            <w:r w:rsidRPr="007E1D99">
              <w:rPr>
                <w:rFonts w:ascii="Book Antiqua" w:hAnsi="Book Antiqua" w:cs="GalliardStd-Roman"/>
                <w:sz w:val="24"/>
                <w:szCs w:val="24"/>
                <w:lang w:val="en-GB"/>
              </w:rPr>
              <w:t>Euro depreciates</w:t>
            </w:r>
          </w:p>
        </w:tc>
      </w:tr>
      <w:tr w:rsidR="007E1D99" w:rsidTr="007E1D99">
        <w:tc>
          <w:tcPr>
            <w:tcW w:w="4531" w:type="dxa"/>
          </w:tcPr>
          <w:p w:rsidR="007E1D99" w:rsidRPr="007E1D99" w:rsidRDefault="007E1D99" w:rsidP="007E1D99">
            <w:pPr>
              <w:autoSpaceDE w:val="0"/>
              <w:autoSpaceDN w:val="0"/>
              <w:adjustRightInd w:val="0"/>
              <w:rPr>
                <w:rFonts w:ascii="Book Antiqua" w:hAnsi="Book Antiqua" w:cs="GalliardStd-Roman"/>
                <w:sz w:val="24"/>
                <w:szCs w:val="24"/>
                <w:lang w:val="en-GB"/>
              </w:rPr>
            </w:pPr>
            <w:r w:rsidRPr="007E1D99">
              <w:rPr>
                <w:rFonts w:ascii="Book Antiqua" w:hAnsi="Book Antiqua" w:cs="GalliardStd-Roman"/>
                <w:sz w:val="24"/>
                <w:szCs w:val="24"/>
                <w:lang w:val="en-GB"/>
              </w:rPr>
              <w:t>Has a contract to import materials that  are priced in Uganda Shillings</w:t>
            </w:r>
          </w:p>
        </w:tc>
        <w:tc>
          <w:tcPr>
            <w:tcW w:w="4531" w:type="dxa"/>
          </w:tcPr>
          <w:p w:rsidR="007E1D99" w:rsidRDefault="007E1D99" w:rsidP="00CA7757">
            <w:pPr>
              <w:autoSpaceDE w:val="0"/>
              <w:autoSpaceDN w:val="0"/>
              <w:adjustRightInd w:val="0"/>
              <w:jc w:val="both"/>
              <w:rPr>
                <w:rFonts w:ascii="Book Antiqua" w:hAnsi="Book Antiqua" w:cs="GalliardStd-Roman"/>
                <w:sz w:val="24"/>
                <w:szCs w:val="24"/>
                <w:lang w:val="en-GB"/>
              </w:rPr>
            </w:pPr>
            <w:r w:rsidRPr="007E1D99">
              <w:rPr>
                <w:rFonts w:ascii="Book Antiqua" w:hAnsi="Book Antiqua" w:cs="GalliardStd-Roman"/>
                <w:sz w:val="24"/>
                <w:szCs w:val="24"/>
                <w:lang w:val="en-GB"/>
              </w:rPr>
              <w:t xml:space="preserve">Ush. </w:t>
            </w:r>
            <w:proofErr w:type="gramStart"/>
            <w:r w:rsidRPr="007E1D99">
              <w:rPr>
                <w:rFonts w:ascii="Book Antiqua" w:hAnsi="Book Antiqua" w:cs="GalliardStd-Roman"/>
                <w:sz w:val="24"/>
                <w:szCs w:val="24"/>
                <w:lang w:val="en-GB"/>
              </w:rPr>
              <w:t>appreciates</w:t>
            </w:r>
            <w:proofErr w:type="gramEnd"/>
            <w:r w:rsidRPr="007E1D99">
              <w:rPr>
                <w:rFonts w:ascii="Book Antiqua" w:hAnsi="Book Antiqua" w:cs="GalliardStd-Roman"/>
                <w:sz w:val="24"/>
                <w:szCs w:val="24"/>
                <w:lang w:val="en-GB"/>
              </w:rPr>
              <w:t>.</w:t>
            </w:r>
          </w:p>
        </w:tc>
      </w:tr>
      <w:tr w:rsidR="007E1D99" w:rsidRPr="009D43BC" w:rsidTr="007E1D99">
        <w:tc>
          <w:tcPr>
            <w:tcW w:w="4531" w:type="dxa"/>
          </w:tcPr>
          <w:p w:rsidR="007E1D99" w:rsidRDefault="007E1D99" w:rsidP="00CA7757">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lastRenderedPageBreak/>
              <w:t>Exports products to Uganda that are priced in Ksh and competitors are located in Uganda</w:t>
            </w:r>
          </w:p>
        </w:tc>
        <w:tc>
          <w:tcPr>
            <w:tcW w:w="4531" w:type="dxa"/>
          </w:tcPr>
          <w:p w:rsidR="007E1D99" w:rsidRDefault="007E1D99" w:rsidP="00CA7757">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 xml:space="preserve">Ush. </w:t>
            </w:r>
            <w:proofErr w:type="spellStart"/>
            <w:r>
              <w:rPr>
                <w:rFonts w:ascii="Book Antiqua" w:hAnsi="Book Antiqua" w:cs="GalliardStd-Roman"/>
                <w:sz w:val="24"/>
                <w:szCs w:val="24"/>
                <w:lang w:val="en-GB"/>
              </w:rPr>
              <w:t>Deppreciates</w:t>
            </w:r>
            <w:proofErr w:type="spellEnd"/>
            <w:r>
              <w:rPr>
                <w:rFonts w:ascii="Book Antiqua" w:hAnsi="Book Antiqua" w:cs="GalliardStd-Roman"/>
                <w:sz w:val="24"/>
                <w:szCs w:val="24"/>
                <w:lang w:val="en-GB"/>
              </w:rPr>
              <w:t>, causing some customers to switch to competitors.</w:t>
            </w:r>
          </w:p>
        </w:tc>
      </w:tr>
      <w:tr w:rsidR="007E1D99" w:rsidRPr="009D43BC" w:rsidTr="007E1D99">
        <w:tc>
          <w:tcPr>
            <w:tcW w:w="4531" w:type="dxa"/>
          </w:tcPr>
          <w:p w:rsidR="007E1D99" w:rsidRDefault="007E1D99" w:rsidP="00CA7757">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Sells products to local customers and its main competitors are based in Uganda.</w:t>
            </w:r>
          </w:p>
        </w:tc>
        <w:tc>
          <w:tcPr>
            <w:tcW w:w="4531" w:type="dxa"/>
          </w:tcPr>
          <w:p w:rsidR="007E1D99" w:rsidRDefault="007E1D99" w:rsidP="00CA7757">
            <w:pPr>
              <w:autoSpaceDE w:val="0"/>
              <w:autoSpaceDN w:val="0"/>
              <w:adjustRightInd w:val="0"/>
              <w:jc w:val="both"/>
              <w:rPr>
                <w:rFonts w:ascii="Book Antiqua" w:hAnsi="Book Antiqua" w:cs="GalliardStd-Roman"/>
                <w:sz w:val="24"/>
                <w:szCs w:val="24"/>
                <w:lang w:val="en-GB"/>
              </w:rPr>
            </w:pPr>
            <w:r>
              <w:rPr>
                <w:rFonts w:ascii="Book Antiqua" w:hAnsi="Book Antiqua" w:cs="GalliardStd-Roman"/>
                <w:sz w:val="24"/>
                <w:szCs w:val="24"/>
                <w:lang w:val="en-GB"/>
              </w:rPr>
              <w:t xml:space="preserve">Ush </w:t>
            </w:r>
            <w:r w:rsidR="00176859">
              <w:rPr>
                <w:rFonts w:ascii="Book Antiqua" w:hAnsi="Book Antiqua" w:cs="GalliardStd-Roman"/>
                <w:sz w:val="24"/>
                <w:szCs w:val="24"/>
                <w:lang w:val="en-GB"/>
              </w:rPr>
              <w:t>depreciates</w:t>
            </w:r>
            <w:r>
              <w:rPr>
                <w:rFonts w:ascii="Book Antiqua" w:hAnsi="Book Antiqua" w:cs="GalliardStd-Roman"/>
                <w:sz w:val="24"/>
                <w:szCs w:val="24"/>
                <w:lang w:val="en-GB"/>
              </w:rPr>
              <w:t>, causing customers to switch to competitors.</w:t>
            </w:r>
          </w:p>
        </w:tc>
      </w:tr>
      <w:tr w:rsidR="007E1D99" w:rsidRPr="009D43BC" w:rsidTr="007E1D99">
        <w:tc>
          <w:tcPr>
            <w:tcW w:w="4531" w:type="dxa"/>
          </w:tcPr>
          <w:p w:rsidR="007E1D99" w:rsidRDefault="007E1D99" w:rsidP="00CA7757">
            <w:pPr>
              <w:autoSpaceDE w:val="0"/>
              <w:autoSpaceDN w:val="0"/>
              <w:adjustRightInd w:val="0"/>
              <w:jc w:val="both"/>
              <w:rPr>
                <w:rFonts w:ascii="Book Antiqua" w:hAnsi="Book Antiqua" w:cs="GalliardStd-Roman"/>
                <w:sz w:val="24"/>
                <w:szCs w:val="24"/>
                <w:lang w:val="en-GB"/>
              </w:rPr>
            </w:pPr>
          </w:p>
        </w:tc>
        <w:tc>
          <w:tcPr>
            <w:tcW w:w="4531" w:type="dxa"/>
          </w:tcPr>
          <w:p w:rsidR="007E1D99" w:rsidRDefault="007E1D99" w:rsidP="00CA7757">
            <w:pPr>
              <w:autoSpaceDE w:val="0"/>
              <w:autoSpaceDN w:val="0"/>
              <w:adjustRightInd w:val="0"/>
              <w:jc w:val="both"/>
              <w:rPr>
                <w:rFonts w:ascii="Book Antiqua" w:hAnsi="Book Antiqua" w:cs="GalliardStd-Roman"/>
                <w:sz w:val="24"/>
                <w:szCs w:val="24"/>
                <w:lang w:val="en-GB"/>
              </w:rPr>
            </w:pPr>
          </w:p>
        </w:tc>
      </w:tr>
    </w:tbl>
    <w:p w:rsidR="007E1D99" w:rsidRDefault="007E1D99" w:rsidP="00CA7757">
      <w:pPr>
        <w:autoSpaceDE w:val="0"/>
        <w:autoSpaceDN w:val="0"/>
        <w:adjustRightInd w:val="0"/>
        <w:spacing w:after="0" w:line="240" w:lineRule="auto"/>
        <w:jc w:val="both"/>
        <w:rPr>
          <w:rFonts w:ascii="Book Antiqua" w:hAnsi="Book Antiqua" w:cs="GalliardStd-Roman"/>
          <w:sz w:val="24"/>
          <w:szCs w:val="24"/>
          <w:lang w:val="en-GB"/>
        </w:rPr>
      </w:pPr>
    </w:p>
    <w:p w:rsidR="007E1D99" w:rsidRPr="007E1D99" w:rsidRDefault="007E1D99" w:rsidP="007E1D99">
      <w:pPr>
        <w:autoSpaceDE w:val="0"/>
        <w:autoSpaceDN w:val="0"/>
        <w:adjustRightInd w:val="0"/>
        <w:spacing w:after="0" w:line="240" w:lineRule="auto"/>
        <w:rPr>
          <w:rFonts w:ascii="Book Antiqua" w:hAnsi="Book Antiqua" w:cs="GalliardStd-Roman"/>
          <w:b/>
          <w:sz w:val="24"/>
          <w:szCs w:val="24"/>
          <w:lang w:val="en-GB"/>
        </w:rPr>
      </w:pPr>
      <w:r w:rsidRPr="007E1D99">
        <w:rPr>
          <w:rFonts w:ascii="Book Antiqua" w:hAnsi="Book Antiqua" w:cs="GalliardStd-Roman"/>
          <w:b/>
          <w:sz w:val="24"/>
          <w:szCs w:val="24"/>
          <w:lang w:val="en-GB"/>
        </w:rPr>
        <w:t>Measuring Economic Exposure</w:t>
      </w:r>
    </w:p>
    <w:p w:rsidR="00635570" w:rsidRDefault="007E1D99" w:rsidP="007E1D99">
      <w:pPr>
        <w:autoSpaceDE w:val="0"/>
        <w:autoSpaceDN w:val="0"/>
        <w:adjustRightInd w:val="0"/>
        <w:spacing w:after="0" w:line="240" w:lineRule="auto"/>
        <w:rPr>
          <w:rFonts w:ascii="Book Antiqua" w:hAnsi="Book Antiqua" w:cs="GalliardStd-Roman"/>
          <w:sz w:val="24"/>
          <w:szCs w:val="24"/>
          <w:lang w:val="en-GB"/>
        </w:rPr>
      </w:pPr>
      <w:r w:rsidRPr="007E1D99">
        <w:rPr>
          <w:rFonts w:ascii="Book Antiqua" w:hAnsi="Book Antiqua" w:cs="GalliardStd-Roman"/>
          <w:sz w:val="24"/>
          <w:szCs w:val="24"/>
          <w:lang w:val="en-GB"/>
        </w:rPr>
        <w:t>Since MNCs are affected by economic exposure, they should assess the potential degree of exposure that exists and then determine</w:t>
      </w:r>
      <w:r w:rsidR="00635570">
        <w:rPr>
          <w:rFonts w:ascii="Book Antiqua" w:hAnsi="Book Antiqua" w:cs="GalliardStd-Roman"/>
          <w:sz w:val="24"/>
          <w:szCs w:val="24"/>
          <w:lang w:val="en-GB"/>
        </w:rPr>
        <w:t xml:space="preserve"> whether to insulate themselves </w:t>
      </w:r>
      <w:r w:rsidRPr="007E1D99">
        <w:rPr>
          <w:rFonts w:ascii="Book Antiqua" w:hAnsi="Book Antiqua" w:cs="GalliardStd-Roman"/>
          <w:sz w:val="24"/>
          <w:szCs w:val="24"/>
          <w:lang w:val="en-GB"/>
        </w:rPr>
        <w:t>against it.</w:t>
      </w:r>
      <w:r w:rsidR="00635570">
        <w:rPr>
          <w:rFonts w:ascii="Book Antiqua" w:hAnsi="Book Antiqua" w:cs="GalliardStd-Roman"/>
          <w:sz w:val="24"/>
          <w:szCs w:val="24"/>
          <w:lang w:val="en-GB"/>
        </w:rPr>
        <w:t xml:space="preserve"> The following methods are useful:</w:t>
      </w:r>
    </w:p>
    <w:p w:rsidR="00635570" w:rsidRDefault="00635570" w:rsidP="00635570">
      <w:pPr>
        <w:pStyle w:val="ListParagraph"/>
        <w:numPr>
          <w:ilvl w:val="0"/>
          <w:numId w:val="3"/>
        </w:numPr>
        <w:autoSpaceDE w:val="0"/>
        <w:autoSpaceDN w:val="0"/>
        <w:adjustRightInd w:val="0"/>
        <w:spacing w:after="0" w:line="240" w:lineRule="auto"/>
        <w:rPr>
          <w:rFonts w:ascii="Book Antiqua" w:hAnsi="Book Antiqua" w:cs="GalliardStd-Roman"/>
          <w:sz w:val="24"/>
          <w:szCs w:val="24"/>
          <w:lang w:val="en-GB"/>
        </w:rPr>
      </w:pPr>
      <w:r>
        <w:rPr>
          <w:rFonts w:ascii="Book Antiqua" w:hAnsi="Book Antiqua" w:cs="GalliardStd-Roman"/>
          <w:sz w:val="24"/>
          <w:szCs w:val="24"/>
          <w:lang w:val="en-GB"/>
        </w:rPr>
        <w:t>Sensitivity analysis.</w:t>
      </w:r>
    </w:p>
    <w:p w:rsidR="00635570" w:rsidRDefault="00635570" w:rsidP="00635570">
      <w:pPr>
        <w:pStyle w:val="ListParagraph"/>
        <w:numPr>
          <w:ilvl w:val="0"/>
          <w:numId w:val="3"/>
        </w:numPr>
        <w:autoSpaceDE w:val="0"/>
        <w:autoSpaceDN w:val="0"/>
        <w:adjustRightInd w:val="0"/>
        <w:spacing w:after="0" w:line="240" w:lineRule="auto"/>
        <w:rPr>
          <w:rFonts w:ascii="Book Antiqua" w:hAnsi="Book Antiqua" w:cs="GalliardStd-Roman"/>
          <w:sz w:val="24"/>
          <w:szCs w:val="24"/>
          <w:lang w:val="en-GB"/>
        </w:rPr>
      </w:pPr>
      <w:r>
        <w:rPr>
          <w:rFonts w:ascii="Book Antiqua" w:hAnsi="Book Antiqua" w:cs="GalliardStd-Roman"/>
          <w:sz w:val="24"/>
          <w:szCs w:val="24"/>
          <w:lang w:val="en-GB"/>
        </w:rPr>
        <w:t>Regression analysis.</w:t>
      </w:r>
    </w:p>
    <w:p w:rsidR="00635570" w:rsidRDefault="00635570" w:rsidP="00635570">
      <w:pPr>
        <w:autoSpaceDE w:val="0"/>
        <w:autoSpaceDN w:val="0"/>
        <w:adjustRightInd w:val="0"/>
        <w:spacing w:after="0" w:line="240" w:lineRule="auto"/>
        <w:rPr>
          <w:rFonts w:ascii="Book Antiqua" w:hAnsi="Book Antiqua" w:cs="GalliardStd-Roman"/>
          <w:sz w:val="24"/>
          <w:szCs w:val="24"/>
          <w:lang w:val="en-GB"/>
        </w:rPr>
      </w:pPr>
    </w:p>
    <w:p w:rsidR="00635570" w:rsidRDefault="00635570" w:rsidP="00635570">
      <w:pPr>
        <w:autoSpaceDE w:val="0"/>
        <w:autoSpaceDN w:val="0"/>
        <w:adjustRightInd w:val="0"/>
        <w:spacing w:after="0" w:line="240" w:lineRule="auto"/>
        <w:rPr>
          <w:rFonts w:ascii="Book Antiqua" w:hAnsi="Book Antiqua" w:cs="GalliardStd-Roman"/>
          <w:b/>
          <w:sz w:val="24"/>
          <w:szCs w:val="24"/>
          <w:u w:val="single"/>
          <w:lang w:val="en-GB"/>
        </w:rPr>
      </w:pPr>
      <w:r w:rsidRPr="00635570">
        <w:rPr>
          <w:rFonts w:ascii="Book Antiqua" w:hAnsi="Book Antiqua" w:cs="GalliardStd-Roman"/>
          <w:b/>
          <w:sz w:val="24"/>
          <w:szCs w:val="24"/>
          <w:u w:val="single"/>
          <w:lang w:val="en-GB"/>
        </w:rPr>
        <w:t>TRANSLATION EXPOSURE</w:t>
      </w:r>
    </w:p>
    <w:p w:rsidR="003B5034" w:rsidRPr="002C0703" w:rsidRDefault="003B5034" w:rsidP="003B5034">
      <w:pPr>
        <w:autoSpaceDE w:val="0"/>
        <w:autoSpaceDN w:val="0"/>
        <w:adjustRightInd w:val="0"/>
        <w:spacing w:after="0" w:line="240" w:lineRule="auto"/>
        <w:rPr>
          <w:rFonts w:ascii="Book Antiqua" w:hAnsi="Book Antiqua" w:cs="GalliardStd-Roman"/>
          <w:b/>
          <w:sz w:val="24"/>
          <w:szCs w:val="24"/>
          <w:lang w:val="en-GB"/>
        </w:rPr>
      </w:pPr>
      <w:r w:rsidRPr="002C0703">
        <w:rPr>
          <w:rFonts w:ascii="Book Antiqua" w:hAnsi="Book Antiqua" w:cs="GalliardStd-Roman"/>
          <w:b/>
          <w:sz w:val="24"/>
          <w:szCs w:val="24"/>
          <w:lang w:val="en-GB"/>
        </w:rPr>
        <w:t>Translation Exposure</w:t>
      </w:r>
    </w:p>
    <w:p w:rsidR="003B5034" w:rsidRPr="002C0703" w:rsidRDefault="003B5034" w:rsidP="002C0703">
      <w:pPr>
        <w:autoSpaceDE w:val="0"/>
        <w:autoSpaceDN w:val="0"/>
        <w:adjustRightInd w:val="0"/>
        <w:spacing w:after="0" w:line="240" w:lineRule="auto"/>
        <w:jc w:val="both"/>
        <w:rPr>
          <w:rFonts w:ascii="Book Antiqua" w:hAnsi="Book Antiqua" w:cs="GalliardStd-Roman"/>
          <w:sz w:val="24"/>
          <w:szCs w:val="24"/>
          <w:lang w:val="en-GB"/>
        </w:rPr>
      </w:pPr>
      <w:r w:rsidRPr="002C0703">
        <w:rPr>
          <w:rFonts w:ascii="Book Antiqua" w:hAnsi="Book Antiqua" w:cs="GalliardStd-Roman"/>
          <w:sz w:val="24"/>
          <w:szCs w:val="24"/>
          <w:lang w:val="en-GB"/>
        </w:rPr>
        <w:t>An MNC creates its financial statements by consolidating all of its individual subsidiaries’ financial statements. A subsidiary’s financial statement is normally measured in its local currency. To be consolidated, each subsidiary’s financial statement must be translated into the currency of the MNC’s parent. Since exchange rates change over time, the translation of the subsidiary’s financial statement into a different currency is affected by exchange rate movements. The exposure of the MNC’s consolidated financial statements to exchange rate fluctuations is known as translation exposure. In particular, subsidiary earnings translated into the reporting currency on the consolidated income statement are subject to changing exchange rates.</w:t>
      </w:r>
    </w:p>
    <w:p w:rsidR="003B5034" w:rsidRPr="002C0703" w:rsidRDefault="003B5034" w:rsidP="002C0703">
      <w:pPr>
        <w:autoSpaceDE w:val="0"/>
        <w:autoSpaceDN w:val="0"/>
        <w:adjustRightInd w:val="0"/>
        <w:spacing w:after="0" w:line="240" w:lineRule="auto"/>
        <w:jc w:val="both"/>
        <w:rPr>
          <w:rFonts w:ascii="Book Antiqua" w:hAnsi="Book Antiqua" w:cs="GalliardStd-Roman"/>
          <w:sz w:val="24"/>
          <w:szCs w:val="24"/>
          <w:lang w:val="en-GB"/>
        </w:rPr>
      </w:pPr>
    </w:p>
    <w:p w:rsidR="003B5034" w:rsidRPr="002C0703" w:rsidRDefault="003B5034" w:rsidP="002C0703">
      <w:pPr>
        <w:autoSpaceDE w:val="0"/>
        <w:autoSpaceDN w:val="0"/>
        <w:adjustRightInd w:val="0"/>
        <w:spacing w:after="0" w:line="240" w:lineRule="auto"/>
        <w:jc w:val="both"/>
        <w:rPr>
          <w:rFonts w:ascii="Book Antiqua" w:hAnsi="Book Antiqua" w:cs="GalliardStd-Roman"/>
          <w:sz w:val="24"/>
          <w:szCs w:val="24"/>
          <w:lang w:val="en-GB"/>
        </w:rPr>
      </w:pPr>
      <w:r w:rsidRPr="002C0703">
        <w:rPr>
          <w:rFonts w:ascii="Book Antiqua" w:hAnsi="Book Antiqua" w:cs="GalliardStd-Roman"/>
          <w:sz w:val="24"/>
          <w:szCs w:val="24"/>
          <w:lang w:val="en-GB"/>
        </w:rPr>
        <w:t>To translate earnings, MNCs use a process establis</w:t>
      </w:r>
      <w:r w:rsidR="002C0703">
        <w:rPr>
          <w:rFonts w:ascii="Book Antiqua" w:hAnsi="Book Antiqua" w:cs="GalliardStd-Roman"/>
          <w:sz w:val="24"/>
          <w:szCs w:val="24"/>
          <w:lang w:val="en-GB"/>
        </w:rPr>
        <w:t xml:space="preserve">hed by the International </w:t>
      </w:r>
      <w:r w:rsidRPr="002C0703">
        <w:rPr>
          <w:rFonts w:ascii="Book Antiqua" w:hAnsi="Book Antiqua" w:cs="GalliardStd-Roman"/>
          <w:sz w:val="24"/>
          <w:szCs w:val="24"/>
          <w:lang w:val="en-GB"/>
        </w:rPr>
        <w:t xml:space="preserve">Accounting </w:t>
      </w:r>
      <w:r w:rsidR="002C0703">
        <w:rPr>
          <w:rFonts w:ascii="Book Antiqua" w:hAnsi="Book Antiqua" w:cs="GalliardStd-Roman"/>
          <w:sz w:val="24"/>
          <w:szCs w:val="24"/>
          <w:lang w:val="en-GB"/>
        </w:rPr>
        <w:t>Standards Board (I</w:t>
      </w:r>
      <w:r w:rsidRPr="002C0703">
        <w:rPr>
          <w:rFonts w:ascii="Book Antiqua" w:hAnsi="Book Antiqua" w:cs="GalliardStd-Roman"/>
          <w:sz w:val="24"/>
          <w:szCs w:val="24"/>
          <w:lang w:val="en-GB"/>
        </w:rPr>
        <w:t>ASB). The prevailing guidelines are</w:t>
      </w:r>
      <w:r w:rsidR="002C0703">
        <w:rPr>
          <w:rFonts w:ascii="Book Antiqua" w:hAnsi="Book Antiqua" w:cs="GalliardStd-Roman"/>
          <w:sz w:val="24"/>
          <w:szCs w:val="24"/>
          <w:lang w:val="en-GB"/>
        </w:rPr>
        <w:t xml:space="preserve"> set by IASB </w:t>
      </w:r>
      <w:r w:rsidRPr="002C0703">
        <w:rPr>
          <w:rFonts w:ascii="Book Antiqua" w:hAnsi="Book Antiqua" w:cs="GalliardStd-Roman"/>
          <w:sz w:val="24"/>
          <w:szCs w:val="24"/>
          <w:lang w:val="en-GB"/>
        </w:rPr>
        <w:t xml:space="preserve">for translation </w:t>
      </w:r>
      <w:r w:rsidR="002C0703">
        <w:rPr>
          <w:rFonts w:ascii="Book Antiqua" w:hAnsi="Book Antiqua" w:cs="GalliardStd-Roman"/>
          <w:sz w:val="24"/>
          <w:szCs w:val="24"/>
          <w:lang w:val="en-GB"/>
        </w:rPr>
        <w:t xml:space="preserve">and </w:t>
      </w:r>
      <w:r w:rsidRPr="002C0703">
        <w:rPr>
          <w:rFonts w:ascii="Book Antiqua" w:hAnsi="Book Antiqua" w:cs="GalliardStd-Roman"/>
          <w:sz w:val="24"/>
          <w:szCs w:val="24"/>
          <w:lang w:val="en-GB"/>
        </w:rPr>
        <w:t>for valuing existing currency derivative contracts.</w:t>
      </w:r>
    </w:p>
    <w:p w:rsidR="003B5034" w:rsidRPr="002C0703" w:rsidRDefault="003B5034" w:rsidP="002C0703">
      <w:pPr>
        <w:autoSpaceDE w:val="0"/>
        <w:autoSpaceDN w:val="0"/>
        <w:adjustRightInd w:val="0"/>
        <w:spacing w:after="0" w:line="240" w:lineRule="auto"/>
        <w:jc w:val="both"/>
        <w:rPr>
          <w:rFonts w:ascii="Book Antiqua" w:hAnsi="Book Antiqua" w:cs="GalliardStd-Roman"/>
          <w:sz w:val="24"/>
          <w:szCs w:val="24"/>
          <w:lang w:val="en-GB"/>
        </w:rPr>
      </w:pPr>
    </w:p>
    <w:p w:rsidR="003B5034" w:rsidRPr="009D43BC" w:rsidRDefault="003B5034" w:rsidP="002C0703">
      <w:pPr>
        <w:autoSpaceDE w:val="0"/>
        <w:autoSpaceDN w:val="0"/>
        <w:adjustRightInd w:val="0"/>
        <w:spacing w:after="0" w:line="240" w:lineRule="auto"/>
        <w:jc w:val="both"/>
        <w:rPr>
          <w:rFonts w:ascii="Book Antiqua" w:hAnsi="Book Antiqua" w:cs="GalliardStd-Roman"/>
          <w:b/>
          <w:sz w:val="24"/>
          <w:szCs w:val="24"/>
          <w:lang w:val="en-GB"/>
        </w:rPr>
      </w:pPr>
      <w:r w:rsidRPr="009D43BC">
        <w:rPr>
          <w:rFonts w:ascii="Book Antiqua" w:hAnsi="Book Antiqua" w:cs="GalliardStd-Roman"/>
          <w:b/>
          <w:sz w:val="24"/>
          <w:szCs w:val="24"/>
          <w:lang w:val="en-GB"/>
        </w:rPr>
        <w:t>Does Translation Exposure Matter?</w:t>
      </w:r>
    </w:p>
    <w:p w:rsidR="003B5034" w:rsidRPr="002C0703" w:rsidRDefault="003B5034" w:rsidP="002C0703">
      <w:pPr>
        <w:autoSpaceDE w:val="0"/>
        <w:autoSpaceDN w:val="0"/>
        <w:adjustRightInd w:val="0"/>
        <w:spacing w:after="0" w:line="240" w:lineRule="auto"/>
        <w:jc w:val="both"/>
        <w:rPr>
          <w:rFonts w:ascii="Book Antiqua" w:hAnsi="Book Antiqua" w:cs="GalliardStd-Roman"/>
          <w:sz w:val="24"/>
          <w:szCs w:val="24"/>
          <w:lang w:val="en-GB"/>
        </w:rPr>
      </w:pPr>
      <w:r w:rsidRPr="002C0703">
        <w:rPr>
          <w:rFonts w:ascii="Book Antiqua" w:hAnsi="Book Antiqua" w:cs="GalliardStd-Roman"/>
          <w:sz w:val="24"/>
          <w:szCs w:val="24"/>
          <w:lang w:val="en-GB"/>
        </w:rPr>
        <w:t>The relevance of translation exposure can be argued based on a cash flow perspective or a stock price perspective.</w:t>
      </w:r>
    </w:p>
    <w:p w:rsidR="003B5034" w:rsidRPr="002C0703" w:rsidRDefault="003B5034" w:rsidP="002C0703">
      <w:pPr>
        <w:autoSpaceDE w:val="0"/>
        <w:autoSpaceDN w:val="0"/>
        <w:adjustRightInd w:val="0"/>
        <w:spacing w:after="0" w:line="240" w:lineRule="auto"/>
        <w:jc w:val="both"/>
        <w:rPr>
          <w:rFonts w:ascii="Book Antiqua" w:hAnsi="Book Antiqua" w:cs="GalliardStd-Roman"/>
          <w:sz w:val="24"/>
          <w:szCs w:val="24"/>
          <w:lang w:val="en-GB"/>
        </w:rPr>
      </w:pPr>
    </w:p>
    <w:p w:rsidR="003B5034" w:rsidRPr="002C0703" w:rsidRDefault="003B5034" w:rsidP="002C0703">
      <w:pPr>
        <w:autoSpaceDE w:val="0"/>
        <w:autoSpaceDN w:val="0"/>
        <w:adjustRightInd w:val="0"/>
        <w:spacing w:after="0" w:line="240" w:lineRule="auto"/>
        <w:jc w:val="both"/>
        <w:rPr>
          <w:rFonts w:ascii="Book Antiqua" w:hAnsi="Book Antiqua" w:cs="GalliardStd-Roman"/>
          <w:b/>
          <w:sz w:val="24"/>
          <w:szCs w:val="24"/>
          <w:lang w:val="en-GB"/>
        </w:rPr>
      </w:pPr>
      <w:r w:rsidRPr="002C0703">
        <w:rPr>
          <w:rFonts w:ascii="Book Antiqua" w:hAnsi="Book Antiqua" w:cs="GalliardStd-Roman"/>
          <w:b/>
          <w:sz w:val="24"/>
          <w:szCs w:val="24"/>
          <w:lang w:val="en-GB"/>
        </w:rPr>
        <w:t xml:space="preserve">Cash Flow Perspective. </w:t>
      </w:r>
    </w:p>
    <w:p w:rsidR="003B5034" w:rsidRPr="002C0703" w:rsidRDefault="003B5034" w:rsidP="002C0703">
      <w:pPr>
        <w:autoSpaceDE w:val="0"/>
        <w:autoSpaceDN w:val="0"/>
        <w:adjustRightInd w:val="0"/>
        <w:spacing w:after="0" w:line="240" w:lineRule="auto"/>
        <w:jc w:val="both"/>
        <w:rPr>
          <w:rFonts w:ascii="Book Antiqua" w:hAnsi="Book Antiqua" w:cs="GalliardStd-Roman"/>
          <w:sz w:val="24"/>
          <w:szCs w:val="24"/>
          <w:lang w:val="en-GB"/>
        </w:rPr>
      </w:pPr>
      <w:r w:rsidRPr="002C0703">
        <w:rPr>
          <w:rFonts w:ascii="Book Antiqua" w:hAnsi="Book Antiqua" w:cs="GalliardStd-Roman"/>
          <w:sz w:val="24"/>
          <w:szCs w:val="24"/>
          <w:lang w:val="en-GB"/>
        </w:rPr>
        <w:t>Translation of financial statements for consolidated reporting purposes does not by itself affect an MNC’s cash flows. The subsidiary earnings do not actually have to be converted into the parent’s currency. If a subsidiary’s local currency is currently weak, the earnings could be retained rather than converted and sent to the parent. The earnings could be reinvested in the subsidiary’s country if feasible opportunities exist.</w:t>
      </w:r>
    </w:p>
    <w:p w:rsidR="003B5034" w:rsidRPr="002C0703" w:rsidRDefault="003B5034" w:rsidP="002C0703">
      <w:pPr>
        <w:autoSpaceDE w:val="0"/>
        <w:autoSpaceDN w:val="0"/>
        <w:adjustRightInd w:val="0"/>
        <w:spacing w:after="0" w:line="240" w:lineRule="auto"/>
        <w:jc w:val="both"/>
        <w:rPr>
          <w:rFonts w:ascii="Book Antiqua" w:hAnsi="Book Antiqua" w:cs="GalliardStd-Roman"/>
          <w:sz w:val="24"/>
          <w:szCs w:val="24"/>
          <w:lang w:val="en-GB"/>
        </w:rPr>
      </w:pPr>
    </w:p>
    <w:p w:rsidR="003B5034" w:rsidRPr="002C0703" w:rsidRDefault="003B5034" w:rsidP="002C0703">
      <w:pPr>
        <w:autoSpaceDE w:val="0"/>
        <w:autoSpaceDN w:val="0"/>
        <w:adjustRightInd w:val="0"/>
        <w:spacing w:after="0" w:line="240" w:lineRule="auto"/>
        <w:jc w:val="both"/>
        <w:rPr>
          <w:rFonts w:ascii="Book Antiqua" w:hAnsi="Book Antiqua" w:cs="GalliardStd-Roman"/>
          <w:sz w:val="24"/>
          <w:szCs w:val="24"/>
          <w:lang w:val="en-GB"/>
        </w:rPr>
      </w:pPr>
      <w:r w:rsidRPr="002C0703">
        <w:rPr>
          <w:rFonts w:ascii="Book Antiqua" w:hAnsi="Book Antiqua" w:cs="GalliardStd-Roman"/>
          <w:sz w:val="24"/>
          <w:szCs w:val="24"/>
          <w:lang w:val="en-GB"/>
        </w:rPr>
        <w:t xml:space="preserve">An MNC’s parent, however, may rely on funding from periodic remittances of earnings by the subsidiary. Even if the subsidiary does not need to remit any earnings today, it will remit earnings at some point in the future. To the extent that today’s spot rate serves as a forecast of the spot rate that will exist when earnings are remitted, a weak foreign currency today results in a forecast of a weak exchange rate at the time </w:t>
      </w:r>
      <w:r w:rsidRPr="002C0703">
        <w:rPr>
          <w:rFonts w:ascii="Book Antiqua" w:hAnsi="Book Antiqua" w:cs="GalliardStd-Roman"/>
          <w:sz w:val="24"/>
          <w:szCs w:val="24"/>
          <w:lang w:val="en-GB"/>
        </w:rPr>
        <w:lastRenderedPageBreak/>
        <w:t>that the earnings are remitted. In this case, the expected future cash flows are affected, so translation exposure is relevant.</w:t>
      </w:r>
    </w:p>
    <w:p w:rsidR="002C0703" w:rsidRDefault="002C0703" w:rsidP="002C0703">
      <w:pPr>
        <w:autoSpaceDE w:val="0"/>
        <w:autoSpaceDN w:val="0"/>
        <w:adjustRightInd w:val="0"/>
        <w:spacing w:after="0" w:line="240" w:lineRule="auto"/>
        <w:jc w:val="both"/>
        <w:rPr>
          <w:rFonts w:ascii="Book Antiqua" w:hAnsi="Book Antiqua" w:cs="GalliardStd-Roman"/>
          <w:b/>
          <w:sz w:val="24"/>
          <w:szCs w:val="24"/>
          <w:lang w:val="en-GB"/>
        </w:rPr>
      </w:pPr>
    </w:p>
    <w:p w:rsidR="003B5034" w:rsidRPr="002C0703" w:rsidRDefault="003B5034" w:rsidP="002C0703">
      <w:pPr>
        <w:autoSpaceDE w:val="0"/>
        <w:autoSpaceDN w:val="0"/>
        <w:adjustRightInd w:val="0"/>
        <w:spacing w:after="0" w:line="240" w:lineRule="auto"/>
        <w:jc w:val="both"/>
        <w:rPr>
          <w:rFonts w:ascii="Book Antiqua" w:hAnsi="Book Antiqua" w:cs="GalliardStd-Roman"/>
          <w:b/>
          <w:sz w:val="24"/>
          <w:szCs w:val="24"/>
          <w:lang w:val="en-GB"/>
        </w:rPr>
      </w:pPr>
      <w:r w:rsidRPr="002C0703">
        <w:rPr>
          <w:rFonts w:ascii="Book Antiqua" w:hAnsi="Book Antiqua" w:cs="GalliardStd-Roman"/>
          <w:b/>
          <w:sz w:val="24"/>
          <w:szCs w:val="24"/>
          <w:lang w:val="en-GB"/>
        </w:rPr>
        <w:t xml:space="preserve">Stock Price Perspective. </w:t>
      </w:r>
    </w:p>
    <w:p w:rsidR="003B5034" w:rsidRDefault="003B5034" w:rsidP="002C0703">
      <w:pPr>
        <w:autoSpaceDE w:val="0"/>
        <w:autoSpaceDN w:val="0"/>
        <w:adjustRightInd w:val="0"/>
        <w:spacing w:after="0" w:line="240" w:lineRule="auto"/>
        <w:jc w:val="both"/>
        <w:rPr>
          <w:rFonts w:ascii="Book Antiqua" w:hAnsi="Book Antiqua" w:cs="GalliardStd-Roman"/>
          <w:sz w:val="24"/>
          <w:szCs w:val="24"/>
          <w:lang w:val="en-GB"/>
        </w:rPr>
      </w:pPr>
      <w:r w:rsidRPr="002C0703">
        <w:rPr>
          <w:rFonts w:ascii="Book Antiqua" w:hAnsi="Book Antiqua" w:cs="GalliardStd-Roman"/>
          <w:sz w:val="24"/>
          <w:szCs w:val="24"/>
          <w:lang w:val="en-GB"/>
        </w:rPr>
        <w:t>Many investors tend to use earnings when valuing firms, either by deriving estimates of expected cash flows from previous earnings or by applying an industry price-earnings (P/E) ratio to expected annual earnings to derive a value per share of stock. Since an MNC’s translation exposure affects its consolidated earnings, it can affect the MNC’s valuation.</w:t>
      </w:r>
    </w:p>
    <w:p w:rsidR="00EA4983" w:rsidRDefault="00EA4983" w:rsidP="002C0703">
      <w:pPr>
        <w:autoSpaceDE w:val="0"/>
        <w:autoSpaceDN w:val="0"/>
        <w:adjustRightInd w:val="0"/>
        <w:spacing w:after="0" w:line="240" w:lineRule="auto"/>
        <w:jc w:val="both"/>
        <w:rPr>
          <w:rFonts w:ascii="Book Antiqua" w:hAnsi="Book Antiqua" w:cs="GalliardStd-Roman"/>
          <w:sz w:val="24"/>
          <w:szCs w:val="24"/>
          <w:lang w:val="en-GB"/>
        </w:rPr>
      </w:pPr>
    </w:p>
    <w:p w:rsidR="00EA4983" w:rsidRPr="0003674F" w:rsidRDefault="00EA4983" w:rsidP="0003674F">
      <w:pPr>
        <w:autoSpaceDE w:val="0"/>
        <w:autoSpaceDN w:val="0"/>
        <w:adjustRightInd w:val="0"/>
        <w:spacing w:after="0" w:line="240" w:lineRule="auto"/>
        <w:jc w:val="both"/>
        <w:rPr>
          <w:rFonts w:ascii="Book Antiqua" w:hAnsi="Book Antiqua" w:cs="GalliardStd-Roman"/>
          <w:b/>
          <w:sz w:val="24"/>
          <w:szCs w:val="24"/>
          <w:lang w:val="en-GB"/>
        </w:rPr>
      </w:pPr>
      <w:r w:rsidRPr="0003674F">
        <w:rPr>
          <w:rFonts w:ascii="Book Antiqua" w:hAnsi="Book Antiqua" w:cs="GalliardStd-Roman"/>
          <w:b/>
          <w:sz w:val="24"/>
          <w:szCs w:val="24"/>
          <w:lang w:val="en-GB"/>
        </w:rPr>
        <w:t>Determinants of Translation Exposure</w:t>
      </w:r>
    </w:p>
    <w:p w:rsidR="00EA4983" w:rsidRPr="0003674F" w:rsidRDefault="00EA4983" w:rsidP="0003674F">
      <w:pPr>
        <w:autoSpaceDE w:val="0"/>
        <w:autoSpaceDN w:val="0"/>
        <w:adjustRightInd w:val="0"/>
        <w:spacing w:after="0" w:line="240" w:lineRule="auto"/>
        <w:jc w:val="both"/>
        <w:rPr>
          <w:rFonts w:ascii="Book Antiqua" w:hAnsi="Book Antiqua" w:cs="GalliardStd-Roman"/>
          <w:sz w:val="24"/>
          <w:szCs w:val="24"/>
          <w:lang w:val="en-GB"/>
        </w:rPr>
      </w:pPr>
      <w:r w:rsidRPr="0003674F">
        <w:rPr>
          <w:rFonts w:ascii="Book Antiqua" w:hAnsi="Book Antiqua" w:cs="GalliardStd-Roman"/>
          <w:sz w:val="24"/>
          <w:szCs w:val="24"/>
          <w:lang w:val="en-GB"/>
        </w:rPr>
        <w:t>Some MNCs are subject to a greater degree of translation exposure than others. An MNC’s degree of translation exposure is dependent on the following:</w:t>
      </w:r>
    </w:p>
    <w:p w:rsidR="00EA4983" w:rsidRPr="0003674F" w:rsidRDefault="00EA4983" w:rsidP="0003674F">
      <w:pPr>
        <w:autoSpaceDE w:val="0"/>
        <w:autoSpaceDN w:val="0"/>
        <w:adjustRightInd w:val="0"/>
        <w:spacing w:after="0" w:line="240" w:lineRule="auto"/>
        <w:jc w:val="both"/>
        <w:rPr>
          <w:rFonts w:ascii="Book Antiqua" w:hAnsi="Book Antiqua" w:cs="GalliardStd-Roman"/>
          <w:sz w:val="24"/>
          <w:szCs w:val="24"/>
          <w:lang w:val="en-GB"/>
        </w:rPr>
      </w:pPr>
      <w:r w:rsidRPr="0003674F">
        <w:rPr>
          <w:rFonts w:ascii="Book Antiqua" w:hAnsi="Book Antiqua" w:cs="GalliardStd-Roman"/>
          <w:sz w:val="24"/>
          <w:szCs w:val="24"/>
          <w:lang w:val="en-GB"/>
        </w:rPr>
        <w:t>• The proportion of its business conducted by foreign subsidiaries</w:t>
      </w:r>
    </w:p>
    <w:p w:rsidR="00EA4983" w:rsidRPr="0003674F" w:rsidRDefault="00EA4983" w:rsidP="0003674F">
      <w:pPr>
        <w:autoSpaceDE w:val="0"/>
        <w:autoSpaceDN w:val="0"/>
        <w:adjustRightInd w:val="0"/>
        <w:spacing w:after="0" w:line="240" w:lineRule="auto"/>
        <w:jc w:val="both"/>
        <w:rPr>
          <w:rFonts w:ascii="Book Antiqua" w:hAnsi="Book Antiqua" w:cs="GalliardStd-Roman"/>
          <w:sz w:val="24"/>
          <w:szCs w:val="24"/>
          <w:lang w:val="en-GB"/>
        </w:rPr>
      </w:pPr>
      <w:r w:rsidRPr="0003674F">
        <w:rPr>
          <w:rFonts w:ascii="Book Antiqua" w:hAnsi="Book Antiqua" w:cs="GalliardStd-Roman"/>
          <w:sz w:val="24"/>
          <w:szCs w:val="24"/>
          <w:lang w:val="en-GB"/>
        </w:rPr>
        <w:t>• The locations of its foreign subsidiaries</w:t>
      </w:r>
    </w:p>
    <w:p w:rsidR="00EA4983" w:rsidRPr="0003674F" w:rsidRDefault="00EA4983" w:rsidP="0003674F">
      <w:pPr>
        <w:autoSpaceDE w:val="0"/>
        <w:autoSpaceDN w:val="0"/>
        <w:adjustRightInd w:val="0"/>
        <w:spacing w:after="0" w:line="240" w:lineRule="auto"/>
        <w:jc w:val="both"/>
        <w:rPr>
          <w:rFonts w:ascii="Book Antiqua" w:hAnsi="Book Antiqua" w:cs="GalliardStd-Roman"/>
          <w:sz w:val="24"/>
          <w:szCs w:val="24"/>
          <w:lang w:val="en-GB"/>
        </w:rPr>
      </w:pPr>
      <w:r w:rsidRPr="0003674F">
        <w:rPr>
          <w:rFonts w:ascii="Book Antiqua" w:hAnsi="Book Antiqua" w:cs="GalliardStd-Roman"/>
          <w:sz w:val="24"/>
          <w:szCs w:val="24"/>
          <w:lang w:val="en-GB"/>
        </w:rPr>
        <w:t>• The accounting methods that it uses</w:t>
      </w:r>
    </w:p>
    <w:p w:rsidR="0003674F" w:rsidRPr="0003674F" w:rsidRDefault="00EA4983" w:rsidP="0003674F">
      <w:pPr>
        <w:autoSpaceDE w:val="0"/>
        <w:autoSpaceDN w:val="0"/>
        <w:adjustRightInd w:val="0"/>
        <w:spacing w:after="0" w:line="240" w:lineRule="auto"/>
        <w:jc w:val="both"/>
        <w:rPr>
          <w:rFonts w:ascii="Book Antiqua" w:hAnsi="Book Antiqua" w:cs="GalliardStd-Roman"/>
          <w:sz w:val="24"/>
          <w:szCs w:val="24"/>
          <w:lang w:val="en-GB"/>
        </w:rPr>
      </w:pPr>
      <w:r w:rsidRPr="0003674F">
        <w:rPr>
          <w:rFonts w:ascii="Book Antiqua" w:hAnsi="Book Antiqua" w:cs="GalliardStd-Roman"/>
          <w:sz w:val="24"/>
          <w:szCs w:val="24"/>
          <w:lang w:val="en-GB"/>
        </w:rPr>
        <w:t>Proportion of It</w:t>
      </w:r>
      <w:r w:rsidR="007A0442" w:rsidRPr="0003674F">
        <w:rPr>
          <w:rFonts w:ascii="Book Antiqua" w:hAnsi="Book Antiqua" w:cs="GalliardStd-Roman"/>
          <w:sz w:val="24"/>
          <w:szCs w:val="24"/>
          <w:lang w:val="en-GB"/>
        </w:rPr>
        <w:t xml:space="preserve">s Business Conducted by Foreign </w:t>
      </w:r>
      <w:r w:rsidRPr="0003674F">
        <w:rPr>
          <w:rFonts w:ascii="Book Antiqua" w:hAnsi="Book Antiqua" w:cs="GalliardStd-Roman"/>
          <w:sz w:val="24"/>
          <w:szCs w:val="24"/>
          <w:lang w:val="en-GB"/>
        </w:rPr>
        <w:t xml:space="preserve">Subsidiaries. </w:t>
      </w:r>
    </w:p>
    <w:p w:rsidR="00EA4983" w:rsidRPr="0003674F" w:rsidRDefault="00EA4983" w:rsidP="0003674F">
      <w:pPr>
        <w:autoSpaceDE w:val="0"/>
        <w:autoSpaceDN w:val="0"/>
        <w:adjustRightInd w:val="0"/>
        <w:spacing w:after="0" w:line="240" w:lineRule="auto"/>
        <w:jc w:val="both"/>
        <w:rPr>
          <w:rFonts w:ascii="Book Antiqua" w:hAnsi="Book Antiqua" w:cs="GalliardStd-Roman"/>
          <w:sz w:val="24"/>
          <w:szCs w:val="24"/>
          <w:lang w:val="en-GB"/>
        </w:rPr>
      </w:pPr>
      <w:r w:rsidRPr="0003674F">
        <w:rPr>
          <w:rFonts w:ascii="Book Antiqua" w:hAnsi="Book Antiqua" w:cs="GalliardStd-Roman"/>
          <w:sz w:val="24"/>
          <w:szCs w:val="24"/>
          <w:lang w:val="en-GB"/>
        </w:rPr>
        <w:t>The greater the percentage of an MNC’s business conducted by</w:t>
      </w:r>
      <w:r w:rsidR="007A0442"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its forei</w:t>
      </w:r>
      <w:r w:rsidR="0003674F" w:rsidRPr="0003674F">
        <w:rPr>
          <w:rFonts w:ascii="Book Antiqua" w:hAnsi="Book Antiqua" w:cs="GalliardStd-Roman"/>
          <w:sz w:val="24"/>
          <w:szCs w:val="24"/>
          <w:lang w:val="en-GB"/>
        </w:rPr>
        <w:t xml:space="preserve">gn subsidiaries, the larger the </w:t>
      </w:r>
      <w:r w:rsidRPr="0003674F">
        <w:rPr>
          <w:rFonts w:ascii="Book Antiqua" w:hAnsi="Book Antiqua" w:cs="GalliardStd-Roman"/>
          <w:sz w:val="24"/>
          <w:szCs w:val="24"/>
          <w:lang w:val="en-GB"/>
        </w:rPr>
        <w:t>percentage of a given financial statement item</w:t>
      </w:r>
      <w:r w:rsidR="007A0442"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that is susceptible to translation exposure.</w:t>
      </w:r>
    </w:p>
    <w:p w:rsidR="0003674F" w:rsidRPr="0003674F" w:rsidRDefault="0003674F" w:rsidP="0003674F">
      <w:pPr>
        <w:autoSpaceDE w:val="0"/>
        <w:autoSpaceDN w:val="0"/>
        <w:adjustRightInd w:val="0"/>
        <w:spacing w:after="0" w:line="240" w:lineRule="auto"/>
        <w:jc w:val="both"/>
        <w:rPr>
          <w:rFonts w:ascii="Book Antiqua" w:hAnsi="Book Antiqua" w:cs="GalliardStd-Roman"/>
          <w:sz w:val="24"/>
          <w:szCs w:val="24"/>
          <w:lang w:val="en-GB"/>
        </w:rPr>
      </w:pPr>
    </w:p>
    <w:p w:rsidR="0003674F" w:rsidRPr="0003674F" w:rsidRDefault="00EA4983" w:rsidP="0003674F">
      <w:pPr>
        <w:autoSpaceDE w:val="0"/>
        <w:autoSpaceDN w:val="0"/>
        <w:adjustRightInd w:val="0"/>
        <w:spacing w:after="0" w:line="240" w:lineRule="auto"/>
        <w:jc w:val="both"/>
        <w:rPr>
          <w:rFonts w:ascii="Book Antiqua" w:hAnsi="Book Antiqua" w:cs="GalliardStd-Roman"/>
          <w:b/>
          <w:sz w:val="24"/>
          <w:szCs w:val="24"/>
          <w:lang w:val="en-GB"/>
        </w:rPr>
      </w:pPr>
      <w:r w:rsidRPr="0003674F">
        <w:rPr>
          <w:rFonts w:ascii="Book Antiqua" w:hAnsi="Book Antiqua" w:cs="GalliardStd-Roman"/>
          <w:b/>
          <w:sz w:val="24"/>
          <w:szCs w:val="24"/>
          <w:lang w:val="en-GB"/>
        </w:rPr>
        <w:t xml:space="preserve">Locations of Foreign Subsidiaries. </w:t>
      </w:r>
    </w:p>
    <w:p w:rsidR="00EA4983" w:rsidRPr="0003674F" w:rsidRDefault="00EA4983" w:rsidP="0003674F">
      <w:pPr>
        <w:autoSpaceDE w:val="0"/>
        <w:autoSpaceDN w:val="0"/>
        <w:adjustRightInd w:val="0"/>
        <w:spacing w:after="0" w:line="240" w:lineRule="auto"/>
        <w:jc w:val="both"/>
        <w:rPr>
          <w:rFonts w:ascii="Book Antiqua" w:hAnsi="Book Antiqua" w:cs="GalliardStd-Roman"/>
          <w:sz w:val="24"/>
          <w:szCs w:val="24"/>
          <w:lang w:val="en-GB"/>
        </w:rPr>
      </w:pPr>
      <w:r w:rsidRPr="0003674F">
        <w:rPr>
          <w:rFonts w:ascii="Book Antiqua" w:hAnsi="Book Antiqua" w:cs="GalliardStd-Roman"/>
          <w:sz w:val="24"/>
          <w:szCs w:val="24"/>
          <w:lang w:val="en-GB"/>
        </w:rPr>
        <w:t>The locations of the subsidiaries</w:t>
      </w:r>
      <w:r w:rsidR="0003674F"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can also influence the degree of translation exposure because the financial statement</w:t>
      </w:r>
      <w:r w:rsidR="0003674F"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items of each subsidiary are typically measured by the home currency of the subsidiary’s</w:t>
      </w:r>
      <w:r w:rsidR="0003674F"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country.</w:t>
      </w:r>
    </w:p>
    <w:p w:rsidR="0003674F" w:rsidRPr="0003674F" w:rsidRDefault="0003674F" w:rsidP="0003674F">
      <w:pPr>
        <w:autoSpaceDE w:val="0"/>
        <w:autoSpaceDN w:val="0"/>
        <w:adjustRightInd w:val="0"/>
        <w:spacing w:after="0" w:line="240" w:lineRule="auto"/>
        <w:jc w:val="both"/>
        <w:rPr>
          <w:rFonts w:ascii="Book Antiqua" w:hAnsi="Book Antiqua" w:cs="GalliardStd-Roman"/>
          <w:sz w:val="24"/>
          <w:szCs w:val="24"/>
          <w:lang w:val="en-GB"/>
        </w:rPr>
      </w:pPr>
    </w:p>
    <w:p w:rsidR="0003674F" w:rsidRPr="0003674F" w:rsidRDefault="00EA4983" w:rsidP="0003674F">
      <w:pPr>
        <w:autoSpaceDE w:val="0"/>
        <w:autoSpaceDN w:val="0"/>
        <w:adjustRightInd w:val="0"/>
        <w:spacing w:after="0" w:line="240" w:lineRule="auto"/>
        <w:jc w:val="both"/>
        <w:rPr>
          <w:rFonts w:ascii="Book Antiqua" w:hAnsi="Book Antiqua" w:cs="GalliardStd-Roman"/>
          <w:b/>
          <w:sz w:val="24"/>
          <w:szCs w:val="24"/>
          <w:lang w:val="en-GB"/>
        </w:rPr>
      </w:pPr>
      <w:r w:rsidRPr="0003674F">
        <w:rPr>
          <w:rFonts w:ascii="Book Antiqua" w:hAnsi="Book Antiqua" w:cs="GalliardStd-Roman"/>
          <w:b/>
          <w:sz w:val="24"/>
          <w:szCs w:val="24"/>
          <w:lang w:val="en-GB"/>
        </w:rPr>
        <w:t xml:space="preserve">Accounting Methods. </w:t>
      </w:r>
    </w:p>
    <w:p w:rsidR="00EA4983" w:rsidRPr="0003674F" w:rsidRDefault="00EA4983" w:rsidP="0003674F">
      <w:pPr>
        <w:autoSpaceDE w:val="0"/>
        <w:autoSpaceDN w:val="0"/>
        <w:adjustRightInd w:val="0"/>
        <w:spacing w:after="0" w:line="240" w:lineRule="auto"/>
        <w:jc w:val="both"/>
        <w:rPr>
          <w:rFonts w:ascii="Book Antiqua" w:hAnsi="Book Antiqua" w:cs="GalliardStd-Roman"/>
          <w:sz w:val="24"/>
          <w:szCs w:val="24"/>
          <w:lang w:val="en-GB"/>
        </w:rPr>
      </w:pPr>
      <w:r w:rsidRPr="0003674F">
        <w:rPr>
          <w:rFonts w:ascii="Book Antiqua" w:hAnsi="Book Antiqua" w:cs="GalliardStd-Roman"/>
          <w:sz w:val="24"/>
          <w:szCs w:val="24"/>
          <w:lang w:val="en-GB"/>
        </w:rPr>
        <w:t>An MNC’s degree of translation exposure can be</w:t>
      </w:r>
      <w:r w:rsidR="0003674F"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greatly affected by the accounting procedures it uses to translate when consolidating</w:t>
      </w:r>
      <w:r w:rsidR="0003674F"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 xml:space="preserve">financial statement data. </w:t>
      </w:r>
    </w:p>
    <w:p w:rsidR="00EA4983" w:rsidRPr="0003674F" w:rsidRDefault="00EA4983" w:rsidP="0003674F">
      <w:pPr>
        <w:autoSpaceDE w:val="0"/>
        <w:autoSpaceDN w:val="0"/>
        <w:adjustRightInd w:val="0"/>
        <w:spacing w:after="0" w:line="240" w:lineRule="auto"/>
        <w:jc w:val="both"/>
        <w:rPr>
          <w:rFonts w:ascii="Book Antiqua" w:hAnsi="Book Antiqua" w:cs="GalliardStd-Roman"/>
          <w:sz w:val="24"/>
          <w:szCs w:val="24"/>
          <w:lang w:val="en-GB"/>
        </w:rPr>
      </w:pPr>
      <w:r w:rsidRPr="0003674F">
        <w:rPr>
          <w:rFonts w:ascii="Book Antiqua" w:hAnsi="Book Antiqua" w:cs="GalliardStd-Roman"/>
          <w:sz w:val="24"/>
          <w:szCs w:val="24"/>
          <w:lang w:val="en-GB"/>
        </w:rPr>
        <w:t>1. The functional currency of an entity is the currency of the economic environment</w:t>
      </w:r>
      <w:r w:rsidR="0003674F"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in which the entity operates.</w:t>
      </w:r>
    </w:p>
    <w:p w:rsidR="00EA4983" w:rsidRPr="0003674F" w:rsidRDefault="00EA4983" w:rsidP="0003674F">
      <w:pPr>
        <w:autoSpaceDE w:val="0"/>
        <w:autoSpaceDN w:val="0"/>
        <w:adjustRightInd w:val="0"/>
        <w:spacing w:after="0" w:line="240" w:lineRule="auto"/>
        <w:jc w:val="both"/>
        <w:rPr>
          <w:rFonts w:ascii="Book Antiqua" w:hAnsi="Book Antiqua" w:cs="GalliardStd-Roman"/>
          <w:sz w:val="24"/>
          <w:szCs w:val="24"/>
          <w:lang w:val="en-GB"/>
        </w:rPr>
      </w:pPr>
      <w:r w:rsidRPr="0003674F">
        <w:rPr>
          <w:rFonts w:ascii="Book Antiqua" w:hAnsi="Book Antiqua" w:cs="GalliardStd-Roman"/>
          <w:sz w:val="24"/>
          <w:szCs w:val="24"/>
          <w:lang w:val="en-GB"/>
        </w:rPr>
        <w:t>2. The current exchange rate as of the reporting date is used to translate the assets</w:t>
      </w:r>
      <w:r w:rsidR="0003674F"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and liabilities of a foreign entity from its functional currency into the reporting</w:t>
      </w:r>
      <w:r w:rsidR="0003674F"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currency.</w:t>
      </w:r>
    </w:p>
    <w:p w:rsidR="00EA4983" w:rsidRPr="0003674F" w:rsidRDefault="00EA4983" w:rsidP="0003674F">
      <w:pPr>
        <w:autoSpaceDE w:val="0"/>
        <w:autoSpaceDN w:val="0"/>
        <w:adjustRightInd w:val="0"/>
        <w:spacing w:after="0" w:line="240" w:lineRule="auto"/>
        <w:jc w:val="both"/>
        <w:rPr>
          <w:rFonts w:ascii="Book Antiqua" w:hAnsi="Book Antiqua" w:cs="GalliardStd-Roman"/>
          <w:sz w:val="24"/>
          <w:szCs w:val="24"/>
          <w:lang w:val="en-GB"/>
        </w:rPr>
      </w:pPr>
      <w:r w:rsidRPr="0003674F">
        <w:rPr>
          <w:rFonts w:ascii="Book Antiqua" w:hAnsi="Book Antiqua" w:cs="GalliardStd-Roman"/>
          <w:sz w:val="24"/>
          <w:szCs w:val="24"/>
          <w:lang w:val="en-GB"/>
        </w:rPr>
        <w:t>3. The weighted average exchange rate over the relevant period is used to translate</w:t>
      </w:r>
      <w:r w:rsidR="0003674F"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revenue, expenses, and gains and losses of a foreign entity from its functional currency</w:t>
      </w:r>
      <w:r w:rsidR="0003674F"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into the reporting currency.</w:t>
      </w:r>
    </w:p>
    <w:p w:rsidR="00EA4983" w:rsidRPr="0003674F" w:rsidRDefault="00EA4983" w:rsidP="0003674F">
      <w:pPr>
        <w:autoSpaceDE w:val="0"/>
        <w:autoSpaceDN w:val="0"/>
        <w:adjustRightInd w:val="0"/>
        <w:spacing w:after="0" w:line="240" w:lineRule="auto"/>
        <w:jc w:val="both"/>
        <w:rPr>
          <w:rFonts w:ascii="Book Antiqua" w:hAnsi="Book Antiqua" w:cs="GalliardStd-Roman"/>
          <w:sz w:val="24"/>
          <w:szCs w:val="24"/>
          <w:lang w:val="en-GB"/>
        </w:rPr>
      </w:pPr>
      <w:r w:rsidRPr="0003674F">
        <w:rPr>
          <w:rFonts w:ascii="Book Antiqua" w:hAnsi="Book Antiqua" w:cs="GalliardStd-Roman"/>
          <w:sz w:val="24"/>
          <w:szCs w:val="24"/>
          <w:lang w:val="en-GB"/>
        </w:rPr>
        <w:t>4. Translated income gains or losses due to changes in foreign currency values are</w:t>
      </w:r>
      <w:r w:rsidR="0003674F"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not recognized in current net income but are reported as a second component</w:t>
      </w:r>
      <w:r w:rsidR="0003674F"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of stockholder’s equity; an exception to this rule is a foreign entity located in a</w:t>
      </w:r>
      <w:r w:rsidR="0003674F" w:rsidRPr="0003674F">
        <w:rPr>
          <w:rFonts w:ascii="Book Antiqua" w:hAnsi="Book Antiqua" w:cs="GalliardStd-Roman"/>
          <w:sz w:val="24"/>
          <w:szCs w:val="24"/>
          <w:lang w:val="en-GB"/>
        </w:rPr>
        <w:t xml:space="preserve"> </w:t>
      </w:r>
      <w:r w:rsidRPr="0003674F">
        <w:rPr>
          <w:rFonts w:ascii="Book Antiqua" w:hAnsi="Book Antiqua" w:cs="GalliardStd-Roman"/>
          <w:sz w:val="24"/>
          <w:szCs w:val="24"/>
          <w:lang w:val="en-GB"/>
        </w:rPr>
        <w:t>country with high inflation.</w:t>
      </w:r>
    </w:p>
    <w:p w:rsidR="00EA4983" w:rsidRDefault="00EA4983" w:rsidP="0003674F">
      <w:pPr>
        <w:autoSpaceDE w:val="0"/>
        <w:autoSpaceDN w:val="0"/>
        <w:adjustRightInd w:val="0"/>
        <w:spacing w:after="0" w:line="240" w:lineRule="auto"/>
        <w:jc w:val="both"/>
        <w:rPr>
          <w:rFonts w:ascii="Book Antiqua" w:hAnsi="Book Antiqua" w:cs="GalliardStd-Roman"/>
          <w:sz w:val="24"/>
          <w:szCs w:val="24"/>
          <w:lang w:val="en-GB"/>
        </w:rPr>
      </w:pPr>
      <w:r w:rsidRPr="0003674F">
        <w:rPr>
          <w:rFonts w:ascii="Book Antiqua" w:hAnsi="Book Antiqua" w:cs="GalliardStd-Roman"/>
          <w:sz w:val="24"/>
          <w:szCs w:val="24"/>
          <w:lang w:val="en-GB"/>
        </w:rPr>
        <w:t xml:space="preserve">5. Realized income gains or losses due to foreign currency transactions are </w:t>
      </w:r>
      <w:r w:rsidR="0003674F" w:rsidRPr="0003674F">
        <w:rPr>
          <w:rFonts w:ascii="Book Antiqua" w:hAnsi="Book Antiqua" w:cs="GalliardStd-Roman"/>
          <w:sz w:val="24"/>
          <w:szCs w:val="24"/>
          <w:lang w:val="en-GB"/>
        </w:rPr>
        <w:t xml:space="preserve">recorded </w:t>
      </w:r>
      <w:r w:rsidRPr="0003674F">
        <w:rPr>
          <w:rFonts w:ascii="Book Antiqua" w:hAnsi="Book Antiqua" w:cs="GalliardStd-Roman"/>
          <w:sz w:val="24"/>
          <w:szCs w:val="24"/>
          <w:lang w:val="en-GB"/>
        </w:rPr>
        <w:t>in current net income, although there are some exceptions.</w:t>
      </w:r>
    </w:p>
    <w:p w:rsidR="000E4DE7" w:rsidRDefault="000E4DE7" w:rsidP="0003674F">
      <w:pPr>
        <w:autoSpaceDE w:val="0"/>
        <w:autoSpaceDN w:val="0"/>
        <w:adjustRightInd w:val="0"/>
        <w:spacing w:after="0" w:line="240" w:lineRule="auto"/>
        <w:jc w:val="both"/>
        <w:rPr>
          <w:rFonts w:ascii="Book Antiqua" w:hAnsi="Book Antiqua" w:cs="GalliardStd-Roman"/>
          <w:sz w:val="24"/>
          <w:szCs w:val="24"/>
          <w:lang w:val="en-GB"/>
        </w:rPr>
      </w:pPr>
    </w:p>
    <w:p w:rsidR="000E4DE7" w:rsidRDefault="000E4DE7" w:rsidP="0003674F">
      <w:pPr>
        <w:autoSpaceDE w:val="0"/>
        <w:autoSpaceDN w:val="0"/>
        <w:adjustRightInd w:val="0"/>
        <w:spacing w:after="0" w:line="240" w:lineRule="auto"/>
        <w:jc w:val="both"/>
        <w:rPr>
          <w:rFonts w:ascii="Book Antiqua" w:hAnsi="Book Antiqua" w:cs="GalliardStd-Roman"/>
          <w:sz w:val="24"/>
          <w:szCs w:val="24"/>
          <w:lang w:val="en-GB"/>
        </w:rPr>
      </w:pPr>
    </w:p>
    <w:p w:rsidR="000E4DE7" w:rsidRDefault="000E4DE7" w:rsidP="0003674F">
      <w:pPr>
        <w:autoSpaceDE w:val="0"/>
        <w:autoSpaceDN w:val="0"/>
        <w:adjustRightInd w:val="0"/>
        <w:spacing w:after="0" w:line="240" w:lineRule="auto"/>
        <w:jc w:val="both"/>
        <w:rPr>
          <w:rFonts w:ascii="Book Antiqua" w:hAnsi="Book Antiqua" w:cs="GalliardStd-Roman"/>
          <w:sz w:val="24"/>
          <w:szCs w:val="24"/>
          <w:lang w:val="en-GB"/>
        </w:rPr>
      </w:pPr>
    </w:p>
    <w:p w:rsidR="000E4DE7" w:rsidRDefault="000E4DE7" w:rsidP="0003674F">
      <w:pPr>
        <w:autoSpaceDE w:val="0"/>
        <w:autoSpaceDN w:val="0"/>
        <w:adjustRightInd w:val="0"/>
        <w:spacing w:after="0" w:line="240" w:lineRule="auto"/>
        <w:jc w:val="both"/>
        <w:rPr>
          <w:rFonts w:ascii="Book Antiqua" w:hAnsi="Book Antiqua" w:cs="GalliardStd-Roman"/>
          <w:sz w:val="24"/>
          <w:szCs w:val="24"/>
          <w:lang w:val="en-GB"/>
        </w:rPr>
      </w:pPr>
    </w:p>
    <w:p w:rsidR="000E4DE7" w:rsidRPr="000E4DE7" w:rsidRDefault="000E4DE7" w:rsidP="0003674F">
      <w:pPr>
        <w:autoSpaceDE w:val="0"/>
        <w:autoSpaceDN w:val="0"/>
        <w:adjustRightInd w:val="0"/>
        <w:spacing w:after="0" w:line="240" w:lineRule="auto"/>
        <w:jc w:val="both"/>
        <w:rPr>
          <w:rFonts w:ascii="Book Antiqua" w:hAnsi="Book Antiqua" w:cs="GalliardStd-Roman"/>
          <w:b/>
          <w:sz w:val="24"/>
          <w:szCs w:val="24"/>
          <w:lang w:val="en-GB"/>
        </w:rPr>
      </w:pPr>
      <w:r w:rsidRPr="000E4DE7">
        <w:rPr>
          <w:rFonts w:ascii="Book Antiqua" w:hAnsi="Book Antiqua" w:cs="GalliardStd-Roman"/>
          <w:b/>
          <w:sz w:val="24"/>
          <w:szCs w:val="24"/>
          <w:lang w:val="en-GB"/>
        </w:rPr>
        <w:lastRenderedPageBreak/>
        <w:t>Summary.</w:t>
      </w:r>
    </w:p>
    <w:p w:rsidR="000E4DE7" w:rsidRPr="000E4DE7" w:rsidRDefault="000E4DE7" w:rsidP="000E4DE7">
      <w:pPr>
        <w:autoSpaceDE w:val="0"/>
        <w:autoSpaceDN w:val="0"/>
        <w:adjustRightInd w:val="0"/>
        <w:spacing w:after="0" w:line="240" w:lineRule="auto"/>
        <w:rPr>
          <w:rFonts w:ascii="Book Antiqua" w:hAnsi="Book Antiqua" w:cs="GalliardStd-Roman"/>
          <w:sz w:val="24"/>
          <w:szCs w:val="24"/>
          <w:lang w:val="en-GB"/>
        </w:rPr>
      </w:pPr>
    </w:p>
    <w:p w:rsidR="000E4DE7" w:rsidRPr="000E4DE7" w:rsidRDefault="000E4DE7" w:rsidP="000E4DE7">
      <w:pPr>
        <w:autoSpaceDE w:val="0"/>
        <w:autoSpaceDN w:val="0"/>
        <w:adjustRightInd w:val="0"/>
        <w:spacing w:after="0" w:line="240" w:lineRule="auto"/>
        <w:rPr>
          <w:rFonts w:ascii="Book Antiqua" w:hAnsi="Book Antiqua" w:cs="GalliardStd-Roman"/>
          <w:sz w:val="24"/>
          <w:szCs w:val="24"/>
          <w:lang w:val="en-GB"/>
        </w:rPr>
      </w:pPr>
      <w:r w:rsidRPr="000E4DE7">
        <w:rPr>
          <w:rFonts w:ascii="Book Antiqua" w:hAnsi="Book Antiqua" w:cs="GalliardStd-Roman"/>
          <w:sz w:val="24"/>
          <w:szCs w:val="24"/>
          <w:lang w:val="en-GB"/>
        </w:rPr>
        <w:t>MNCs with less</w:t>
      </w:r>
      <w:r w:rsidRPr="000E4DE7">
        <w:rPr>
          <w:rFonts w:ascii="Book Antiqua" w:hAnsi="Book Antiqua" w:cs="GalliardStd-Roman"/>
          <w:sz w:val="24"/>
          <w:szCs w:val="24"/>
          <w:lang w:val="en-GB"/>
        </w:rPr>
        <w:t xml:space="preserve"> risk can obtain funds at lower </w:t>
      </w:r>
      <w:r w:rsidRPr="000E4DE7">
        <w:rPr>
          <w:rFonts w:ascii="Book Antiqua" w:hAnsi="Book Antiqua" w:cs="GalliardStd-Roman"/>
          <w:sz w:val="24"/>
          <w:szCs w:val="24"/>
          <w:lang w:val="en-GB"/>
        </w:rPr>
        <w:t>financing costs. Since th</w:t>
      </w:r>
      <w:r w:rsidRPr="000E4DE7">
        <w:rPr>
          <w:rFonts w:ascii="Book Antiqua" w:hAnsi="Book Antiqua" w:cs="GalliardStd-Roman"/>
          <w:sz w:val="24"/>
          <w:szCs w:val="24"/>
          <w:lang w:val="en-GB"/>
        </w:rPr>
        <w:t xml:space="preserve">ey may experience more volatile </w:t>
      </w:r>
      <w:r w:rsidRPr="000E4DE7">
        <w:rPr>
          <w:rFonts w:ascii="Book Antiqua" w:hAnsi="Book Antiqua" w:cs="GalliardStd-Roman"/>
          <w:sz w:val="24"/>
          <w:szCs w:val="24"/>
          <w:lang w:val="en-GB"/>
        </w:rPr>
        <w:t>cash flows beca</w:t>
      </w:r>
      <w:r w:rsidRPr="000E4DE7">
        <w:rPr>
          <w:rFonts w:ascii="Book Antiqua" w:hAnsi="Book Antiqua" w:cs="GalliardStd-Roman"/>
          <w:sz w:val="24"/>
          <w:szCs w:val="24"/>
          <w:lang w:val="en-GB"/>
        </w:rPr>
        <w:t xml:space="preserve">use of exchange rate movements, </w:t>
      </w:r>
      <w:r w:rsidRPr="000E4DE7">
        <w:rPr>
          <w:rFonts w:ascii="Book Antiqua" w:hAnsi="Book Antiqua" w:cs="GalliardStd-Roman"/>
          <w:sz w:val="24"/>
          <w:szCs w:val="24"/>
          <w:lang w:val="en-GB"/>
        </w:rPr>
        <w:t>exchange rate risk can affect their financing costs.</w:t>
      </w:r>
    </w:p>
    <w:p w:rsidR="000E4DE7" w:rsidRPr="000E4DE7" w:rsidRDefault="000E4DE7" w:rsidP="000E4DE7">
      <w:pPr>
        <w:autoSpaceDE w:val="0"/>
        <w:autoSpaceDN w:val="0"/>
        <w:adjustRightInd w:val="0"/>
        <w:spacing w:after="0" w:line="240" w:lineRule="auto"/>
        <w:rPr>
          <w:rFonts w:ascii="Book Antiqua" w:hAnsi="Book Antiqua" w:cs="GalliardStd-Roman"/>
          <w:sz w:val="24"/>
          <w:szCs w:val="24"/>
          <w:lang w:val="en-GB"/>
        </w:rPr>
      </w:pPr>
      <w:r w:rsidRPr="000E4DE7">
        <w:rPr>
          <w:rFonts w:ascii="Book Antiqua" w:hAnsi="Book Antiqua" w:cs="GalliardStd-Roman"/>
          <w:sz w:val="24"/>
          <w:szCs w:val="24"/>
          <w:lang w:val="en-GB"/>
        </w:rPr>
        <w:t>Thus, MNCs ma</w:t>
      </w:r>
      <w:r w:rsidRPr="000E4DE7">
        <w:rPr>
          <w:rFonts w:ascii="Book Antiqua" w:hAnsi="Book Antiqua" w:cs="GalliardStd-Roman"/>
          <w:sz w:val="24"/>
          <w:szCs w:val="24"/>
          <w:lang w:val="en-GB"/>
        </w:rPr>
        <w:t xml:space="preserve">y benefit from hedging exchange </w:t>
      </w:r>
      <w:r w:rsidRPr="000E4DE7">
        <w:rPr>
          <w:rFonts w:ascii="Book Antiqua" w:hAnsi="Book Antiqua" w:cs="GalliardStd-Roman"/>
          <w:sz w:val="24"/>
          <w:szCs w:val="24"/>
          <w:lang w:val="en-GB"/>
        </w:rPr>
        <w:t>rate risk.</w:t>
      </w:r>
    </w:p>
    <w:p w:rsidR="000E4DE7" w:rsidRPr="000E4DE7" w:rsidRDefault="000E4DE7" w:rsidP="000E4DE7">
      <w:pPr>
        <w:autoSpaceDE w:val="0"/>
        <w:autoSpaceDN w:val="0"/>
        <w:adjustRightInd w:val="0"/>
        <w:spacing w:after="0" w:line="240" w:lineRule="auto"/>
        <w:rPr>
          <w:rFonts w:ascii="Book Antiqua" w:hAnsi="Book Antiqua" w:cs="GalliardStd-Roman"/>
          <w:sz w:val="24"/>
          <w:szCs w:val="24"/>
          <w:lang w:val="en-GB"/>
        </w:rPr>
      </w:pPr>
    </w:p>
    <w:p w:rsidR="000E4DE7" w:rsidRPr="000E4DE7" w:rsidRDefault="000E4DE7" w:rsidP="000E4DE7">
      <w:pPr>
        <w:autoSpaceDE w:val="0"/>
        <w:autoSpaceDN w:val="0"/>
        <w:adjustRightInd w:val="0"/>
        <w:spacing w:after="0" w:line="240" w:lineRule="auto"/>
        <w:rPr>
          <w:rFonts w:ascii="Book Antiqua" w:hAnsi="Book Antiqua" w:cs="GalliardStd-Roman"/>
          <w:sz w:val="24"/>
          <w:szCs w:val="24"/>
          <w:lang w:val="en-GB"/>
        </w:rPr>
      </w:pPr>
      <w:r w:rsidRPr="000E4DE7">
        <w:rPr>
          <w:rFonts w:ascii="Book Antiqua" w:hAnsi="Book Antiqua" w:cs="GalliardStd-Roman"/>
          <w:sz w:val="24"/>
          <w:szCs w:val="24"/>
          <w:lang w:val="en-GB"/>
        </w:rPr>
        <w:t>Transaction exposure is the exposure of an MNC’</w:t>
      </w:r>
      <w:r w:rsidRPr="000E4DE7">
        <w:rPr>
          <w:rFonts w:ascii="Book Antiqua" w:hAnsi="Book Antiqua" w:cs="GalliardStd-Roman"/>
          <w:sz w:val="24"/>
          <w:szCs w:val="24"/>
          <w:lang w:val="en-GB"/>
        </w:rPr>
        <w:t xml:space="preserve">s </w:t>
      </w:r>
      <w:r w:rsidRPr="000E4DE7">
        <w:rPr>
          <w:rFonts w:ascii="Book Antiqua" w:hAnsi="Book Antiqua" w:cs="GalliardStd-Roman"/>
          <w:sz w:val="24"/>
          <w:szCs w:val="24"/>
          <w:lang w:val="en-GB"/>
        </w:rPr>
        <w:t>future cash transacti</w:t>
      </w:r>
      <w:r w:rsidRPr="000E4DE7">
        <w:rPr>
          <w:rFonts w:ascii="Book Antiqua" w:hAnsi="Book Antiqua" w:cs="GalliardStd-Roman"/>
          <w:sz w:val="24"/>
          <w:szCs w:val="24"/>
          <w:lang w:val="en-GB"/>
        </w:rPr>
        <w:t xml:space="preserve">ons to exchange rate movements. </w:t>
      </w:r>
      <w:r w:rsidRPr="000E4DE7">
        <w:rPr>
          <w:rFonts w:ascii="Book Antiqua" w:hAnsi="Book Antiqua" w:cs="GalliardStd-Roman"/>
          <w:sz w:val="24"/>
          <w:szCs w:val="24"/>
          <w:lang w:val="en-GB"/>
        </w:rPr>
        <w:t>MNCs ca</w:t>
      </w:r>
      <w:r w:rsidRPr="000E4DE7">
        <w:rPr>
          <w:rFonts w:ascii="Book Antiqua" w:hAnsi="Book Antiqua" w:cs="GalliardStd-Roman"/>
          <w:sz w:val="24"/>
          <w:szCs w:val="24"/>
          <w:lang w:val="en-GB"/>
        </w:rPr>
        <w:t xml:space="preserve">n measure their transaction exposure </w:t>
      </w:r>
      <w:r w:rsidRPr="000E4DE7">
        <w:rPr>
          <w:rFonts w:ascii="Book Antiqua" w:hAnsi="Book Antiqua" w:cs="GalliardStd-Roman"/>
          <w:sz w:val="24"/>
          <w:szCs w:val="24"/>
          <w:lang w:val="en-GB"/>
        </w:rPr>
        <w:t xml:space="preserve">by determining their </w:t>
      </w:r>
      <w:r w:rsidRPr="000E4DE7">
        <w:rPr>
          <w:rFonts w:ascii="Book Antiqua" w:hAnsi="Book Antiqua" w:cs="GalliardStd-Roman"/>
          <w:sz w:val="24"/>
          <w:szCs w:val="24"/>
          <w:lang w:val="en-GB"/>
        </w:rPr>
        <w:t xml:space="preserve">future payables and receivables </w:t>
      </w:r>
      <w:r w:rsidRPr="000E4DE7">
        <w:rPr>
          <w:rFonts w:ascii="Book Antiqua" w:hAnsi="Book Antiqua" w:cs="GalliardStd-Roman"/>
          <w:sz w:val="24"/>
          <w:szCs w:val="24"/>
          <w:lang w:val="en-GB"/>
        </w:rPr>
        <w:t>positions in var</w:t>
      </w:r>
      <w:r w:rsidRPr="000E4DE7">
        <w:rPr>
          <w:rFonts w:ascii="Book Antiqua" w:hAnsi="Book Antiqua" w:cs="GalliardStd-Roman"/>
          <w:sz w:val="24"/>
          <w:szCs w:val="24"/>
          <w:lang w:val="en-GB"/>
        </w:rPr>
        <w:t xml:space="preserve">ious currencies, along with the </w:t>
      </w:r>
      <w:r w:rsidRPr="000E4DE7">
        <w:rPr>
          <w:rFonts w:ascii="Book Antiqua" w:hAnsi="Book Antiqua" w:cs="GalliardStd-Roman"/>
          <w:sz w:val="24"/>
          <w:szCs w:val="24"/>
          <w:lang w:val="en-GB"/>
        </w:rPr>
        <w:t>variability levels and correlations of these currencies.</w:t>
      </w:r>
    </w:p>
    <w:p w:rsidR="000E4DE7" w:rsidRPr="000E4DE7" w:rsidRDefault="000E4DE7" w:rsidP="000E4DE7">
      <w:pPr>
        <w:autoSpaceDE w:val="0"/>
        <w:autoSpaceDN w:val="0"/>
        <w:adjustRightInd w:val="0"/>
        <w:spacing w:after="0" w:line="240" w:lineRule="auto"/>
        <w:rPr>
          <w:rFonts w:ascii="Book Antiqua" w:hAnsi="Book Antiqua" w:cs="GalliardStd-Roman"/>
          <w:sz w:val="24"/>
          <w:szCs w:val="24"/>
          <w:lang w:val="en-GB"/>
        </w:rPr>
      </w:pPr>
      <w:r w:rsidRPr="000E4DE7">
        <w:rPr>
          <w:rFonts w:ascii="Book Antiqua" w:hAnsi="Book Antiqua" w:cs="GalliardStd-Roman"/>
          <w:sz w:val="24"/>
          <w:szCs w:val="24"/>
          <w:lang w:val="en-GB"/>
        </w:rPr>
        <w:t>From this information, th</w:t>
      </w:r>
      <w:r w:rsidRPr="000E4DE7">
        <w:rPr>
          <w:rFonts w:ascii="Book Antiqua" w:hAnsi="Book Antiqua" w:cs="GalliardStd-Roman"/>
          <w:sz w:val="24"/>
          <w:szCs w:val="24"/>
          <w:lang w:val="en-GB"/>
        </w:rPr>
        <w:t xml:space="preserve">ey can assess how their revenue </w:t>
      </w:r>
      <w:r w:rsidRPr="000E4DE7">
        <w:rPr>
          <w:rFonts w:ascii="Book Antiqua" w:hAnsi="Book Antiqua" w:cs="GalliardStd-Roman"/>
          <w:sz w:val="24"/>
          <w:szCs w:val="24"/>
          <w:lang w:val="en-GB"/>
        </w:rPr>
        <w:t xml:space="preserve">and costs may change </w:t>
      </w:r>
      <w:r w:rsidRPr="000E4DE7">
        <w:rPr>
          <w:rFonts w:ascii="Book Antiqua" w:hAnsi="Book Antiqua" w:cs="GalliardStd-Roman"/>
          <w:sz w:val="24"/>
          <w:szCs w:val="24"/>
          <w:lang w:val="en-GB"/>
        </w:rPr>
        <w:t xml:space="preserve">in response to various exchange </w:t>
      </w:r>
      <w:r w:rsidRPr="000E4DE7">
        <w:rPr>
          <w:rFonts w:ascii="Book Antiqua" w:hAnsi="Book Antiqua" w:cs="GalliardStd-Roman"/>
          <w:sz w:val="24"/>
          <w:szCs w:val="24"/>
          <w:lang w:val="en-GB"/>
        </w:rPr>
        <w:t>rate scenarios.</w:t>
      </w:r>
    </w:p>
    <w:p w:rsidR="000E4DE7" w:rsidRPr="000E4DE7" w:rsidRDefault="000E4DE7" w:rsidP="000E4DE7">
      <w:pPr>
        <w:autoSpaceDE w:val="0"/>
        <w:autoSpaceDN w:val="0"/>
        <w:adjustRightInd w:val="0"/>
        <w:spacing w:after="0" w:line="240" w:lineRule="auto"/>
        <w:rPr>
          <w:rFonts w:ascii="Book Antiqua" w:hAnsi="Book Antiqua" w:cs="GalliardStd-Roman"/>
          <w:sz w:val="24"/>
          <w:szCs w:val="24"/>
          <w:lang w:val="en-GB"/>
        </w:rPr>
      </w:pPr>
    </w:p>
    <w:p w:rsidR="000E4DE7" w:rsidRPr="000E4DE7" w:rsidRDefault="000E4DE7" w:rsidP="000E4DE7">
      <w:pPr>
        <w:autoSpaceDE w:val="0"/>
        <w:autoSpaceDN w:val="0"/>
        <w:adjustRightInd w:val="0"/>
        <w:spacing w:after="0" w:line="240" w:lineRule="auto"/>
        <w:rPr>
          <w:rFonts w:ascii="Book Antiqua" w:hAnsi="Book Antiqua" w:cs="GalliardStd-Roman"/>
          <w:sz w:val="24"/>
          <w:szCs w:val="24"/>
          <w:lang w:val="en-GB"/>
        </w:rPr>
      </w:pPr>
      <w:r w:rsidRPr="000E4DE7">
        <w:rPr>
          <w:rFonts w:ascii="Book Antiqua" w:hAnsi="Book Antiqua" w:cs="GalliardStd-Roman"/>
          <w:sz w:val="24"/>
          <w:szCs w:val="24"/>
          <w:lang w:val="en-GB"/>
        </w:rPr>
        <w:t>Economic exposure is any exposure of an MNC’</w:t>
      </w:r>
      <w:r w:rsidRPr="000E4DE7">
        <w:rPr>
          <w:rFonts w:ascii="Book Antiqua" w:hAnsi="Book Antiqua" w:cs="GalliardStd-Roman"/>
          <w:sz w:val="24"/>
          <w:szCs w:val="24"/>
          <w:lang w:val="en-GB"/>
        </w:rPr>
        <w:t xml:space="preserve">s </w:t>
      </w:r>
      <w:r w:rsidRPr="000E4DE7">
        <w:rPr>
          <w:rFonts w:ascii="Book Antiqua" w:hAnsi="Book Antiqua" w:cs="GalliardStd-Roman"/>
          <w:sz w:val="24"/>
          <w:szCs w:val="24"/>
          <w:lang w:val="en-GB"/>
        </w:rPr>
        <w:t>cash flows (direct or indire</w:t>
      </w:r>
      <w:r w:rsidRPr="000E4DE7">
        <w:rPr>
          <w:rFonts w:ascii="Book Antiqua" w:hAnsi="Book Antiqua" w:cs="GalliardStd-Roman"/>
          <w:sz w:val="24"/>
          <w:szCs w:val="24"/>
          <w:lang w:val="en-GB"/>
        </w:rPr>
        <w:t xml:space="preserve">ct) to exchange rate movements. </w:t>
      </w:r>
      <w:r w:rsidRPr="000E4DE7">
        <w:rPr>
          <w:rFonts w:ascii="Book Antiqua" w:hAnsi="Book Antiqua" w:cs="GalliardStd-Roman"/>
          <w:sz w:val="24"/>
          <w:szCs w:val="24"/>
          <w:lang w:val="en-GB"/>
        </w:rPr>
        <w:t>MNCs can attempt to measure their economic</w:t>
      </w:r>
      <w:r w:rsidRPr="000E4DE7">
        <w:rPr>
          <w:rFonts w:ascii="Book Antiqua" w:hAnsi="Book Antiqua" w:cs="GalliardStd-Roman"/>
          <w:sz w:val="24"/>
          <w:szCs w:val="24"/>
          <w:lang w:val="en-GB"/>
        </w:rPr>
        <w:t xml:space="preserve"> </w:t>
      </w:r>
      <w:r w:rsidRPr="000E4DE7">
        <w:rPr>
          <w:rFonts w:ascii="Book Antiqua" w:hAnsi="Book Antiqua" w:cs="GalliardStd-Roman"/>
          <w:sz w:val="24"/>
          <w:szCs w:val="24"/>
          <w:lang w:val="en-GB"/>
        </w:rPr>
        <w:t>exposure by determining t</w:t>
      </w:r>
      <w:r w:rsidRPr="000E4DE7">
        <w:rPr>
          <w:rFonts w:ascii="Book Antiqua" w:hAnsi="Book Antiqua" w:cs="GalliardStd-Roman"/>
          <w:sz w:val="24"/>
          <w:szCs w:val="24"/>
          <w:lang w:val="en-GB"/>
        </w:rPr>
        <w:t xml:space="preserve">he extent to which their </w:t>
      </w:r>
      <w:r w:rsidRPr="000E4DE7">
        <w:rPr>
          <w:rFonts w:ascii="Book Antiqua" w:hAnsi="Book Antiqua" w:cs="GalliardStd-Roman"/>
          <w:sz w:val="24"/>
          <w:szCs w:val="24"/>
          <w:lang w:val="en-GB"/>
        </w:rPr>
        <w:t>cash flows will be aff</w:t>
      </w:r>
      <w:r w:rsidRPr="000E4DE7">
        <w:rPr>
          <w:rFonts w:ascii="Book Antiqua" w:hAnsi="Book Antiqua" w:cs="GalliardStd-Roman"/>
          <w:sz w:val="24"/>
          <w:szCs w:val="24"/>
          <w:lang w:val="en-GB"/>
        </w:rPr>
        <w:t xml:space="preserve">ected by their exposure to each </w:t>
      </w:r>
      <w:r w:rsidRPr="000E4DE7">
        <w:rPr>
          <w:rFonts w:ascii="Book Antiqua" w:hAnsi="Book Antiqua" w:cs="GalliardStd-Roman"/>
          <w:sz w:val="24"/>
          <w:szCs w:val="24"/>
          <w:lang w:val="en-GB"/>
        </w:rPr>
        <w:t>foreign currency.</w:t>
      </w:r>
    </w:p>
    <w:p w:rsidR="000E4DE7" w:rsidRPr="000E4DE7" w:rsidRDefault="000E4DE7" w:rsidP="000E4DE7">
      <w:pPr>
        <w:autoSpaceDE w:val="0"/>
        <w:autoSpaceDN w:val="0"/>
        <w:adjustRightInd w:val="0"/>
        <w:spacing w:after="0" w:line="240" w:lineRule="auto"/>
        <w:rPr>
          <w:rFonts w:ascii="Book Antiqua" w:hAnsi="Book Antiqua" w:cs="GalliardStd-Roman"/>
          <w:sz w:val="24"/>
          <w:szCs w:val="24"/>
          <w:lang w:val="en-GB"/>
        </w:rPr>
      </w:pPr>
    </w:p>
    <w:p w:rsidR="000E4DE7" w:rsidRDefault="000E4DE7" w:rsidP="000E4DE7">
      <w:pPr>
        <w:autoSpaceDE w:val="0"/>
        <w:autoSpaceDN w:val="0"/>
        <w:adjustRightInd w:val="0"/>
        <w:spacing w:after="0" w:line="240" w:lineRule="auto"/>
        <w:rPr>
          <w:rFonts w:ascii="Book Antiqua" w:hAnsi="Book Antiqua" w:cs="GalliardStd-Roman"/>
          <w:sz w:val="24"/>
          <w:szCs w:val="24"/>
          <w:lang w:val="en-GB"/>
        </w:rPr>
      </w:pPr>
      <w:r w:rsidRPr="000E4DE7">
        <w:rPr>
          <w:rFonts w:ascii="Book Antiqua" w:hAnsi="Book Antiqua" w:cs="GalliardStd-Roman"/>
          <w:sz w:val="24"/>
          <w:szCs w:val="24"/>
          <w:lang w:val="en-GB"/>
        </w:rPr>
        <w:t>Translation exposure is the exposure of an MNC’</w:t>
      </w:r>
      <w:r w:rsidRPr="000E4DE7">
        <w:rPr>
          <w:rFonts w:ascii="Book Antiqua" w:hAnsi="Book Antiqua" w:cs="GalliardStd-Roman"/>
          <w:sz w:val="24"/>
          <w:szCs w:val="24"/>
          <w:lang w:val="en-GB"/>
        </w:rPr>
        <w:t xml:space="preserve">s </w:t>
      </w:r>
      <w:r w:rsidRPr="000E4DE7">
        <w:rPr>
          <w:rFonts w:ascii="Book Antiqua" w:hAnsi="Book Antiqua" w:cs="GalliardStd-Roman"/>
          <w:sz w:val="24"/>
          <w:szCs w:val="24"/>
          <w:lang w:val="en-GB"/>
        </w:rPr>
        <w:t>consolidated financial statements to exchange rate</w:t>
      </w:r>
      <w:r w:rsidRPr="000E4DE7">
        <w:rPr>
          <w:rFonts w:ascii="Book Antiqua" w:hAnsi="Book Antiqua" w:cs="GalliardStd-Roman"/>
          <w:sz w:val="24"/>
          <w:szCs w:val="24"/>
          <w:lang w:val="en-GB"/>
        </w:rPr>
        <w:t xml:space="preserve"> </w:t>
      </w:r>
      <w:r w:rsidRPr="000E4DE7">
        <w:rPr>
          <w:rFonts w:ascii="Book Antiqua" w:hAnsi="Book Antiqua" w:cs="GalliardStd-Roman"/>
          <w:sz w:val="24"/>
          <w:szCs w:val="24"/>
          <w:lang w:val="en-GB"/>
        </w:rPr>
        <w:t>movements. To mea</w:t>
      </w:r>
      <w:r w:rsidRPr="000E4DE7">
        <w:rPr>
          <w:rFonts w:ascii="Book Antiqua" w:hAnsi="Book Antiqua" w:cs="GalliardStd-Roman"/>
          <w:sz w:val="24"/>
          <w:szCs w:val="24"/>
          <w:lang w:val="en-GB"/>
        </w:rPr>
        <w:t xml:space="preserve">sure translation exposure, MNCs </w:t>
      </w:r>
      <w:r w:rsidRPr="000E4DE7">
        <w:rPr>
          <w:rFonts w:ascii="Book Antiqua" w:hAnsi="Book Antiqua" w:cs="GalliardStd-Roman"/>
          <w:sz w:val="24"/>
          <w:szCs w:val="24"/>
          <w:lang w:val="en-GB"/>
        </w:rPr>
        <w:t>can forecast their ea</w:t>
      </w:r>
      <w:r w:rsidRPr="000E4DE7">
        <w:rPr>
          <w:rFonts w:ascii="Book Antiqua" w:hAnsi="Book Antiqua" w:cs="GalliardStd-Roman"/>
          <w:sz w:val="24"/>
          <w:szCs w:val="24"/>
          <w:lang w:val="en-GB"/>
        </w:rPr>
        <w:t xml:space="preserve">rnings in each foreign currency </w:t>
      </w:r>
      <w:r w:rsidRPr="000E4DE7">
        <w:rPr>
          <w:rFonts w:ascii="Book Antiqua" w:hAnsi="Book Antiqua" w:cs="GalliardStd-Roman"/>
          <w:sz w:val="24"/>
          <w:szCs w:val="24"/>
          <w:lang w:val="en-GB"/>
        </w:rPr>
        <w:t>and then determine how t</w:t>
      </w:r>
      <w:r w:rsidRPr="000E4DE7">
        <w:rPr>
          <w:rFonts w:ascii="Book Antiqua" w:hAnsi="Book Antiqua" w:cs="GalliardStd-Roman"/>
          <w:sz w:val="24"/>
          <w:szCs w:val="24"/>
          <w:lang w:val="en-GB"/>
        </w:rPr>
        <w:t xml:space="preserve">heir earnings could be affected </w:t>
      </w:r>
      <w:r w:rsidRPr="000E4DE7">
        <w:rPr>
          <w:rFonts w:ascii="Book Antiqua" w:hAnsi="Book Antiqua" w:cs="GalliardStd-Roman"/>
          <w:sz w:val="24"/>
          <w:szCs w:val="24"/>
          <w:lang w:val="en-GB"/>
        </w:rPr>
        <w:t>by the poten</w:t>
      </w:r>
      <w:r w:rsidRPr="000E4DE7">
        <w:rPr>
          <w:rFonts w:ascii="Book Antiqua" w:hAnsi="Book Antiqua" w:cs="GalliardStd-Roman"/>
          <w:sz w:val="24"/>
          <w:szCs w:val="24"/>
          <w:lang w:val="en-GB"/>
        </w:rPr>
        <w:t xml:space="preserve">tial exchange rate movements of </w:t>
      </w:r>
      <w:r w:rsidRPr="000E4DE7">
        <w:rPr>
          <w:rFonts w:ascii="Book Antiqua" w:hAnsi="Book Antiqua" w:cs="GalliardStd-Roman"/>
          <w:sz w:val="24"/>
          <w:szCs w:val="24"/>
          <w:lang w:val="en-GB"/>
        </w:rPr>
        <w:t>each currency.</w:t>
      </w:r>
    </w:p>
    <w:p w:rsidR="000E4DE7" w:rsidRDefault="000E4DE7" w:rsidP="000E4DE7">
      <w:pPr>
        <w:autoSpaceDE w:val="0"/>
        <w:autoSpaceDN w:val="0"/>
        <w:adjustRightInd w:val="0"/>
        <w:spacing w:after="0" w:line="240" w:lineRule="auto"/>
        <w:rPr>
          <w:rFonts w:ascii="Book Antiqua" w:hAnsi="Book Antiqua" w:cs="GalliardStd-Roman"/>
          <w:sz w:val="24"/>
          <w:szCs w:val="24"/>
          <w:lang w:val="en-GB"/>
        </w:rPr>
      </w:pPr>
    </w:p>
    <w:p w:rsidR="000E4DE7" w:rsidRPr="008E54C3" w:rsidRDefault="000E4DE7" w:rsidP="000E4DE7">
      <w:pPr>
        <w:autoSpaceDE w:val="0"/>
        <w:autoSpaceDN w:val="0"/>
        <w:adjustRightInd w:val="0"/>
        <w:spacing w:after="0" w:line="240" w:lineRule="auto"/>
        <w:rPr>
          <w:rFonts w:ascii="Book Antiqua" w:hAnsi="Book Antiqua" w:cs="GalliardStd-Roman"/>
          <w:b/>
          <w:sz w:val="24"/>
          <w:szCs w:val="24"/>
          <w:u w:val="single"/>
          <w:lang w:val="en-GB"/>
        </w:rPr>
      </w:pPr>
      <w:r w:rsidRPr="008E54C3">
        <w:rPr>
          <w:rFonts w:ascii="Book Antiqua" w:hAnsi="Book Antiqua" w:cs="GalliardStd-Roman"/>
          <w:b/>
          <w:sz w:val="24"/>
          <w:szCs w:val="24"/>
          <w:u w:val="single"/>
          <w:lang w:val="en-GB"/>
        </w:rPr>
        <w:t>REVIEW QUESTIONS</w:t>
      </w:r>
    </w:p>
    <w:p w:rsidR="000E4DE7" w:rsidRDefault="000E4DE7" w:rsidP="000E4DE7">
      <w:pPr>
        <w:pStyle w:val="ListParagraph"/>
        <w:numPr>
          <w:ilvl w:val="0"/>
          <w:numId w:val="4"/>
        </w:numPr>
        <w:autoSpaceDE w:val="0"/>
        <w:autoSpaceDN w:val="0"/>
        <w:adjustRightInd w:val="0"/>
        <w:spacing w:after="0" w:line="240" w:lineRule="auto"/>
        <w:ind w:left="426"/>
        <w:rPr>
          <w:rFonts w:ascii="Book Antiqua" w:hAnsi="Book Antiqua" w:cs="GalliardStd-Roman"/>
          <w:sz w:val="24"/>
          <w:szCs w:val="24"/>
          <w:lang w:val="en-GB"/>
        </w:rPr>
      </w:pPr>
      <w:r w:rsidRPr="000E4DE7">
        <w:rPr>
          <w:rFonts w:ascii="Book Antiqua" w:hAnsi="Book Antiqua" w:cs="GalliardStd-Roman"/>
          <w:sz w:val="24"/>
          <w:szCs w:val="24"/>
          <w:lang w:val="en-GB"/>
        </w:rPr>
        <w:t>Given that shareholders c</w:t>
      </w:r>
      <w:r w:rsidRPr="000E4DE7">
        <w:rPr>
          <w:rFonts w:ascii="Book Antiqua" w:hAnsi="Book Antiqua" w:cs="GalliardStd-Roman"/>
          <w:sz w:val="24"/>
          <w:szCs w:val="24"/>
          <w:lang w:val="en-GB"/>
        </w:rPr>
        <w:t xml:space="preserve">an diversify away an individual </w:t>
      </w:r>
      <w:r w:rsidRPr="000E4DE7">
        <w:rPr>
          <w:rFonts w:ascii="Book Antiqua" w:hAnsi="Book Antiqua" w:cs="GalliardStd-Roman"/>
          <w:sz w:val="24"/>
          <w:szCs w:val="24"/>
          <w:lang w:val="en-GB"/>
        </w:rPr>
        <w:t>firm’s excha</w:t>
      </w:r>
      <w:r w:rsidRPr="000E4DE7">
        <w:rPr>
          <w:rFonts w:ascii="Book Antiqua" w:hAnsi="Book Antiqua" w:cs="GalliardStd-Roman"/>
          <w:sz w:val="24"/>
          <w:szCs w:val="24"/>
          <w:lang w:val="en-GB"/>
        </w:rPr>
        <w:t xml:space="preserve">nge rate risk by investing in a </w:t>
      </w:r>
      <w:r w:rsidRPr="000E4DE7">
        <w:rPr>
          <w:rFonts w:ascii="Book Antiqua" w:hAnsi="Book Antiqua" w:cs="GalliardStd-Roman"/>
          <w:sz w:val="24"/>
          <w:szCs w:val="24"/>
          <w:lang w:val="en-GB"/>
        </w:rPr>
        <w:t>variety of firms, why are firms concerned about e</w:t>
      </w:r>
      <w:r w:rsidRPr="000E4DE7">
        <w:rPr>
          <w:rFonts w:ascii="Book Antiqua" w:hAnsi="Book Antiqua" w:cs="GalliardStd-Roman"/>
          <w:sz w:val="24"/>
          <w:szCs w:val="24"/>
          <w:lang w:val="en-GB"/>
        </w:rPr>
        <w:t xml:space="preserve">xchange </w:t>
      </w:r>
      <w:r w:rsidRPr="000E4DE7">
        <w:rPr>
          <w:rFonts w:ascii="Book Antiqua" w:hAnsi="Book Antiqua" w:cs="GalliardStd-Roman"/>
          <w:sz w:val="24"/>
          <w:szCs w:val="24"/>
          <w:lang w:val="en-GB"/>
        </w:rPr>
        <w:t>rate risk?</w:t>
      </w:r>
    </w:p>
    <w:p w:rsidR="00DA114B" w:rsidRDefault="000E4DE7" w:rsidP="00DA114B">
      <w:pPr>
        <w:pStyle w:val="ListParagraph"/>
        <w:numPr>
          <w:ilvl w:val="0"/>
          <w:numId w:val="4"/>
        </w:numPr>
        <w:autoSpaceDE w:val="0"/>
        <w:autoSpaceDN w:val="0"/>
        <w:adjustRightInd w:val="0"/>
        <w:spacing w:after="0" w:line="240" w:lineRule="auto"/>
        <w:ind w:left="426"/>
        <w:rPr>
          <w:rFonts w:ascii="Book Antiqua" w:hAnsi="Book Antiqua" w:cs="GalliardStd-Roman"/>
          <w:sz w:val="24"/>
          <w:szCs w:val="24"/>
          <w:lang w:val="en-GB"/>
        </w:rPr>
      </w:pPr>
      <w:r w:rsidRPr="000E4DE7">
        <w:rPr>
          <w:rFonts w:ascii="Book Antiqua" w:hAnsi="Book Antiqua" w:cs="GalliardStd-Roman"/>
          <w:sz w:val="24"/>
          <w:szCs w:val="24"/>
          <w:lang w:val="en-GB"/>
        </w:rPr>
        <w:t>Bradley, Inc., conside</w:t>
      </w:r>
      <w:bookmarkStart w:id="0" w:name="_GoBack"/>
      <w:bookmarkEnd w:id="0"/>
      <w:r w:rsidRPr="000E4DE7">
        <w:rPr>
          <w:rFonts w:ascii="Book Antiqua" w:hAnsi="Book Antiqua" w:cs="GalliardStd-Roman"/>
          <w:sz w:val="24"/>
          <w:szCs w:val="24"/>
          <w:lang w:val="en-GB"/>
        </w:rPr>
        <w:t>rs importing its supplies from</w:t>
      </w:r>
      <w:r w:rsidRPr="000E4DE7">
        <w:rPr>
          <w:rFonts w:ascii="Book Antiqua" w:hAnsi="Book Antiqua" w:cs="GalliardStd-Roman"/>
          <w:sz w:val="24"/>
          <w:szCs w:val="24"/>
          <w:lang w:val="en-GB"/>
        </w:rPr>
        <w:t xml:space="preserve"> </w:t>
      </w:r>
      <w:r>
        <w:rPr>
          <w:rFonts w:ascii="Book Antiqua" w:hAnsi="Book Antiqua" w:cs="GalliardStd-Roman"/>
          <w:sz w:val="24"/>
          <w:szCs w:val="24"/>
          <w:lang w:val="en-GB"/>
        </w:rPr>
        <w:t>either Ug</w:t>
      </w:r>
      <w:r w:rsidRPr="000E4DE7">
        <w:rPr>
          <w:rFonts w:ascii="Book Antiqua" w:hAnsi="Book Antiqua" w:cs="GalliardStd-Roman"/>
          <w:sz w:val="24"/>
          <w:szCs w:val="24"/>
          <w:lang w:val="en-GB"/>
        </w:rPr>
        <w:t>a</w:t>
      </w:r>
      <w:r>
        <w:rPr>
          <w:rFonts w:ascii="Book Antiqua" w:hAnsi="Book Antiqua" w:cs="GalliardStd-Roman"/>
          <w:sz w:val="24"/>
          <w:szCs w:val="24"/>
          <w:lang w:val="en-GB"/>
        </w:rPr>
        <w:t>nda (denominated in Ush.) or Tanzania</w:t>
      </w:r>
      <w:r w:rsidRPr="000E4DE7">
        <w:rPr>
          <w:rFonts w:ascii="Book Antiqua" w:hAnsi="Book Antiqua" w:cs="GalliardStd-Roman"/>
          <w:sz w:val="24"/>
          <w:szCs w:val="24"/>
          <w:lang w:val="en-GB"/>
        </w:rPr>
        <w:t xml:space="preserve"> (denominated</w:t>
      </w:r>
      <w:r w:rsidRPr="000E4DE7">
        <w:rPr>
          <w:rFonts w:ascii="Book Antiqua" w:hAnsi="Book Antiqua" w:cs="GalliardStd-Roman"/>
          <w:sz w:val="24"/>
          <w:szCs w:val="24"/>
          <w:lang w:val="en-GB"/>
        </w:rPr>
        <w:t xml:space="preserve"> </w:t>
      </w:r>
      <w:r>
        <w:rPr>
          <w:rFonts w:ascii="Book Antiqua" w:hAnsi="Book Antiqua" w:cs="GalliardStd-Roman"/>
          <w:sz w:val="24"/>
          <w:szCs w:val="24"/>
          <w:lang w:val="en-GB"/>
        </w:rPr>
        <w:t>in Tsh</w:t>
      </w:r>
      <w:r w:rsidR="00DA114B">
        <w:rPr>
          <w:rFonts w:ascii="Book Antiqua" w:hAnsi="Book Antiqua" w:cs="GalliardStd-Roman"/>
          <w:sz w:val="24"/>
          <w:szCs w:val="24"/>
          <w:lang w:val="en-GB"/>
        </w:rPr>
        <w:t>.</w:t>
      </w:r>
      <w:r w:rsidRPr="000E4DE7">
        <w:rPr>
          <w:rFonts w:ascii="Book Antiqua" w:hAnsi="Book Antiqua" w:cs="GalliardStd-Roman"/>
          <w:sz w:val="24"/>
          <w:szCs w:val="24"/>
          <w:lang w:val="en-GB"/>
        </w:rPr>
        <w:t>) on a monthly basis. The quality</w:t>
      </w:r>
      <w:r w:rsidRPr="000E4DE7">
        <w:rPr>
          <w:rFonts w:ascii="Book Antiqua" w:hAnsi="Book Antiqua" w:cs="GalliardStd-Roman"/>
          <w:sz w:val="24"/>
          <w:szCs w:val="24"/>
          <w:lang w:val="en-GB"/>
        </w:rPr>
        <w:t xml:space="preserve"> </w:t>
      </w:r>
      <w:r w:rsidRPr="000E4DE7">
        <w:rPr>
          <w:rFonts w:ascii="Book Antiqua" w:hAnsi="Book Antiqua" w:cs="GalliardStd-Roman"/>
          <w:sz w:val="24"/>
          <w:szCs w:val="24"/>
          <w:lang w:val="en-GB"/>
        </w:rPr>
        <w:t>is the same for both sources. Once the firm</w:t>
      </w:r>
      <w:r w:rsidRPr="000E4DE7">
        <w:rPr>
          <w:rFonts w:ascii="Book Antiqua" w:hAnsi="Book Antiqua" w:cs="GalliardStd-Roman"/>
          <w:sz w:val="24"/>
          <w:szCs w:val="24"/>
          <w:lang w:val="en-GB"/>
        </w:rPr>
        <w:t xml:space="preserve"> </w:t>
      </w:r>
      <w:r w:rsidRPr="000E4DE7">
        <w:rPr>
          <w:rFonts w:ascii="Book Antiqua" w:hAnsi="Book Antiqua" w:cs="GalliardStd-Roman"/>
          <w:sz w:val="24"/>
          <w:szCs w:val="24"/>
          <w:lang w:val="en-GB"/>
        </w:rPr>
        <w:t>completes the agreement with a supplier, it will be</w:t>
      </w:r>
      <w:r w:rsidRPr="000E4DE7">
        <w:rPr>
          <w:rFonts w:ascii="Book Antiqua" w:hAnsi="Book Antiqua" w:cs="GalliardStd-Roman"/>
          <w:sz w:val="24"/>
          <w:szCs w:val="24"/>
          <w:lang w:val="en-GB"/>
        </w:rPr>
        <w:t xml:space="preserve"> </w:t>
      </w:r>
      <w:r w:rsidRPr="000E4DE7">
        <w:rPr>
          <w:rFonts w:ascii="Book Antiqua" w:hAnsi="Book Antiqua" w:cs="GalliardStd-Roman"/>
          <w:sz w:val="24"/>
          <w:szCs w:val="24"/>
          <w:lang w:val="en-GB"/>
        </w:rPr>
        <w:t>obligated to continue using that supplier for at least</w:t>
      </w:r>
      <w:r w:rsidRPr="000E4DE7">
        <w:rPr>
          <w:rFonts w:ascii="Book Antiqua" w:hAnsi="Book Antiqua" w:cs="GalliardStd-Roman"/>
          <w:sz w:val="24"/>
          <w:szCs w:val="24"/>
          <w:lang w:val="en-GB"/>
        </w:rPr>
        <w:t xml:space="preserve"> </w:t>
      </w:r>
      <w:r w:rsidRPr="000E4DE7">
        <w:rPr>
          <w:rFonts w:ascii="Book Antiqua" w:hAnsi="Book Antiqua" w:cs="GalliardStd-Roman"/>
          <w:sz w:val="24"/>
          <w:szCs w:val="24"/>
          <w:lang w:val="en-GB"/>
        </w:rPr>
        <w:t>3 years. Based on exi</w:t>
      </w:r>
      <w:r>
        <w:rPr>
          <w:rFonts w:ascii="Book Antiqua" w:hAnsi="Book Antiqua" w:cs="GalliardStd-Roman"/>
          <w:sz w:val="24"/>
          <w:szCs w:val="24"/>
          <w:lang w:val="en-GB"/>
        </w:rPr>
        <w:t xml:space="preserve">sting exchange rates, the Ksh. </w:t>
      </w:r>
      <w:r w:rsidRPr="000E4DE7">
        <w:rPr>
          <w:rFonts w:ascii="Book Antiqua" w:hAnsi="Book Antiqua" w:cs="GalliardStd-Roman"/>
          <w:sz w:val="24"/>
          <w:szCs w:val="24"/>
          <w:lang w:val="en-GB"/>
        </w:rPr>
        <w:t>amount to be paid (including transportation</w:t>
      </w:r>
      <w:r w:rsidRPr="000E4DE7">
        <w:rPr>
          <w:rFonts w:ascii="Book Antiqua" w:hAnsi="Book Antiqua" w:cs="GalliardStd-Roman"/>
          <w:sz w:val="24"/>
          <w:szCs w:val="24"/>
          <w:lang w:val="en-GB"/>
        </w:rPr>
        <w:t xml:space="preserve"> </w:t>
      </w:r>
      <w:r w:rsidRPr="000E4DE7">
        <w:rPr>
          <w:rFonts w:ascii="Book Antiqua" w:hAnsi="Book Antiqua" w:cs="GalliardStd-Roman"/>
          <w:sz w:val="24"/>
          <w:szCs w:val="24"/>
          <w:lang w:val="en-GB"/>
        </w:rPr>
        <w:t>costs) will be the same. The firm has no other exposure</w:t>
      </w:r>
      <w:r w:rsidRPr="000E4DE7">
        <w:rPr>
          <w:rFonts w:ascii="Book Antiqua" w:hAnsi="Book Antiqua" w:cs="GalliardStd-Roman"/>
          <w:sz w:val="24"/>
          <w:szCs w:val="24"/>
          <w:lang w:val="en-GB"/>
        </w:rPr>
        <w:t xml:space="preserve"> </w:t>
      </w:r>
      <w:r w:rsidRPr="000E4DE7">
        <w:rPr>
          <w:rFonts w:ascii="Book Antiqua" w:hAnsi="Book Antiqua" w:cs="GalliardStd-Roman"/>
          <w:sz w:val="24"/>
          <w:szCs w:val="24"/>
          <w:lang w:val="en-GB"/>
        </w:rPr>
        <w:t>to exchange rate movements. Given that the</w:t>
      </w:r>
      <w:r w:rsidRPr="000E4DE7">
        <w:rPr>
          <w:rFonts w:ascii="Book Antiqua" w:hAnsi="Book Antiqua" w:cs="GalliardStd-Roman"/>
          <w:sz w:val="24"/>
          <w:szCs w:val="24"/>
          <w:lang w:val="en-GB"/>
        </w:rPr>
        <w:t xml:space="preserve"> </w:t>
      </w:r>
      <w:r w:rsidRPr="000E4DE7">
        <w:rPr>
          <w:rFonts w:ascii="Book Antiqua" w:hAnsi="Book Antiqua" w:cs="GalliardStd-Roman"/>
          <w:sz w:val="24"/>
          <w:szCs w:val="24"/>
          <w:lang w:val="en-GB"/>
        </w:rPr>
        <w:t>firm prefers to have less exchange rate risk, which</w:t>
      </w:r>
      <w:r w:rsidRPr="000E4DE7">
        <w:rPr>
          <w:rFonts w:ascii="Book Antiqua" w:hAnsi="Book Antiqua" w:cs="GalliardStd-Roman"/>
          <w:sz w:val="24"/>
          <w:szCs w:val="24"/>
          <w:lang w:val="en-GB"/>
        </w:rPr>
        <w:t xml:space="preserve"> </w:t>
      </w:r>
      <w:r w:rsidRPr="000E4DE7">
        <w:rPr>
          <w:rFonts w:ascii="Book Antiqua" w:hAnsi="Book Antiqua" w:cs="GalliardStd-Roman"/>
          <w:sz w:val="24"/>
          <w:szCs w:val="24"/>
          <w:lang w:val="en-GB"/>
        </w:rPr>
        <w:t>alternative is preferable? Explain</w:t>
      </w:r>
      <w:r w:rsidR="00DA114B" w:rsidRPr="000E4DE7">
        <w:rPr>
          <w:rFonts w:ascii="Book Antiqua" w:hAnsi="Book Antiqua" w:cs="GalliardStd-Roman"/>
          <w:sz w:val="24"/>
          <w:szCs w:val="24"/>
          <w:lang w:val="en-GB"/>
        </w:rPr>
        <w:t>.</w:t>
      </w:r>
      <w:r w:rsidR="00DA114B">
        <w:rPr>
          <w:rFonts w:ascii="Book Antiqua" w:hAnsi="Book Antiqua" w:cs="GalliardStd-Roman"/>
          <w:sz w:val="24"/>
          <w:szCs w:val="24"/>
          <w:lang w:val="en-GB"/>
        </w:rPr>
        <w:t xml:space="preserve"> (No calculations please).</w:t>
      </w:r>
    </w:p>
    <w:p w:rsidR="00DA114B" w:rsidRPr="00DA114B" w:rsidRDefault="00DA114B" w:rsidP="00DA114B">
      <w:pPr>
        <w:pStyle w:val="ListParagraph"/>
        <w:numPr>
          <w:ilvl w:val="0"/>
          <w:numId w:val="4"/>
        </w:numPr>
        <w:autoSpaceDE w:val="0"/>
        <w:autoSpaceDN w:val="0"/>
        <w:adjustRightInd w:val="0"/>
        <w:spacing w:after="0" w:line="240" w:lineRule="auto"/>
        <w:ind w:left="426"/>
        <w:rPr>
          <w:rFonts w:ascii="Book Antiqua" w:hAnsi="Book Antiqua" w:cs="GalliardStd-Roman"/>
          <w:sz w:val="24"/>
          <w:szCs w:val="24"/>
          <w:lang w:val="en-GB"/>
        </w:rPr>
      </w:pPr>
      <w:r w:rsidRPr="00DA114B">
        <w:rPr>
          <w:rFonts w:ascii="Book Antiqua" w:hAnsi="Book Antiqua" w:cs="GalliardStd-Roman"/>
          <w:sz w:val="24"/>
          <w:szCs w:val="24"/>
          <w:lang w:val="en-GB"/>
        </w:rPr>
        <w:t xml:space="preserve">Assume your Kenya firm currently exports to Uganda </w:t>
      </w:r>
      <w:r w:rsidRPr="00DA114B">
        <w:rPr>
          <w:rFonts w:ascii="Book Antiqua" w:hAnsi="Book Antiqua" w:cs="GalliardStd-Roman"/>
          <w:sz w:val="24"/>
          <w:szCs w:val="24"/>
          <w:lang w:val="en-GB"/>
        </w:rPr>
        <w:t>on a monthly basis. The goods are priced in</w:t>
      </w:r>
      <w:r w:rsidRPr="00DA114B">
        <w:rPr>
          <w:rFonts w:ascii="Book Antiqua" w:hAnsi="Book Antiqua" w:cs="GalliardStd-Roman"/>
          <w:sz w:val="24"/>
          <w:szCs w:val="24"/>
          <w:lang w:val="en-GB"/>
        </w:rPr>
        <w:t xml:space="preserve"> </w:t>
      </w:r>
      <w:r w:rsidRPr="00DA114B">
        <w:rPr>
          <w:rFonts w:ascii="Book Antiqua" w:hAnsi="Book Antiqua" w:cs="GalliardStd-Roman"/>
          <w:sz w:val="24"/>
          <w:szCs w:val="24"/>
          <w:lang w:val="en-GB"/>
        </w:rPr>
        <w:t>pesos. Once material i</w:t>
      </w:r>
      <w:r w:rsidRPr="00DA114B">
        <w:rPr>
          <w:rFonts w:ascii="Book Antiqua" w:hAnsi="Book Antiqua" w:cs="GalliardStd-Roman"/>
          <w:sz w:val="24"/>
          <w:szCs w:val="24"/>
          <w:lang w:val="en-GB"/>
        </w:rPr>
        <w:t xml:space="preserve">s received from a source, it is </w:t>
      </w:r>
      <w:r w:rsidRPr="00DA114B">
        <w:rPr>
          <w:rFonts w:ascii="Book Antiqua" w:hAnsi="Book Antiqua" w:cs="GalliardStd-Roman"/>
          <w:sz w:val="24"/>
          <w:szCs w:val="24"/>
          <w:lang w:val="en-GB"/>
        </w:rPr>
        <w:t>quickly used to pr</w:t>
      </w:r>
      <w:r w:rsidRPr="00DA114B">
        <w:rPr>
          <w:rFonts w:ascii="Book Antiqua" w:hAnsi="Book Antiqua" w:cs="GalliardStd-Roman"/>
          <w:sz w:val="24"/>
          <w:szCs w:val="24"/>
          <w:lang w:val="en-GB"/>
        </w:rPr>
        <w:t>oduce the product in Kenya</w:t>
      </w:r>
      <w:r w:rsidRPr="00DA114B">
        <w:rPr>
          <w:rFonts w:ascii="Book Antiqua" w:hAnsi="Book Antiqua" w:cs="GalliardStd-Roman"/>
          <w:sz w:val="24"/>
          <w:szCs w:val="24"/>
          <w:lang w:val="en-GB"/>
        </w:rPr>
        <w:t xml:space="preserve">, and then the </w:t>
      </w:r>
      <w:r w:rsidRPr="00DA114B">
        <w:rPr>
          <w:rFonts w:ascii="Book Antiqua" w:hAnsi="Book Antiqua" w:cs="GalliardStd-Roman"/>
          <w:sz w:val="24"/>
          <w:szCs w:val="24"/>
          <w:lang w:val="en-GB"/>
        </w:rPr>
        <w:t xml:space="preserve">product is exported. Currently, </w:t>
      </w:r>
      <w:r w:rsidRPr="00DA114B">
        <w:rPr>
          <w:rFonts w:ascii="Book Antiqua" w:hAnsi="Book Antiqua" w:cs="GalliardStd-Roman"/>
          <w:sz w:val="24"/>
          <w:szCs w:val="24"/>
          <w:lang w:val="en-GB"/>
        </w:rPr>
        <w:t>you have no other exposure to exchange rate risk.</w:t>
      </w:r>
    </w:p>
    <w:p w:rsidR="00DA114B" w:rsidRPr="00DA114B" w:rsidRDefault="00DA114B" w:rsidP="00DA114B">
      <w:pPr>
        <w:pStyle w:val="ListParagraph"/>
        <w:autoSpaceDE w:val="0"/>
        <w:autoSpaceDN w:val="0"/>
        <w:adjustRightInd w:val="0"/>
        <w:spacing w:after="0" w:line="240" w:lineRule="auto"/>
        <w:ind w:left="426"/>
        <w:rPr>
          <w:rFonts w:ascii="Book Antiqua" w:hAnsi="Book Antiqua" w:cs="GalliardStd-Roman"/>
          <w:sz w:val="24"/>
          <w:szCs w:val="24"/>
          <w:lang w:val="en-GB"/>
        </w:rPr>
      </w:pPr>
    </w:p>
    <w:p w:rsidR="00DA114B" w:rsidRPr="00DA114B" w:rsidRDefault="00DA114B" w:rsidP="00DA114B">
      <w:pPr>
        <w:pStyle w:val="ListParagraph"/>
        <w:autoSpaceDE w:val="0"/>
        <w:autoSpaceDN w:val="0"/>
        <w:adjustRightInd w:val="0"/>
        <w:spacing w:after="0" w:line="240" w:lineRule="auto"/>
        <w:ind w:left="426"/>
        <w:rPr>
          <w:rFonts w:ascii="Book Antiqua" w:hAnsi="Book Antiqua" w:cs="GalliardStd-Roman"/>
          <w:sz w:val="24"/>
          <w:szCs w:val="24"/>
          <w:lang w:val="en-GB"/>
        </w:rPr>
      </w:pPr>
      <w:r w:rsidRPr="00DA114B">
        <w:rPr>
          <w:rFonts w:ascii="Book Antiqua" w:hAnsi="Book Antiqua" w:cs="GalliardStd-Roman"/>
          <w:sz w:val="24"/>
          <w:szCs w:val="24"/>
          <w:lang w:val="en-GB"/>
        </w:rPr>
        <w:t xml:space="preserve">You have a choice </w:t>
      </w:r>
      <w:r w:rsidRPr="00DA114B">
        <w:rPr>
          <w:rFonts w:ascii="Book Antiqua" w:hAnsi="Book Antiqua" w:cs="GalliardStd-Roman"/>
          <w:sz w:val="24"/>
          <w:szCs w:val="24"/>
          <w:lang w:val="en-GB"/>
        </w:rPr>
        <w:t>of purchasing the material from Tanzania (denominated in Tsh.), from Uganda</w:t>
      </w:r>
      <w:r w:rsidRPr="00DA114B">
        <w:rPr>
          <w:rFonts w:ascii="Book Antiqua" w:hAnsi="Book Antiqua" w:cs="GalliardStd-Roman"/>
          <w:sz w:val="24"/>
          <w:szCs w:val="24"/>
          <w:lang w:val="en-GB"/>
        </w:rPr>
        <w:t xml:space="preserve"> (denominated</w:t>
      </w:r>
      <w:r w:rsidRPr="00DA114B">
        <w:rPr>
          <w:rFonts w:ascii="Book Antiqua" w:hAnsi="Book Antiqua" w:cs="GalliardStd-Roman"/>
          <w:sz w:val="24"/>
          <w:szCs w:val="24"/>
          <w:lang w:val="en-GB"/>
        </w:rPr>
        <w:t xml:space="preserve"> In Ush.), or from within Kenya (denominated in Ksh.). The quality </w:t>
      </w:r>
      <w:r w:rsidRPr="00DA114B">
        <w:rPr>
          <w:rFonts w:ascii="Book Antiqua" w:hAnsi="Book Antiqua" w:cs="GalliardStd-Roman"/>
          <w:sz w:val="24"/>
          <w:szCs w:val="24"/>
          <w:lang w:val="en-GB"/>
        </w:rPr>
        <w:t>and your expected co</w:t>
      </w:r>
      <w:r w:rsidRPr="00DA114B">
        <w:rPr>
          <w:rFonts w:ascii="Book Antiqua" w:hAnsi="Book Antiqua" w:cs="GalliardStd-Roman"/>
          <w:sz w:val="24"/>
          <w:szCs w:val="24"/>
          <w:lang w:val="en-GB"/>
        </w:rPr>
        <w:t xml:space="preserve">st are similar across the three </w:t>
      </w:r>
      <w:r w:rsidRPr="00DA114B">
        <w:rPr>
          <w:rFonts w:ascii="Book Antiqua" w:hAnsi="Book Antiqua" w:cs="GalliardStd-Roman"/>
          <w:sz w:val="24"/>
          <w:szCs w:val="24"/>
          <w:lang w:val="en-GB"/>
        </w:rPr>
        <w:t>sources. Which sourc</w:t>
      </w:r>
      <w:r w:rsidRPr="00DA114B">
        <w:rPr>
          <w:rFonts w:ascii="Book Antiqua" w:hAnsi="Book Antiqua" w:cs="GalliardStd-Roman"/>
          <w:sz w:val="24"/>
          <w:szCs w:val="24"/>
          <w:lang w:val="en-GB"/>
        </w:rPr>
        <w:t xml:space="preserve">e is preferable, given that you </w:t>
      </w:r>
      <w:r w:rsidRPr="00DA114B">
        <w:rPr>
          <w:rFonts w:ascii="Book Antiqua" w:hAnsi="Book Antiqua" w:cs="GalliardStd-Roman"/>
          <w:sz w:val="24"/>
          <w:szCs w:val="24"/>
          <w:lang w:val="en-GB"/>
        </w:rPr>
        <w:t>prefer minimal exchange rate risk?</w:t>
      </w:r>
    </w:p>
    <w:p w:rsidR="005C6234" w:rsidRDefault="00DA114B" w:rsidP="005C6234">
      <w:pPr>
        <w:pStyle w:val="ListParagraph"/>
        <w:numPr>
          <w:ilvl w:val="0"/>
          <w:numId w:val="4"/>
        </w:numPr>
        <w:autoSpaceDE w:val="0"/>
        <w:autoSpaceDN w:val="0"/>
        <w:adjustRightInd w:val="0"/>
        <w:spacing w:after="0" w:line="240" w:lineRule="auto"/>
        <w:ind w:left="426"/>
        <w:rPr>
          <w:rFonts w:ascii="Book Antiqua" w:hAnsi="Book Antiqua" w:cs="GalliardStd-Roman"/>
          <w:sz w:val="24"/>
          <w:szCs w:val="24"/>
          <w:lang w:val="en-GB"/>
        </w:rPr>
      </w:pPr>
      <w:r w:rsidRPr="00DA114B">
        <w:rPr>
          <w:rFonts w:ascii="Book Antiqua" w:hAnsi="Book Antiqua" w:cs="GalliardStd-Roman"/>
          <w:sz w:val="24"/>
          <w:szCs w:val="24"/>
          <w:lang w:val="en-GB"/>
        </w:rPr>
        <w:lastRenderedPageBreak/>
        <w:t>Using the inform</w:t>
      </w:r>
      <w:r w:rsidRPr="00DA114B">
        <w:rPr>
          <w:rFonts w:ascii="Book Antiqua" w:hAnsi="Book Antiqua" w:cs="GalliardStd-Roman"/>
          <w:sz w:val="24"/>
          <w:szCs w:val="24"/>
          <w:lang w:val="en-GB"/>
        </w:rPr>
        <w:t xml:space="preserve">ation in the previous question, </w:t>
      </w:r>
      <w:r w:rsidRPr="00DA114B">
        <w:rPr>
          <w:rFonts w:ascii="Book Antiqua" w:hAnsi="Book Antiqua" w:cs="GalliardStd-Roman"/>
          <w:sz w:val="24"/>
          <w:szCs w:val="24"/>
          <w:lang w:val="en-GB"/>
        </w:rPr>
        <w:t>consider a pr</w:t>
      </w:r>
      <w:r>
        <w:rPr>
          <w:rFonts w:ascii="Book Antiqua" w:hAnsi="Book Antiqua" w:cs="GalliardStd-Roman"/>
          <w:sz w:val="24"/>
          <w:szCs w:val="24"/>
          <w:lang w:val="en-GB"/>
        </w:rPr>
        <w:t>oposal to price the exports to Uganda</w:t>
      </w:r>
      <w:r w:rsidRPr="00DA114B">
        <w:rPr>
          <w:rFonts w:ascii="Book Antiqua" w:hAnsi="Book Antiqua" w:cs="GalliardStd-Roman"/>
          <w:sz w:val="24"/>
          <w:szCs w:val="24"/>
          <w:lang w:val="en-GB"/>
        </w:rPr>
        <w:t xml:space="preserve"> </w:t>
      </w:r>
      <w:r>
        <w:rPr>
          <w:rFonts w:ascii="Book Antiqua" w:hAnsi="Book Antiqua" w:cs="GalliardStd-Roman"/>
          <w:sz w:val="24"/>
          <w:szCs w:val="24"/>
          <w:lang w:val="en-GB"/>
        </w:rPr>
        <w:t>in Ksh.</w:t>
      </w:r>
      <w:r w:rsidRPr="00DA114B">
        <w:rPr>
          <w:rFonts w:ascii="Book Antiqua" w:hAnsi="Book Antiqua" w:cs="GalliardStd-Roman"/>
          <w:sz w:val="24"/>
          <w:szCs w:val="24"/>
          <w:lang w:val="en-GB"/>
        </w:rPr>
        <w:t xml:space="preserve"> and to us</w:t>
      </w:r>
      <w:r>
        <w:rPr>
          <w:rFonts w:ascii="Book Antiqua" w:hAnsi="Book Antiqua" w:cs="GalliardStd-Roman"/>
          <w:sz w:val="24"/>
          <w:szCs w:val="24"/>
          <w:lang w:val="en-GB"/>
        </w:rPr>
        <w:t xml:space="preserve">e the Kenya </w:t>
      </w:r>
      <w:r w:rsidRPr="00DA114B">
        <w:rPr>
          <w:rFonts w:ascii="Book Antiqua" w:hAnsi="Book Antiqua" w:cs="GalliardStd-Roman"/>
          <w:sz w:val="24"/>
          <w:szCs w:val="24"/>
          <w:lang w:val="en-GB"/>
        </w:rPr>
        <w:t xml:space="preserve">source for material. </w:t>
      </w:r>
      <w:r w:rsidRPr="00DA114B">
        <w:rPr>
          <w:rFonts w:ascii="Book Antiqua" w:hAnsi="Book Antiqua" w:cs="GalliardStd-Roman"/>
          <w:sz w:val="24"/>
          <w:szCs w:val="24"/>
          <w:lang w:val="en-GB"/>
        </w:rPr>
        <w:t>Would this proposal eliminate the exchange rate</w:t>
      </w:r>
      <w:r w:rsidRPr="00DA114B">
        <w:rPr>
          <w:rFonts w:ascii="Book Antiqua" w:hAnsi="Book Antiqua" w:cs="GalliardStd-Roman"/>
          <w:sz w:val="24"/>
          <w:szCs w:val="24"/>
          <w:lang w:val="en-GB"/>
        </w:rPr>
        <w:t xml:space="preserve"> </w:t>
      </w:r>
      <w:r w:rsidRPr="00DA114B">
        <w:rPr>
          <w:rFonts w:ascii="Book Antiqua" w:hAnsi="Book Antiqua" w:cs="GalliardStd-Roman"/>
          <w:sz w:val="24"/>
          <w:szCs w:val="24"/>
          <w:lang w:val="en-GB"/>
        </w:rPr>
        <w:t>risk?</w:t>
      </w:r>
    </w:p>
    <w:p w:rsidR="00E73801" w:rsidRDefault="005C6234" w:rsidP="00D35BAA">
      <w:pPr>
        <w:pStyle w:val="ListParagraph"/>
        <w:numPr>
          <w:ilvl w:val="0"/>
          <w:numId w:val="4"/>
        </w:numPr>
        <w:autoSpaceDE w:val="0"/>
        <w:autoSpaceDN w:val="0"/>
        <w:adjustRightInd w:val="0"/>
        <w:spacing w:after="0" w:line="240" w:lineRule="auto"/>
        <w:ind w:left="426"/>
        <w:rPr>
          <w:rFonts w:ascii="Book Antiqua" w:hAnsi="Book Antiqua" w:cs="GalliardStd-Roman"/>
          <w:sz w:val="24"/>
          <w:szCs w:val="24"/>
          <w:lang w:val="en-GB"/>
        </w:rPr>
      </w:pPr>
      <w:r w:rsidRPr="005C6234">
        <w:rPr>
          <w:rFonts w:ascii="Book Antiqua" w:hAnsi="Book Antiqua" w:cs="GalliardStd-Roman"/>
          <w:sz w:val="24"/>
          <w:szCs w:val="24"/>
          <w:lang w:val="en-GB"/>
        </w:rPr>
        <w:t>Assume that the Ksh.</w:t>
      </w:r>
      <w:r w:rsidRPr="005C6234">
        <w:rPr>
          <w:rFonts w:ascii="Book Antiqua" w:hAnsi="Book Antiqua" w:cs="GalliardStd-Roman"/>
          <w:sz w:val="24"/>
          <w:szCs w:val="24"/>
          <w:lang w:val="en-GB"/>
        </w:rPr>
        <w:t xml:space="preserve"> is expected to strengthen</w:t>
      </w:r>
      <w:r w:rsidRPr="005C6234">
        <w:rPr>
          <w:rFonts w:ascii="Book Antiqua" w:hAnsi="Book Antiqua" w:cs="GalliardStd-Roman"/>
          <w:sz w:val="24"/>
          <w:szCs w:val="24"/>
          <w:lang w:val="en-GB"/>
        </w:rPr>
        <w:t xml:space="preserve"> against the Ush. </w:t>
      </w:r>
      <w:r w:rsidRPr="005C6234">
        <w:rPr>
          <w:rFonts w:ascii="Book Antiqua" w:hAnsi="Book Antiqua" w:cs="GalliardStd-Roman"/>
          <w:sz w:val="24"/>
          <w:szCs w:val="24"/>
          <w:lang w:val="en-GB"/>
        </w:rPr>
        <w:t>over the next several years. Explain</w:t>
      </w:r>
      <w:r w:rsidRPr="005C6234">
        <w:rPr>
          <w:rFonts w:ascii="Book Antiqua" w:hAnsi="Book Antiqua" w:cs="GalliardStd-Roman"/>
          <w:sz w:val="24"/>
          <w:szCs w:val="24"/>
          <w:lang w:val="en-GB"/>
        </w:rPr>
        <w:t xml:space="preserve"> </w:t>
      </w:r>
      <w:r w:rsidRPr="005C6234">
        <w:rPr>
          <w:rFonts w:ascii="Book Antiqua" w:hAnsi="Book Antiqua" w:cs="GalliardStd-Roman"/>
          <w:sz w:val="24"/>
          <w:szCs w:val="24"/>
          <w:lang w:val="en-GB"/>
        </w:rPr>
        <w:t>how this will affect the consolidated earnings of</w:t>
      </w:r>
      <w:r w:rsidRPr="005C6234">
        <w:rPr>
          <w:rFonts w:ascii="Book Antiqua" w:hAnsi="Book Antiqua" w:cs="GalliardStd-Roman"/>
          <w:sz w:val="24"/>
          <w:szCs w:val="24"/>
          <w:lang w:val="en-GB"/>
        </w:rPr>
        <w:t xml:space="preserve"> Kenya</w:t>
      </w:r>
      <w:r w:rsidRPr="005C6234">
        <w:rPr>
          <w:rFonts w:ascii="Book Antiqua" w:hAnsi="Book Antiqua" w:cs="GalliardStd-Roman"/>
          <w:sz w:val="24"/>
          <w:szCs w:val="24"/>
          <w:lang w:val="en-GB"/>
        </w:rPr>
        <w:t xml:space="preserve">-based </w:t>
      </w:r>
      <w:r w:rsidRPr="005C6234">
        <w:rPr>
          <w:rFonts w:ascii="Book Antiqua" w:hAnsi="Book Antiqua" w:cs="GalliardStd-Roman"/>
          <w:sz w:val="24"/>
          <w:szCs w:val="24"/>
          <w:lang w:val="en-GB"/>
        </w:rPr>
        <w:t>MNCs with subsidiaries in Uganda</w:t>
      </w:r>
      <w:r w:rsidRPr="005C6234">
        <w:rPr>
          <w:rFonts w:ascii="Book Antiqua" w:hAnsi="Book Antiqua" w:cs="GalliardStd-Roman"/>
          <w:sz w:val="24"/>
          <w:szCs w:val="24"/>
          <w:lang w:val="en-GB"/>
        </w:rPr>
        <w:t>.</w:t>
      </w:r>
    </w:p>
    <w:p w:rsidR="00E73801" w:rsidRPr="00E73801" w:rsidRDefault="00D35BAA" w:rsidP="00D35BAA">
      <w:pPr>
        <w:pStyle w:val="ListParagraph"/>
        <w:numPr>
          <w:ilvl w:val="0"/>
          <w:numId w:val="4"/>
        </w:numPr>
        <w:autoSpaceDE w:val="0"/>
        <w:autoSpaceDN w:val="0"/>
        <w:adjustRightInd w:val="0"/>
        <w:spacing w:after="0" w:line="240" w:lineRule="auto"/>
        <w:ind w:left="426"/>
        <w:rPr>
          <w:rFonts w:ascii="Book Antiqua" w:hAnsi="Book Antiqua" w:cs="GalliardStd-Roman"/>
          <w:sz w:val="24"/>
          <w:szCs w:val="24"/>
          <w:lang w:val="en-GB"/>
        </w:rPr>
      </w:pPr>
      <w:r w:rsidRPr="00E73801">
        <w:rPr>
          <w:rFonts w:ascii="Book Antiqua" w:hAnsi="Book Antiqua" w:cs="GalliardStd-Roman"/>
          <w:sz w:val="24"/>
          <w:szCs w:val="24"/>
          <w:lang w:val="en-GB"/>
        </w:rPr>
        <w:t xml:space="preserve">Compare </w:t>
      </w:r>
      <w:r w:rsidRPr="00E73801">
        <w:rPr>
          <w:rFonts w:ascii="Book Antiqua" w:hAnsi="Book Antiqua" w:cs="GalliardStd-Roman"/>
          <w:sz w:val="24"/>
          <w:szCs w:val="24"/>
          <w:lang w:val="en-GB"/>
        </w:rPr>
        <w:t>and contrast tr</w:t>
      </w:r>
      <w:r w:rsidRPr="00E73801">
        <w:rPr>
          <w:rFonts w:ascii="Book Antiqua" w:hAnsi="Book Antiqua" w:cs="GalliardStd-Roman"/>
          <w:sz w:val="24"/>
          <w:szCs w:val="24"/>
          <w:lang w:val="en-GB"/>
        </w:rPr>
        <w:t xml:space="preserve">ansaction exposure and economic </w:t>
      </w:r>
      <w:r w:rsidRPr="00E73801">
        <w:rPr>
          <w:rFonts w:ascii="Book Antiqua" w:hAnsi="Book Antiqua" w:cs="GalliardStd-Roman"/>
          <w:sz w:val="24"/>
          <w:szCs w:val="24"/>
          <w:lang w:val="en-GB"/>
        </w:rPr>
        <w:t xml:space="preserve">exposure. Why </w:t>
      </w:r>
      <w:r w:rsidRPr="00E73801">
        <w:rPr>
          <w:rFonts w:ascii="Book Antiqua" w:hAnsi="Book Antiqua" w:cs="GalliardStd-Roman"/>
          <w:sz w:val="24"/>
          <w:szCs w:val="24"/>
          <w:lang w:val="en-GB"/>
        </w:rPr>
        <w:t xml:space="preserve">would an MNC consider examining </w:t>
      </w:r>
      <w:r w:rsidRPr="00E73801">
        <w:rPr>
          <w:rFonts w:ascii="Book Antiqua" w:hAnsi="Book Antiqua" w:cs="GalliardStd-Roman"/>
          <w:sz w:val="24"/>
          <w:szCs w:val="24"/>
          <w:lang w:val="en-GB"/>
        </w:rPr>
        <w:t xml:space="preserve">only its “net” cash flows </w:t>
      </w:r>
      <w:r w:rsidRPr="00E73801">
        <w:rPr>
          <w:rFonts w:ascii="Book Antiqua" w:hAnsi="Book Antiqua" w:cs="GalliardStd-Roman"/>
          <w:sz w:val="24"/>
          <w:szCs w:val="24"/>
          <w:lang w:val="en-GB"/>
        </w:rPr>
        <w:t xml:space="preserve">in each currency when assessing </w:t>
      </w:r>
      <w:r w:rsidRPr="00E73801">
        <w:rPr>
          <w:rFonts w:ascii="Book Antiqua" w:hAnsi="Book Antiqua" w:cs="GalliardStd-Roman"/>
          <w:sz w:val="24"/>
          <w:szCs w:val="24"/>
          <w:lang w:val="en-GB"/>
        </w:rPr>
        <w:t>its transaction exposure?</w:t>
      </w:r>
    </w:p>
    <w:p w:rsidR="00E73801" w:rsidRDefault="00D35BAA" w:rsidP="00E73801">
      <w:pPr>
        <w:pStyle w:val="ListParagraph"/>
        <w:numPr>
          <w:ilvl w:val="0"/>
          <w:numId w:val="4"/>
        </w:numPr>
        <w:autoSpaceDE w:val="0"/>
        <w:autoSpaceDN w:val="0"/>
        <w:adjustRightInd w:val="0"/>
        <w:spacing w:after="0" w:line="240" w:lineRule="auto"/>
        <w:ind w:left="426"/>
        <w:rPr>
          <w:rFonts w:ascii="Book Antiqua" w:hAnsi="Book Antiqua" w:cs="GalliardStd-Roman"/>
          <w:sz w:val="24"/>
          <w:szCs w:val="24"/>
          <w:lang w:val="en-GB"/>
        </w:rPr>
      </w:pPr>
      <w:r w:rsidRPr="00E73801">
        <w:rPr>
          <w:rFonts w:ascii="Book Antiqua" w:hAnsi="Book Antiqua" w:cs="GalliardStd-Roman"/>
          <w:sz w:val="24"/>
          <w:szCs w:val="24"/>
          <w:lang w:val="en-GB"/>
        </w:rPr>
        <w:t xml:space="preserve">Your employer, </w:t>
      </w:r>
      <w:r w:rsidRPr="00E73801">
        <w:rPr>
          <w:rFonts w:ascii="Book Antiqua" w:hAnsi="Book Antiqua" w:cs="GalliardStd-Roman"/>
          <w:sz w:val="24"/>
          <w:szCs w:val="24"/>
          <w:lang w:val="en-GB"/>
        </w:rPr>
        <w:t>a large MNC, has aske</w:t>
      </w:r>
      <w:r w:rsidRPr="00E73801">
        <w:rPr>
          <w:rFonts w:ascii="Book Antiqua" w:hAnsi="Book Antiqua" w:cs="GalliardStd-Roman"/>
          <w:sz w:val="24"/>
          <w:szCs w:val="24"/>
          <w:lang w:val="en-GB"/>
        </w:rPr>
        <w:t xml:space="preserve">d you to assess its transaction </w:t>
      </w:r>
      <w:r w:rsidRPr="00E73801">
        <w:rPr>
          <w:rFonts w:ascii="Book Antiqua" w:hAnsi="Book Antiqua" w:cs="GalliardStd-Roman"/>
          <w:sz w:val="24"/>
          <w:szCs w:val="24"/>
          <w:lang w:val="en-GB"/>
        </w:rPr>
        <w:t>exposur</w:t>
      </w:r>
      <w:r w:rsidRPr="00E73801">
        <w:rPr>
          <w:rFonts w:ascii="Book Antiqua" w:hAnsi="Book Antiqua" w:cs="GalliardStd-Roman"/>
          <w:sz w:val="24"/>
          <w:szCs w:val="24"/>
          <w:lang w:val="en-GB"/>
        </w:rPr>
        <w:t xml:space="preserve">e. Its projected cash flows are </w:t>
      </w:r>
      <w:r w:rsidRPr="00E73801">
        <w:rPr>
          <w:rFonts w:ascii="Book Antiqua" w:hAnsi="Book Antiqua" w:cs="GalliardStd-Roman"/>
          <w:sz w:val="24"/>
          <w:szCs w:val="24"/>
          <w:lang w:val="en-GB"/>
        </w:rPr>
        <w:t>as follows for t</w:t>
      </w:r>
      <w:r w:rsidRPr="00E73801">
        <w:rPr>
          <w:rFonts w:ascii="Book Antiqua" w:hAnsi="Book Antiqua" w:cs="GalliardStd-Roman"/>
          <w:sz w:val="24"/>
          <w:szCs w:val="24"/>
          <w:lang w:val="en-GB"/>
        </w:rPr>
        <w:t xml:space="preserve">he next year. </w:t>
      </w:r>
      <w:r w:rsidR="00E73801" w:rsidRPr="00E73801">
        <w:rPr>
          <w:rFonts w:ascii="Book Antiqua" w:hAnsi="Book Antiqua" w:cs="GalliardStd-Roman"/>
          <w:sz w:val="24"/>
          <w:szCs w:val="24"/>
          <w:lang w:val="en-GB"/>
        </w:rPr>
        <w:t>Zambian Kwacha</w:t>
      </w:r>
      <w:r w:rsidRPr="00E73801">
        <w:rPr>
          <w:rFonts w:ascii="Book Antiqua" w:hAnsi="Book Antiqua" w:cs="GalliardStd-Roman"/>
          <w:sz w:val="24"/>
          <w:szCs w:val="24"/>
          <w:lang w:val="en-GB"/>
        </w:rPr>
        <w:t xml:space="preserve"> infl</w:t>
      </w:r>
      <w:r w:rsidRPr="00E73801">
        <w:rPr>
          <w:rFonts w:ascii="Book Antiqua" w:hAnsi="Book Antiqua" w:cs="GalliardStd-Roman"/>
          <w:sz w:val="24"/>
          <w:szCs w:val="24"/>
          <w:lang w:val="en-GB"/>
        </w:rPr>
        <w:t>ows</w:t>
      </w:r>
      <w:r w:rsidR="00E73801" w:rsidRPr="00E73801">
        <w:rPr>
          <w:rFonts w:ascii="Book Antiqua" w:hAnsi="Book Antiqua" w:cs="GalliardStd-Roman"/>
          <w:sz w:val="24"/>
          <w:szCs w:val="24"/>
          <w:lang w:val="en-GB"/>
        </w:rPr>
        <w:t xml:space="preserve"> equal </w:t>
      </w:r>
      <w:r w:rsidRPr="00E73801">
        <w:rPr>
          <w:rFonts w:ascii="Book Antiqua" w:hAnsi="Book Antiqua" w:cs="GalliardStd-Roman"/>
          <w:sz w:val="24"/>
          <w:szCs w:val="24"/>
          <w:lang w:val="en-GB"/>
        </w:rPr>
        <w:t xml:space="preserve">50,000,000 while outflows equal </w:t>
      </w:r>
      <w:r w:rsidRPr="00E73801">
        <w:rPr>
          <w:rFonts w:ascii="Book Antiqua" w:hAnsi="Book Antiqua" w:cs="GalliardStd-Roman"/>
          <w:sz w:val="24"/>
          <w:szCs w:val="24"/>
          <w:lang w:val="en-GB"/>
        </w:rPr>
        <w:t>40,000,00</w:t>
      </w:r>
      <w:r w:rsidR="00E73801" w:rsidRPr="00E73801">
        <w:rPr>
          <w:rFonts w:ascii="Book Antiqua" w:hAnsi="Book Antiqua" w:cs="GalliardStd-Roman"/>
          <w:sz w:val="24"/>
          <w:szCs w:val="24"/>
          <w:lang w:val="en-GB"/>
        </w:rPr>
        <w:t>0. South African Rand</w:t>
      </w:r>
      <w:r w:rsidRPr="00E73801">
        <w:rPr>
          <w:rFonts w:ascii="Book Antiqua" w:hAnsi="Book Antiqua" w:cs="GalliardStd-Roman"/>
          <w:sz w:val="24"/>
          <w:szCs w:val="24"/>
          <w:lang w:val="en-GB"/>
        </w:rPr>
        <w:t xml:space="preserve"> inflows equal 2,000,000 while outfl</w:t>
      </w:r>
      <w:r w:rsidR="00E73801" w:rsidRPr="00E73801">
        <w:rPr>
          <w:rFonts w:ascii="Book Antiqua" w:hAnsi="Book Antiqua" w:cs="GalliardStd-Roman"/>
          <w:sz w:val="24"/>
          <w:szCs w:val="24"/>
          <w:lang w:val="en-GB"/>
        </w:rPr>
        <w:t xml:space="preserve">ows equal </w:t>
      </w:r>
      <w:r w:rsidRPr="00E73801">
        <w:rPr>
          <w:rFonts w:ascii="Book Antiqua" w:hAnsi="Book Antiqua" w:cs="GalliardStd-Roman"/>
          <w:sz w:val="24"/>
          <w:szCs w:val="24"/>
          <w:lang w:val="en-GB"/>
        </w:rPr>
        <w:t>1,000,000.</w:t>
      </w:r>
      <w:r w:rsidR="00E73801" w:rsidRPr="00E73801">
        <w:rPr>
          <w:rFonts w:ascii="Book Antiqua" w:hAnsi="Book Antiqua" w:cs="GalliardStd-Roman"/>
          <w:sz w:val="24"/>
          <w:szCs w:val="24"/>
          <w:lang w:val="en-GB"/>
        </w:rPr>
        <w:t xml:space="preserve"> </w:t>
      </w:r>
      <w:r w:rsidRPr="00E73801">
        <w:rPr>
          <w:rFonts w:ascii="Book Antiqua" w:hAnsi="Book Antiqua" w:cs="GalliardStd-Roman"/>
          <w:sz w:val="24"/>
          <w:szCs w:val="24"/>
          <w:lang w:val="en-GB"/>
        </w:rPr>
        <w:t>The spot rate of th</w:t>
      </w:r>
      <w:r w:rsidR="00E73801" w:rsidRPr="00E73801">
        <w:rPr>
          <w:rFonts w:ascii="Book Antiqua" w:hAnsi="Book Antiqua" w:cs="GalliardStd-Roman"/>
          <w:sz w:val="24"/>
          <w:szCs w:val="24"/>
          <w:lang w:val="en-GB"/>
        </w:rPr>
        <w:t>e Kwacha is Ksh 0</w:t>
      </w:r>
      <w:r w:rsidRPr="00E73801">
        <w:rPr>
          <w:rFonts w:ascii="Book Antiqua" w:hAnsi="Book Antiqua" w:cs="GalliardStd-Roman"/>
          <w:sz w:val="24"/>
          <w:szCs w:val="24"/>
          <w:lang w:val="en-GB"/>
        </w:rPr>
        <w:t xml:space="preserve">.15, while the spot </w:t>
      </w:r>
      <w:r w:rsidR="00E73801" w:rsidRPr="00E73801">
        <w:rPr>
          <w:rFonts w:ascii="Book Antiqua" w:hAnsi="Book Antiqua" w:cs="GalliardStd-Roman"/>
          <w:sz w:val="24"/>
          <w:szCs w:val="24"/>
          <w:lang w:val="en-GB"/>
        </w:rPr>
        <w:t>rate of the Rand is Ksh. 10</w:t>
      </w:r>
      <w:r w:rsidRPr="00E73801">
        <w:rPr>
          <w:rFonts w:ascii="Book Antiqua" w:hAnsi="Book Antiqua" w:cs="GalliardStd-Roman"/>
          <w:sz w:val="24"/>
          <w:szCs w:val="24"/>
          <w:lang w:val="en-GB"/>
        </w:rPr>
        <w:t xml:space="preserve">. Assume that the movements </w:t>
      </w:r>
      <w:r w:rsidRPr="00E73801">
        <w:rPr>
          <w:rFonts w:ascii="Book Antiqua" w:hAnsi="Book Antiqua" w:cs="GalliardStd-Roman"/>
          <w:sz w:val="24"/>
          <w:szCs w:val="24"/>
          <w:lang w:val="en-GB"/>
        </w:rPr>
        <w:t xml:space="preserve">in the </w:t>
      </w:r>
      <w:r w:rsidR="00E73801" w:rsidRPr="00E73801">
        <w:rPr>
          <w:rFonts w:ascii="Book Antiqua" w:hAnsi="Book Antiqua" w:cs="GalliardStd-Roman"/>
          <w:sz w:val="24"/>
          <w:szCs w:val="24"/>
          <w:lang w:val="en-GB"/>
        </w:rPr>
        <w:t xml:space="preserve">Kwacha and the Rand </w:t>
      </w:r>
      <w:r w:rsidRPr="00E73801">
        <w:rPr>
          <w:rFonts w:ascii="Book Antiqua" w:hAnsi="Book Antiqua" w:cs="GalliardStd-Roman"/>
          <w:sz w:val="24"/>
          <w:szCs w:val="24"/>
          <w:lang w:val="en-GB"/>
        </w:rPr>
        <w:t>are highly correlated</w:t>
      </w:r>
      <w:r w:rsidRPr="00E73801">
        <w:rPr>
          <w:rFonts w:ascii="Book Antiqua" w:hAnsi="Book Antiqua" w:cs="GalliardStd-Roman"/>
          <w:sz w:val="24"/>
          <w:szCs w:val="24"/>
          <w:lang w:val="en-GB"/>
        </w:rPr>
        <w:t xml:space="preserve">. Provide your assessment as </w:t>
      </w:r>
      <w:r w:rsidRPr="00E73801">
        <w:rPr>
          <w:rFonts w:ascii="Book Antiqua" w:hAnsi="Book Antiqua" w:cs="GalliardStd-Roman"/>
          <w:sz w:val="24"/>
          <w:szCs w:val="24"/>
          <w:lang w:val="en-GB"/>
        </w:rPr>
        <w:t>to your firm’s degree</w:t>
      </w:r>
      <w:r w:rsidRPr="00E73801">
        <w:rPr>
          <w:rFonts w:ascii="Book Antiqua" w:hAnsi="Book Antiqua" w:cs="GalliardStd-Roman"/>
          <w:sz w:val="24"/>
          <w:szCs w:val="24"/>
          <w:lang w:val="en-GB"/>
        </w:rPr>
        <w:t xml:space="preserve"> of transaction exposure (as to </w:t>
      </w:r>
      <w:r w:rsidRPr="00E73801">
        <w:rPr>
          <w:rFonts w:ascii="Book Antiqua" w:hAnsi="Book Antiqua" w:cs="GalliardStd-Roman"/>
          <w:sz w:val="24"/>
          <w:szCs w:val="24"/>
          <w:lang w:val="en-GB"/>
        </w:rPr>
        <w:t>whether the exposur</w:t>
      </w:r>
      <w:r w:rsidRPr="00E73801">
        <w:rPr>
          <w:rFonts w:ascii="Book Antiqua" w:hAnsi="Book Antiqua" w:cs="GalliardStd-Roman"/>
          <w:sz w:val="24"/>
          <w:szCs w:val="24"/>
          <w:lang w:val="en-GB"/>
        </w:rPr>
        <w:t xml:space="preserve">e is high or low). Substantiate </w:t>
      </w:r>
      <w:r w:rsidRPr="00E73801">
        <w:rPr>
          <w:rFonts w:ascii="Book Antiqua" w:hAnsi="Book Antiqua" w:cs="GalliardStd-Roman"/>
          <w:sz w:val="24"/>
          <w:szCs w:val="24"/>
          <w:lang w:val="en-GB"/>
        </w:rPr>
        <w:t>your answer.</w:t>
      </w:r>
    </w:p>
    <w:p w:rsidR="00E73801" w:rsidRDefault="00E73801" w:rsidP="00E73801">
      <w:pPr>
        <w:pStyle w:val="ListParagraph"/>
        <w:numPr>
          <w:ilvl w:val="0"/>
          <w:numId w:val="4"/>
        </w:numPr>
        <w:autoSpaceDE w:val="0"/>
        <w:autoSpaceDN w:val="0"/>
        <w:adjustRightInd w:val="0"/>
        <w:spacing w:after="0" w:line="240" w:lineRule="auto"/>
        <w:ind w:left="426"/>
        <w:rPr>
          <w:rFonts w:ascii="Book Antiqua" w:hAnsi="Book Antiqua" w:cs="GalliardStd-Roman"/>
          <w:sz w:val="24"/>
          <w:szCs w:val="24"/>
          <w:lang w:val="en-GB"/>
        </w:rPr>
      </w:pPr>
      <w:r w:rsidRPr="00E73801">
        <w:rPr>
          <w:rFonts w:ascii="Book Antiqua" w:hAnsi="Book Antiqua" w:cs="GalliardStd-Roman"/>
          <w:sz w:val="24"/>
          <w:szCs w:val="24"/>
          <w:lang w:val="en-GB"/>
        </w:rPr>
        <w:t>Nyeri</w:t>
      </w:r>
      <w:r w:rsidRPr="00E73801">
        <w:rPr>
          <w:rFonts w:ascii="Book Antiqua" w:hAnsi="Book Antiqua" w:cs="GalliardStd-Roman"/>
          <w:sz w:val="24"/>
          <w:szCs w:val="24"/>
          <w:lang w:val="en-GB"/>
        </w:rPr>
        <w:t>, Inc., produces furniture</w:t>
      </w:r>
      <w:r w:rsidRPr="00E73801">
        <w:rPr>
          <w:rFonts w:ascii="Book Antiqua" w:hAnsi="Book Antiqua" w:cs="GalliardStd-Roman"/>
          <w:sz w:val="24"/>
          <w:szCs w:val="24"/>
          <w:lang w:val="en-GB"/>
        </w:rPr>
        <w:t xml:space="preserve"> </w:t>
      </w:r>
      <w:r w:rsidRPr="00E73801">
        <w:rPr>
          <w:rFonts w:ascii="Book Antiqua" w:hAnsi="Book Antiqua" w:cs="GalliardStd-Roman"/>
          <w:sz w:val="24"/>
          <w:szCs w:val="24"/>
          <w:lang w:val="en-GB"/>
        </w:rPr>
        <w:t>and has no international business. Its major</w:t>
      </w:r>
      <w:r w:rsidRPr="00E73801">
        <w:rPr>
          <w:rFonts w:ascii="Book Antiqua" w:hAnsi="Book Antiqua" w:cs="GalliardStd-Roman"/>
          <w:sz w:val="24"/>
          <w:szCs w:val="24"/>
          <w:lang w:val="en-GB"/>
        </w:rPr>
        <w:t xml:space="preserve"> </w:t>
      </w:r>
      <w:r w:rsidRPr="00E73801">
        <w:rPr>
          <w:rFonts w:ascii="Book Antiqua" w:hAnsi="Book Antiqua" w:cs="GalliardStd-Roman"/>
          <w:sz w:val="24"/>
          <w:szCs w:val="24"/>
          <w:lang w:val="en-GB"/>
        </w:rPr>
        <w:t>competitors import most of their furniture from</w:t>
      </w:r>
      <w:r w:rsidRPr="00E73801">
        <w:rPr>
          <w:rFonts w:ascii="Book Antiqua" w:hAnsi="Book Antiqua" w:cs="GalliardStd-Roman"/>
          <w:sz w:val="24"/>
          <w:szCs w:val="24"/>
          <w:lang w:val="en-GB"/>
        </w:rPr>
        <w:t xml:space="preserve"> Uganda</w:t>
      </w:r>
      <w:r w:rsidRPr="00E73801">
        <w:rPr>
          <w:rFonts w:ascii="Book Antiqua" w:hAnsi="Book Antiqua" w:cs="GalliardStd-Roman"/>
          <w:sz w:val="24"/>
          <w:szCs w:val="24"/>
          <w:lang w:val="en-GB"/>
        </w:rPr>
        <w:t xml:space="preserve"> and then sel</w:t>
      </w:r>
      <w:r w:rsidRPr="00E73801">
        <w:rPr>
          <w:rFonts w:ascii="Book Antiqua" w:hAnsi="Book Antiqua" w:cs="GalliardStd-Roman"/>
          <w:sz w:val="24"/>
          <w:szCs w:val="24"/>
          <w:lang w:val="en-GB"/>
        </w:rPr>
        <w:t>l it out of retail stores in Kenya. How will Nyeri</w:t>
      </w:r>
      <w:r w:rsidRPr="00E73801">
        <w:rPr>
          <w:rFonts w:ascii="Book Antiqua" w:hAnsi="Book Antiqua" w:cs="GalliardStd-Roman"/>
          <w:sz w:val="24"/>
          <w:szCs w:val="24"/>
          <w:lang w:val="en-GB"/>
        </w:rPr>
        <w:t>, Inc., be affected</w:t>
      </w:r>
      <w:r w:rsidRPr="00E73801">
        <w:rPr>
          <w:rFonts w:ascii="Book Antiqua" w:hAnsi="Book Antiqua" w:cs="GalliardStd-Roman"/>
          <w:sz w:val="24"/>
          <w:szCs w:val="24"/>
          <w:lang w:val="en-GB"/>
        </w:rPr>
        <w:t xml:space="preserve"> if Uganda’s Shilling </w:t>
      </w:r>
      <w:r w:rsidRPr="00E73801">
        <w:rPr>
          <w:rFonts w:ascii="Book Antiqua" w:hAnsi="Book Antiqua" w:cs="GalliardStd-Roman"/>
          <w:sz w:val="24"/>
          <w:szCs w:val="24"/>
          <w:lang w:val="en-GB"/>
        </w:rPr>
        <w:t>strengthens over time?</w:t>
      </w:r>
    </w:p>
    <w:p w:rsidR="00E73801" w:rsidRPr="00E73801" w:rsidRDefault="00E73801" w:rsidP="00E73801">
      <w:pPr>
        <w:pStyle w:val="ListParagraph"/>
        <w:numPr>
          <w:ilvl w:val="0"/>
          <w:numId w:val="4"/>
        </w:numPr>
        <w:autoSpaceDE w:val="0"/>
        <w:autoSpaceDN w:val="0"/>
        <w:adjustRightInd w:val="0"/>
        <w:spacing w:after="0" w:line="240" w:lineRule="auto"/>
        <w:ind w:left="426"/>
        <w:rPr>
          <w:rFonts w:ascii="Book Antiqua" w:hAnsi="Book Antiqua" w:cs="GalliardStd-Roman"/>
          <w:sz w:val="24"/>
          <w:szCs w:val="24"/>
          <w:lang w:val="en-GB"/>
        </w:rPr>
      </w:pPr>
      <w:r w:rsidRPr="00E73801">
        <w:rPr>
          <w:rFonts w:ascii="Book Antiqua" w:hAnsi="Book Antiqua" w:cs="GalliardStd-Roman"/>
          <w:sz w:val="24"/>
          <w:szCs w:val="24"/>
          <w:lang w:val="en-GB"/>
        </w:rPr>
        <w:t>Busia</w:t>
      </w:r>
      <w:r w:rsidRPr="00E73801">
        <w:rPr>
          <w:rFonts w:ascii="Book Antiqua" w:hAnsi="Book Antiqua" w:cs="GalliardStd-Roman"/>
          <w:sz w:val="24"/>
          <w:szCs w:val="24"/>
          <w:lang w:val="en-GB"/>
        </w:rPr>
        <w:t>, Inc., exports</w:t>
      </w:r>
      <w:r w:rsidRPr="00E73801">
        <w:rPr>
          <w:rFonts w:ascii="Book Antiqua" w:hAnsi="Book Antiqua" w:cs="GalliardStd-Roman"/>
          <w:sz w:val="24"/>
          <w:szCs w:val="24"/>
          <w:lang w:val="en-GB"/>
        </w:rPr>
        <w:t xml:space="preserve"> chairs to Uganda (invoiced in Ksh.</w:t>
      </w:r>
      <w:r w:rsidRPr="00E73801">
        <w:rPr>
          <w:rFonts w:ascii="Book Antiqua" w:hAnsi="Book Antiqua" w:cs="GalliardStd-Roman"/>
          <w:sz w:val="24"/>
          <w:szCs w:val="24"/>
          <w:lang w:val="en-GB"/>
        </w:rPr>
        <w:t>)</w:t>
      </w:r>
      <w:r w:rsidRPr="00E73801">
        <w:rPr>
          <w:rFonts w:ascii="Book Antiqua" w:hAnsi="Book Antiqua" w:cs="GalliardStd-Roman"/>
          <w:sz w:val="24"/>
          <w:szCs w:val="24"/>
          <w:lang w:val="en-GB"/>
        </w:rPr>
        <w:t xml:space="preserve"> </w:t>
      </w:r>
      <w:r w:rsidRPr="00E73801">
        <w:rPr>
          <w:rFonts w:ascii="Book Antiqua" w:hAnsi="Book Antiqua" w:cs="GalliardStd-Roman"/>
          <w:sz w:val="24"/>
          <w:szCs w:val="24"/>
          <w:lang w:val="en-GB"/>
        </w:rPr>
        <w:t>and competes aga</w:t>
      </w:r>
      <w:r w:rsidRPr="00E73801">
        <w:rPr>
          <w:rFonts w:ascii="Book Antiqua" w:hAnsi="Book Antiqua" w:cs="GalliardStd-Roman"/>
          <w:sz w:val="24"/>
          <w:szCs w:val="24"/>
          <w:lang w:val="en-GB"/>
        </w:rPr>
        <w:t>inst local Ugandan</w:t>
      </w:r>
      <w:r w:rsidRPr="00E73801">
        <w:rPr>
          <w:rFonts w:ascii="Book Antiqua" w:hAnsi="Book Antiqua" w:cs="GalliardStd-Roman"/>
          <w:sz w:val="24"/>
          <w:szCs w:val="24"/>
          <w:lang w:val="en-GB"/>
        </w:rPr>
        <w:t xml:space="preserve"> companies. If</w:t>
      </w:r>
      <w:r w:rsidRPr="00E73801">
        <w:rPr>
          <w:rFonts w:ascii="Book Antiqua" w:hAnsi="Book Antiqua" w:cs="GalliardStd-Roman"/>
          <w:sz w:val="24"/>
          <w:szCs w:val="24"/>
          <w:lang w:val="en-GB"/>
        </w:rPr>
        <w:t xml:space="preserve"> </w:t>
      </w:r>
      <w:r w:rsidRPr="00E73801">
        <w:rPr>
          <w:rFonts w:ascii="Book Antiqua" w:hAnsi="Book Antiqua" w:cs="GalliardStd-Roman"/>
          <w:sz w:val="24"/>
          <w:szCs w:val="24"/>
          <w:lang w:val="en-GB"/>
        </w:rPr>
        <w:t xml:space="preserve">purchasing power </w:t>
      </w:r>
      <w:r w:rsidRPr="00E73801">
        <w:rPr>
          <w:rFonts w:ascii="Book Antiqua" w:hAnsi="Book Antiqua" w:cs="GalliardStd-Roman"/>
          <w:sz w:val="24"/>
          <w:szCs w:val="24"/>
          <w:lang w:val="en-GB"/>
        </w:rPr>
        <w:t>parity exists, why would Busia not benefit from a stronger Ush</w:t>
      </w:r>
      <w:r w:rsidRPr="00E73801">
        <w:rPr>
          <w:rFonts w:ascii="Book Antiqua" w:hAnsi="Book Antiqua" w:cs="GalliardStd-Roman"/>
          <w:sz w:val="24"/>
          <w:szCs w:val="24"/>
          <w:lang w:val="en-GB"/>
        </w:rPr>
        <w:t>?</w:t>
      </w:r>
    </w:p>
    <w:sectPr w:rsidR="00E73801" w:rsidRPr="00E7380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E4D" w:rsidRDefault="000B3E4D" w:rsidP="00C70C56">
      <w:pPr>
        <w:spacing w:after="0" w:line="240" w:lineRule="auto"/>
      </w:pPr>
      <w:r>
        <w:separator/>
      </w:r>
    </w:p>
  </w:endnote>
  <w:endnote w:type="continuationSeparator" w:id="0">
    <w:p w:rsidR="000B3E4D" w:rsidRDefault="000B3E4D" w:rsidP="00C7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GalliardStd-Roman">
    <w:panose1 w:val="00000000000000000000"/>
    <w:charset w:val="00"/>
    <w:family w:val="auto"/>
    <w:notTrueType/>
    <w:pitch w:val="default"/>
    <w:sig w:usb0="00000003" w:usb1="00000000" w:usb2="00000000" w:usb3="00000000" w:csb0="00000001" w:csb1="00000000"/>
  </w:font>
  <w:font w:name="HelveticaNeueLTStd-MdEx">
    <w:panose1 w:val="00000000000000000000"/>
    <w:charset w:val="00"/>
    <w:family w:val="auto"/>
    <w:notTrueType/>
    <w:pitch w:val="default"/>
    <w:sig w:usb0="00000003" w:usb1="00000000" w:usb2="00000000" w:usb3="00000000" w:csb0="00000001" w:csb1="00000000"/>
  </w:font>
  <w:font w:name="HelveticaNeueLTStd-L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0304805"/>
      <w:docPartObj>
        <w:docPartGallery w:val="Page Numbers (Bottom of Page)"/>
        <w:docPartUnique/>
      </w:docPartObj>
    </w:sdtPr>
    <w:sdtEndPr/>
    <w:sdtContent>
      <w:sdt>
        <w:sdtPr>
          <w:id w:val="1728636285"/>
          <w:docPartObj>
            <w:docPartGallery w:val="Page Numbers (Top of Page)"/>
            <w:docPartUnique/>
          </w:docPartObj>
        </w:sdtPr>
        <w:sdtEndPr/>
        <w:sdtContent>
          <w:p w:rsidR="00EA4983" w:rsidRDefault="00EA498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E54C3">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54C3">
              <w:rPr>
                <w:b/>
                <w:bCs/>
                <w:noProof/>
              </w:rPr>
              <w:t>8</w:t>
            </w:r>
            <w:r>
              <w:rPr>
                <w:b/>
                <w:bCs/>
                <w:sz w:val="24"/>
                <w:szCs w:val="24"/>
              </w:rPr>
              <w:fldChar w:fldCharType="end"/>
            </w:r>
          </w:p>
        </w:sdtContent>
      </w:sdt>
    </w:sdtContent>
  </w:sdt>
  <w:p w:rsidR="00EA4983" w:rsidRDefault="00EA49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E4D" w:rsidRDefault="000B3E4D" w:rsidP="00C70C56">
      <w:pPr>
        <w:spacing w:after="0" w:line="240" w:lineRule="auto"/>
      </w:pPr>
      <w:r>
        <w:separator/>
      </w:r>
    </w:p>
  </w:footnote>
  <w:footnote w:type="continuationSeparator" w:id="0">
    <w:p w:rsidR="000B3E4D" w:rsidRDefault="000B3E4D" w:rsidP="00C70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C56" w:rsidRDefault="00C70C56">
    <w:pPr>
      <w:pStyle w:val="Header"/>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70C56" w:rsidRDefault="00C70C56">
                              <w:pPr>
                                <w:pStyle w:val="Header"/>
                                <w:jc w:val="center"/>
                                <w:rPr>
                                  <w:caps/>
                                  <w:color w:val="FFFFFF" w:themeColor="background1"/>
                                </w:rPr>
                              </w:pPr>
                              <w:r>
                                <w:rPr>
                                  <w:caps/>
                                  <w:color w:val="FFFFFF" w:themeColor="background1"/>
                                </w:rPr>
                                <w:t>managing exposure to forex risk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70C56" w:rsidRDefault="00C70C56">
                        <w:pPr>
                          <w:pStyle w:val="Header"/>
                          <w:jc w:val="center"/>
                          <w:rPr>
                            <w:caps/>
                            <w:color w:val="FFFFFF" w:themeColor="background1"/>
                          </w:rPr>
                        </w:pPr>
                        <w:r>
                          <w:rPr>
                            <w:caps/>
                            <w:color w:val="FFFFFF" w:themeColor="background1"/>
                          </w:rPr>
                          <w:t>managing exposure to forex risk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5F46"/>
    <w:multiLevelType w:val="hybridMultilevel"/>
    <w:tmpl w:val="8FC4EB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33770A"/>
    <w:multiLevelType w:val="hybridMultilevel"/>
    <w:tmpl w:val="3F02BD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1A25C2"/>
    <w:multiLevelType w:val="hybridMultilevel"/>
    <w:tmpl w:val="8FC4EB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964A94"/>
    <w:multiLevelType w:val="hybridMultilevel"/>
    <w:tmpl w:val="B2867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6A520C"/>
    <w:multiLevelType w:val="hybridMultilevel"/>
    <w:tmpl w:val="8FC4EB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4C40C4B"/>
    <w:multiLevelType w:val="hybridMultilevel"/>
    <w:tmpl w:val="8FC4EB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93211E0"/>
    <w:multiLevelType w:val="hybridMultilevel"/>
    <w:tmpl w:val="8FC4EB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3401CF9"/>
    <w:multiLevelType w:val="hybridMultilevel"/>
    <w:tmpl w:val="8FC4EB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7D24CA"/>
    <w:multiLevelType w:val="hybridMultilevel"/>
    <w:tmpl w:val="8FC4EB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DE87C65"/>
    <w:multiLevelType w:val="hybridMultilevel"/>
    <w:tmpl w:val="8B56DDC4"/>
    <w:lvl w:ilvl="0" w:tplc="FEF217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7"/>
  </w:num>
  <w:num w:numId="5">
    <w:abstractNumId w:val="2"/>
  </w:num>
  <w:num w:numId="6">
    <w:abstractNumId w:val="0"/>
  </w:num>
  <w:num w:numId="7">
    <w:abstractNumId w:val="8"/>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56B"/>
    <w:rsid w:val="00004C0C"/>
    <w:rsid w:val="0003674F"/>
    <w:rsid w:val="000B36CE"/>
    <w:rsid w:val="000B3E4D"/>
    <w:rsid w:val="000E4DE7"/>
    <w:rsid w:val="00165B97"/>
    <w:rsid w:val="00176859"/>
    <w:rsid w:val="001E31FE"/>
    <w:rsid w:val="00231916"/>
    <w:rsid w:val="00250F36"/>
    <w:rsid w:val="002C0703"/>
    <w:rsid w:val="0030564C"/>
    <w:rsid w:val="003229E7"/>
    <w:rsid w:val="00391169"/>
    <w:rsid w:val="003B5034"/>
    <w:rsid w:val="00425EEB"/>
    <w:rsid w:val="0048656B"/>
    <w:rsid w:val="005C6234"/>
    <w:rsid w:val="00635570"/>
    <w:rsid w:val="006664E3"/>
    <w:rsid w:val="00696CE2"/>
    <w:rsid w:val="00795B73"/>
    <w:rsid w:val="007A0442"/>
    <w:rsid w:val="007E1D99"/>
    <w:rsid w:val="008E54C3"/>
    <w:rsid w:val="009D43BC"/>
    <w:rsid w:val="00AC5AD5"/>
    <w:rsid w:val="00AD003F"/>
    <w:rsid w:val="00C70C56"/>
    <w:rsid w:val="00CA7757"/>
    <w:rsid w:val="00D35BAA"/>
    <w:rsid w:val="00DA114B"/>
    <w:rsid w:val="00E73801"/>
    <w:rsid w:val="00EA49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81CE29-FEE9-42F2-A272-B7A0DF9D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C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0C56"/>
  </w:style>
  <w:style w:type="paragraph" w:styleId="Footer">
    <w:name w:val="footer"/>
    <w:basedOn w:val="Normal"/>
    <w:link w:val="FooterChar"/>
    <w:uiPriority w:val="99"/>
    <w:unhideWhenUsed/>
    <w:rsid w:val="00C70C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0C56"/>
  </w:style>
  <w:style w:type="paragraph" w:styleId="ListParagraph">
    <w:name w:val="List Paragraph"/>
    <w:basedOn w:val="Normal"/>
    <w:uiPriority w:val="34"/>
    <w:qFormat/>
    <w:rsid w:val="00425EEB"/>
    <w:pPr>
      <w:ind w:left="720"/>
      <w:contextualSpacing/>
    </w:pPr>
  </w:style>
  <w:style w:type="table" w:styleId="TableGrid">
    <w:name w:val="Table Grid"/>
    <w:basedOn w:val="TableNormal"/>
    <w:uiPriority w:val="39"/>
    <w:rsid w:val="00AD00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5A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3040</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managing exposure to forex risk</vt:lpstr>
    </vt:vector>
  </TitlesOfParts>
  <Company>Hewlett-Packard</Company>
  <LinksUpToDate>false</LinksUpToDate>
  <CharactersWithSpaces>19726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exposure to forex risk</dc:title>
  <dc:subject/>
  <dc:creator>john</dc:creator>
  <cp:keywords/>
  <dc:description/>
  <cp:lastModifiedBy>john</cp:lastModifiedBy>
  <cp:revision>19</cp:revision>
  <dcterms:created xsi:type="dcterms:W3CDTF">2013-04-10T16:13:00Z</dcterms:created>
  <dcterms:modified xsi:type="dcterms:W3CDTF">2013-04-11T05:27:00Z</dcterms:modified>
</cp:coreProperties>
</file>