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4"/>
        <w:spacing w:line="276" w:lineRule="auto" w:after="385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>INTRODUCTION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Consumer behavior is best understood in three steps. The first step is to examine consumer </w:t>
      </w:r>
      <w:r>
        <w:rPr>
          <w:rStyle w:val="Character6"/>
          <w:sz w:val="24"/>
          <w:szCs w:val="24"/>
        </w:rPr>
        <w:t xml:space="preserve">preferences. Specifically, we need a practical way to describe how people might prefer one good </w:t>
      </w:r>
      <w:r>
        <w:rPr>
          <w:rStyle w:val="Character6"/>
          <w:sz w:val="24"/>
          <w:szCs w:val="24"/>
        </w:rPr>
        <w:t xml:space="preserve">(say, good A) to another (good B). Second, we must account for the fact that consumers face </w:t>
      </w:r>
      <w:r>
        <w:rPr>
          <w:rStyle w:val="Character6"/>
          <w:sz w:val="24"/>
          <w:szCs w:val="24"/>
        </w:rPr>
        <w:t xml:space="preserve">budget constraints-they have limited incomes that restrict the quantities of goods that they can </w:t>
      </w:r>
      <w:r>
        <w:rPr>
          <w:rStyle w:val="Character6"/>
          <w:sz w:val="24"/>
          <w:szCs w:val="24"/>
        </w:rPr>
        <w:t xml:space="preserve">buy. The third step is to put consumer preferences and budget constraints together to determine </w:t>
      </w:r>
      <w:r>
        <w:rPr>
          <w:rStyle w:val="Character6"/>
          <w:sz w:val="24"/>
          <w:szCs w:val="24"/>
        </w:rPr>
        <w:t xml:space="preserve">consumer choices. In other words, given their preferences and limited incomes, what </w:t>
      </w:r>
      <w:r>
        <w:rPr>
          <w:rStyle w:val="Character6"/>
          <w:sz w:val="24"/>
          <w:szCs w:val="24"/>
        </w:rPr>
        <w:t xml:space="preserve">combinations of goods will consumers buy to maximize their satisfaction? We will go through </w:t>
      </w:r>
      <w:r>
        <w:rPr>
          <w:rStyle w:val="Character6"/>
          <w:sz w:val="24"/>
          <w:szCs w:val="24"/>
        </w:rPr>
        <w:t xml:space="preserve">each of these steps in turn.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 In similar vein, we ask ourselves, how individuals make decisions on how much to consume </w:t>
      </w:r>
      <w:r>
        <w:rPr>
          <w:rStyle w:val="Character6"/>
          <w:sz w:val="24"/>
          <w:szCs w:val="24"/>
        </w:rPr>
        <w:t xml:space="preserve">today (analogous to good A above) as opposed to saving and investing for future consumption </w:t>
      </w:r>
      <w:r>
        <w:rPr>
          <w:rStyle w:val="Character6"/>
          <w:sz w:val="24"/>
          <w:szCs w:val="24"/>
        </w:rPr>
        <w:t xml:space="preserve">(again analogous to good B above). We attempt to answer these questions in the discussion that </w:t>
      </w:r>
      <w:r>
        <w:rPr>
          <w:rStyle w:val="Character6"/>
          <w:sz w:val="24"/>
          <w:szCs w:val="24"/>
        </w:rPr>
        <w:t xml:space="preserve">follows. We start our discussion with an overview of the basic economic principles in consumer </w:t>
      </w:r>
      <w:r>
        <w:rPr>
          <w:rStyle w:val="Character6"/>
          <w:sz w:val="24"/>
          <w:szCs w:val="24"/>
        </w:rPr>
        <w:t>behavior.</w:t>
      </w:r>
    </w:p>
    <w:p>
      <w:pPr>
        <w:pStyle w:val="Para5"/>
        <w:spacing w:line="276" w:lineRule="auto" w:after="200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Some Basic Assumptions 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The theory of consumer behavior begins with three basic assumptions regarding people's </w:t>
      </w:r>
      <w:r>
        <w:rPr>
          <w:rStyle w:val="Character6"/>
          <w:sz w:val="24"/>
          <w:szCs w:val="24"/>
        </w:rPr>
        <w:t xml:space="preserve">preferences for one market basket versus another. 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1. The first assumption is that preferences are complete, which means that consumers can </w:t>
      </w:r>
      <w:r>
        <w:rPr>
          <w:rStyle w:val="Character6"/>
          <w:sz w:val="24"/>
          <w:szCs w:val="24"/>
        </w:rPr>
        <w:t xml:space="preserve">compare and rank all market baskets. In other words, for any two market baskets A and B, a </w:t>
      </w:r>
      <w:r>
        <w:rPr>
          <w:rStyle w:val="Character6"/>
          <w:sz w:val="24"/>
          <w:szCs w:val="24"/>
        </w:rPr>
        <w:t xml:space="preserve">consumer will prefer A to B, will prefer B to A, or will be indifferent between the two. (By </w:t>
      </w:r>
      <w:r>
        <w:rPr>
          <w:rStyle w:val="Character6"/>
          <w:sz w:val="24"/>
          <w:szCs w:val="24"/>
        </w:rPr>
        <w:t xml:space="preserve">"indifferent" we mean that a person would be equally happy with either basket.) Note that these </w:t>
      </w:r>
      <w:r>
        <w:rPr>
          <w:rStyle w:val="Character6"/>
          <w:sz w:val="24"/>
          <w:szCs w:val="24"/>
        </w:rPr>
        <w:t xml:space="preserve">preferences ignore costs. A consumer might prefer meat to beans but would buy beans because </w:t>
      </w:r>
      <w:r>
        <w:rPr>
          <w:rStyle w:val="Character6"/>
          <w:sz w:val="24"/>
          <w:szCs w:val="24"/>
        </w:rPr>
        <w:t xml:space="preserve">they are cheaper. 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2. The second important assumption is that preferences are transitive. Transitivity means that if a </w:t>
      </w:r>
      <w:r>
        <w:rPr>
          <w:rStyle w:val="Character6"/>
          <w:sz w:val="24"/>
          <w:szCs w:val="24"/>
        </w:rPr>
        <w:t xml:space="preserve">consumer prefers market basket A to market basket B, and prefers B to C, then the consumer also </w:t>
      </w:r>
      <w:r>
        <w:rPr>
          <w:rStyle w:val="Character6"/>
          <w:sz w:val="24"/>
          <w:szCs w:val="24"/>
        </w:rPr>
        <w:t xml:space="preserve">prefers A to C. For example, if a Toyota is preferred to a Nissan and a Nissan is preferred to a </w:t>
      </w:r>
      <w:r>
        <w:rPr>
          <w:rStyle w:val="Character6"/>
          <w:sz w:val="24"/>
          <w:szCs w:val="24"/>
        </w:rPr>
        <w:t xml:space="preserve">BMW, then a Toyota is also preferred to a BMW. This transitivity assumption ensures that the </w:t>
      </w:r>
      <w:r>
        <w:rPr>
          <w:rStyle w:val="Character6"/>
          <w:sz w:val="24"/>
          <w:szCs w:val="24"/>
        </w:rPr>
        <w:t xml:space="preserve">consumer's preferences are consistent, and hence rational. 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3. The third assumption is that all goods are "good" (i.e., desirable), so that leaving costs aside, </w:t>
      </w:r>
      <w:r>
        <w:rPr>
          <w:rStyle w:val="Character6"/>
          <w:sz w:val="24"/>
          <w:szCs w:val="24"/>
        </w:rPr>
        <w:t xml:space="preserve">consumers always prefer more of any good to less. This assumption is made for pedagogic </w:t>
      </w:r>
      <w:r>
        <w:rPr>
          <w:rStyle w:val="Character6"/>
          <w:sz w:val="24"/>
          <w:szCs w:val="24"/>
        </w:rPr>
        <w:t xml:space="preserve">reasons; it simplifies the graphical analysis.  Of course, some goods, such as air pollution, may </w:t>
      </w:r>
      <w:r>
        <w:rPr>
          <w:rStyle w:val="Character6"/>
          <w:sz w:val="24"/>
          <w:szCs w:val="24"/>
        </w:rPr>
        <w:t xml:space="preserve">be undesirable, and consumers will avoid them whenever possible. We ignore these undesirable </w:t>
      </w:r>
      <w:r>
        <w:rPr>
          <w:rStyle w:val="Character6"/>
          <w:sz w:val="24"/>
          <w:szCs w:val="24"/>
        </w:rPr>
        <w:t xml:space="preserve">goods in the context of our current discussion of consumer choice because most consumers </w:t>
      </w:r>
      <w:r>
        <w:rPr>
          <w:rStyle w:val="Character6"/>
          <w:sz w:val="24"/>
          <w:szCs w:val="24"/>
        </w:rPr>
        <w:t xml:space="preserve">would not choose to purchase them. </w:t>
      </w:r>
    </w:p>
    <w:p>
      <w:pPr>
        <w:pStyle w:val="Para5"/>
        <w:sectPr>
          <w:headerReference w:type="default" r:id="rId6"/>
          <w:footerReference w:type="default" r:id="rId7"/>
          <w:pgSz w:w="12240" w:h="15840" w:orient="landscape" w:code="9"/>
          <w:pgMar w:top="1440" w:right="1440" w:bottom="1440" w:left="1440" w:header="720" w:footer="504" w:gutter="0"/>
          <w:docGrid w:linePitch="360" w:charSpace="200"/>
        </w:sectPr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These three assumptions form the basis of consumer theory. They don't explain consumers' 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preferences, but they do impose a degree of rationality and reasonableness on them. Building on </w:t>
      </w:r>
      <w:r>
        <w:rPr>
          <w:rStyle w:val="Character6"/>
          <w:sz w:val="24"/>
          <w:szCs w:val="24"/>
        </w:rPr>
        <w:t xml:space="preserve">these assumptions, we will now explore consumer behavior.</w:t>
      </w:r>
    </w:p>
    <w:p>
      <w:pPr>
        <w:pStyle w:val="Para5"/>
        <w:spacing w:line="276" w:lineRule="auto" w:after="200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Indifference Curves 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We can show a consumer's preferences graphically with the use of indifference curves. An </w:t>
      </w:r>
      <w:r>
        <w:rPr>
          <w:rStyle w:val="Character6"/>
          <w:sz w:val="24"/>
          <w:szCs w:val="24"/>
        </w:rPr>
        <w:t xml:space="preserve">indifference curve represents all combinations of market baskets that provide the same level of </w:t>
      </w:r>
      <w:r>
        <w:rPr>
          <w:rStyle w:val="Character6"/>
          <w:sz w:val="24"/>
          <w:szCs w:val="24"/>
        </w:rPr>
        <w:t xml:space="preserve">satisfaction to a person. That person is therefore indifferent among the market baskets </w:t>
      </w:r>
      <w:r>
        <w:rPr>
          <w:rStyle w:val="Character6"/>
          <w:sz w:val="24"/>
          <w:szCs w:val="24"/>
        </w:rPr>
        <w:t xml:space="preserve">represented by the points on the curve.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Given the three assumptions about preferences discussed above, we know that a consumer can </w:t>
      </w:r>
      <w:r>
        <w:rPr>
          <w:rStyle w:val="Character6"/>
          <w:sz w:val="24"/>
          <w:szCs w:val="24"/>
        </w:rPr>
        <w:t xml:space="preserve">always indicate a preference for one market basket over another or indifference between the two. </w:t>
      </w:r>
      <w:r>
        <w:rPr>
          <w:rStyle w:val="Character6"/>
          <w:sz w:val="24"/>
          <w:szCs w:val="24"/>
        </w:rPr>
        <w:t xml:space="preserve">This information can then be used to rank all possible consumption choices.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(PLEASE REVIEW THE INDIFFERENCE CURVE ANALYSIS THOROUGHLY- why an </w:t>
      </w:r>
      <w:r>
        <w:rPr>
          <w:rStyle w:val="Character6"/>
          <w:sz w:val="24"/>
          <w:szCs w:val="24"/>
        </w:rPr>
        <w:t xml:space="preserve">indifference curve slopes from left to right, why it is convex to the origin, the marginal rate of </w:t>
      </w:r>
      <w:r>
        <w:rPr>
          <w:rStyle w:val="Character6"/>
          <w:sz w:val="24"/>
          <w:szCs w:val="24"/>
        </w:rPr>
        <w:t xml:space="preserve">substitution and the budget lines).</w:t>
      </w:r>
    </w:p>
    <w:p>
      <w:pPr>
        <w:pStyle w:val="Para5"/>
        <w:spacing w:line="276" w:lineRule="auto" w:after="200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Ordinal versus Cardinal Rankings 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Ordinal ranking places market baskets in the order of most preferred to least preferred, but it does</w:t>
      </w:r>
      <w:r>
        <w:rPr>
          <w:rStyle w:val="Character6"/>
          <w:sz w:val="24"/>
          <w:szCs w:val="24"/>
        </w:rPr>
        <w:t xml:space="preserve"> not indicate by how much one market basket is preferred to another. This ranking is used in the </w:t>
      </w:r>
      <w:r>
        <w:rPr>
          <w:rStyle w:val="Character6"/>
          <w:sz w:val="24"/>
          <w:szCs w:val="24"/>
        </w:rPr>
        <w:t xml:space="preserve">indifference curve analysis.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By contrast, when economists first studied utility, they hoped that individuals' preferences could </w:t>
      </w:r>
      <w:r>
        <w:rPr>
          <w:rStyle w:val="Character6"/>
          <w:sz w:val="24"/>
          <w:szCs w:val="24"/>
        </w:rPr>
        <w:t xml:space="preserve">be easily quantified or measured in terms of basic units and could therefore provide a cardinal </w:t>
      </w:r>
      <w:r>
        <w:rPr>
          <w:rStyle w:val="Character6"/>
          <w:sz w:val="24"/>
          <w:szCs w:val="24"/>
        </w:rPr>
        <w:t xml:space="preserve">ranking of alternatives. However, it is generally accepted that the particular unit of measurement </w:t>
      </w:r>
      <w:r>
        <w:rPr>
          <w:rStyle w:val="Character6"/>
          <w:sz w:val="24"/>
          <w:szCs w:val="24"/>
        </w:rPr>
        <w:t xml:space="preserve">of utility is unimportant.  For example, although we cannot say that consumers of Toyota are </w:t>
      </w:r>
      <w:r>
        <w:rPr>
          <w:rStyle w:val="Character6"/>
          <w:sz w:val="24"/>
          <w:szCs w:val="24"/>
        </w:rPr>
        <w:t xml:space="preserve">twice as happy as they might be on a Nissan, an ordinal ranking is sufficient to help us explain </w:t>
      </w:r>
      <w:r>
        <w:rPr>
          <w:rStyle w:val="Character6"/>
          <w:sz w:val="24"/>
          <w:szCs w:val="24"/>
        </w:rPr>
        <w:t xml:space="preserve">how most individual decisions are made. In the few instances where it is not, we will discuss an </w:t>
      </w:r>
      <w:r>
        <w:rPr>
          <w:rStyle w:val="Character6"/>
          <w:sz w:val="24"/>
          <w:szCs w:val="24"/>
        </w:rPr>
        <w:t xml:space="preserve">alternative approach to describing preferences.</w:t>
      </w:r>
    </w:p>
    <w:p>
      <w:pPr>
        <w:pStyle w:val="Para5"/>
        <w:spacing w:line="276" w:lineRule="auto" w:after="200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Revealed Preference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We have seen how an individual's preferences could be represented by a series of indifference </w:t>
      </w:r>
      <w:r>
        <w:rPr>
          <w:rStyle w:val="Character6"/>
          <w:sz w:val="24"/>
          <w:szCs w:val="24"/>
        </w:rPr>
        <w:t xml:space="preserve">curves. Then saw how preferences determine choices, given a budget constraint. Can this process </w:t>
      </w:r>
      <w:r>
        <w:rPr>
          <w:rStyle w:val="Character6"/>
          <w:sz w:val="24"/>
          <w:szCs w:val="24"/>
        </w:rPr>
        <w:t xml:space="preserve">be reversed? If we know the choices a consumer has made, can we determine her preferences? </w:t>
      </w:r>
    </w:p>
    <w:p>
      <w:pPr>
        <w:pStyle w:val="Para5"/>
        <w:spacing w:line="276" w:lineRule="auto" w:after="200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We can, if we have information about a sufficient number of choices that are made when prices </w:t>
      </w:r>
      <w:r>
        <w:rPr>
          <w:rStyle w:val="Character6"/>
          <w:sz w:val="24"/>
          <w:szCs w:val="24"/>
        </w:rPr>
        <w:t xml:space="preserve">and income levels vary. The basic idea is simple. If a consumer chooses one market basket over </w:t>
      </w:r>
      <w:r>
        <w:rPr>
          <w:rStyle w:val="Character6"/>
          <w:sz w:val="24"/>
          <w:szCs w:val="24"/>
        </w:rPr>
        <w:t xml:space="preserve">another, and the chosen market basket is more expensive than the alternative one, then the </w:t>
      </w:r>
      <w:r>
        <w:rPr>
          <w:rStyle w:val="Character6"/>
          <w:sz w:val="24"/>
          <w:szCs w:val="24"/>
        </w:rPr>
        <w:t xml:space="preserve">consumer must prefer the chosen market basket.</w:t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The Utility Function</w:t>
      </w:r>
    </w:p>
    <w:p>
      <w:pPr>
        <w:pStyle w:val="Para6"/>
        <w:sectPr>
          <w:headerReference w:type="default" r:id="rId8"/>
          <w:footerReference w:type="default" r:id="rId9"/>
          <w:pgSz w:w="12240" w:h="15840" w:orient="landscape" w:code="9"/>
          <w:pgMar w:top="1440" w:right="1440" w:bottom="1440" w:left="1440" w:header="720" w:footer="504" w:gutter="0"/>
          <w:docGrid w:linePitch="360" w:charSpace="200"/>
        </w:sectPr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In modern theory, a utility function is simply a convenient device for summarizing the </w:t>
      </w:r>
      <w:r>
        <w:rPr>
          <w:rStyle w:val="Character6"/>
          <w:sz w:val="24"/>
          <w:szCs w:val="24"/>
        </w:rPr>
        <w:t xml:space="preserve">information contained in the consumer’s preference relation – no more and no less. Sometimes it </w:t>
      </w:r>
      <w:r>
        <w:rPr>
          <w:rStyle w:val="Character6"/>
          <w:sz w:val="24"/>
          <w:szCs w:val="24"/>
        </w:rPr>
        <w:t xml:space="preserve">is easier to work directly with the preference relation and its associated sets. Other times,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especially when one would like to employ calculus methods, it is easier to work with a utility </w:t>
      </w:r>
      <w:r>
        <w:rPr>
          <w:rStyle w:val="Character6"/>
          <w:sz w:val="24"/>
          <w:szCs w:val="24"/>
        </w:rPr>
        <w:t xml:space="preserve">function. In modern theory, the preference relation is taken to be the primitive, most fundamental </w:t>
      </w:r>
      <w:r>
        <w:rPr>
          <w:rStyle w:val="Character6"/>
          <w:sz w:val="24"/>
          <w:szCs w:val="24"/>
        </w:rPr>
        <w:t xml:space="preserve">characterization of preferences. The utility function merely ‘represents’, or summarizes, the </w:t>
      </w:r>
      <w:r>
        <w:rPr>
          <w:rStyle w:val="Character6"/>
          <w:sz w:val="24"/>
          <w:szCs w:val="24"/>
        </w:rPr>
        <w:t xml:space="preserve">information conveyed by the preference relation.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(REFER TO YENGWILER TEXT THAT I HAD LEFT IN CLASS FOR A LIST OF </w:t>
      </w:r>
      <w:r>
        <w:rPr>
          <w:rStyle w:val="Character6"/>
          <w:sz w:val="24"/>
          <w:szCs w:val="24"/>
        </w:rPr>
        <w:t xml:space="preserve">APPLICABLE UTILITY FUNCTIONS IN FINANCE. ALSO SEE THE COMPUTATION OF </w:t>
      </w:r>
      <w:r>
        <w:rPr>
          <w:rStyle w:val="Character6"/>
          <w:sz w:val="24"/>
          <w:szCs w:val="24"/>
        </w:rPr>
        <w:t xml:space="preserve">THE ARROW PRATT MEASURES OF RISK AVERSION AS DISCUSSED IN CLASS).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Monotonic Transformation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Once we reveal the consumer’s indifference curve and map, all we need to do is get a function </w:t>
      </w:r>
      <w:r>
        <w:rPr>
          <w:rStyle w:val="Character6"/>
          <w:sz w:val="24"/>
          <w:szCs w:val="24"/>
        </w:rPr>
        <w:t xml:space="preserve">that faithfully represents the indifference curves. There are many (in fact, an infinity of) </w:t>
      </w:r>
      <w:r>
        <w:rPr>
          <w:rStyle w:val="Character6"/>
          <w:sz w:val="24"/>
          <w:szCs w:val="24"/>
        </w:rPr>
        <w:t xml:space="preserve">functions that could work. All the function has to do is preserve the consumer’s preference </w:t>
      </w:r>
      <w:r>
        <w:rPr>
          <w:rStyle w:val="Character6"/>
          <w:sz w:val="24"/>
          <w:szCs w:val="24"/>
        </w:rPr>
        <w:t xml:space="preserve">ranking. A monotonic transformation is a rule applied to a function that changes (transforms) it, </w:t>
      </w:r>
      <w:r>
        <w:rPr>
          <w:rStyle w:val="Character6"/>
          <w:sz w:val="24"/>
          <w:szCs w:val="24"/>
        </w:rPr>
        <w:t xml:space="preserve">but maintains the original order of the outputs of the function for given inputs. For example, star </w:t>
      </w:r>
      <w:r>
        <w:rPr>
          <w:rStyle w:val="Character6"/>
          <w:sz w:val="24"/>
          <w:szCs w:val="24"/>
        </w:rPr>
        <w:t xml:space="preserve">ratings can be squared and the rankings remain the same.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Suppose that X is a 4- and Y a 2-star restaurant.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Square the star rankings.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X now has 16 stars and Y has 4 stars. X is still higher ranked than Y.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In this case, squaring is a monotonic transformation.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Can we conclude that X is now four times better? Of course not. Remember that the star </w:t>
      </w:r>
      <w:r>
        <w:rPr>
          <w:rStyle w:val="Character5"/>
          <w:sz w:val="24"/>
          <w:szCs w:val="24"/>
        </w:rPr>
        <w:t xml:space="preserve">ranking is an ordinal scale so the distance between items is irrelevant. It is a fact that the </w:t>
      </w:r>
      <w:r>
        <w:rPr>
          <w:rStyle w:val="Character5"/>
          <w:sz w:val="24"/>
          <w:szCs w:val="24"/>
        </w:rPr>
        <w:t xml:space="preserve">MRS (at any point) remains constant under any monotonic transformation. This is an </w:t>
      </w:r>
      <w:r>
        <w:rPr>
          <w:rStyle w:val="Character5"/>
          <w:sz w:val="24"/>
          <w:szCs w:val="24"/>
        </w:rPr>
        <w:t xml:space="preserve">important property of monotonic transformations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Von Neumann-Morgenstern expected utility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The first derivation of an expected utility representation of preferences under uncertainty was </w:t>
      </w:r>
      <w:r>
        <w:rPr>
          <w:rStyle w:val="Character6"/>
          <w:sz w:val="24"/>
          <w:szCs w:val="24"/>
        </w:rPr>
        <w:t xml:space="preserve">provided by von Neumann and Morgenstern. They assumed that agents choose among lotteries. </w:t>
      </w:r>
      <w:r>
        <w:rPr>
          <w:rStyle w:val="Character6"/>
          <w:sz w:val="24"/>
          <w:szCs w:val="24"/>
        </w:rPr>
        <w:t xml:space="preserve">A lottery is by definition a random variable with specified payoffs and specified probabilities. </w:t>
      </w:r>
      <w:r>
        <w:rPr>
          <w:rStyle w:val="Character6"/>
          <w:sz w:val="24"/>
          <w:szCs w:val="24"/>
        </w:rPr>
        <w:t xml:space="preserve">The critical assumption of the von Neumann-Morgenstern approach is that agents know the </w:t>
      </w:r>
      <w:r>
        <w:rPr>
          <w:rStyle w:val="Character6"/>
          <w:sz w:val="24"/>
          <w:szCs w:val="24"/>
        </w:rPr>
        <w:t xml:space="preserve">relevant probabilities. Thus the approach is relevant to situations like games of chance where the </w:t>
      </w:r>
      <w:r>
        <w:rPr>
          <w:rStyle w:val="Character6"/>
          <w:sz w:val="24"/>
          <w:szCs w:val="24"/>
        </w:rPr>
        <w:t xml:space="preserve">existence of objective probabilities can be assumed. In settings characterized by what has </w:t>
      </w:r>
      <w:r>
        <w:rPr>
          <w:rStyle w:val="Character6"/>
          <w:sz w:val="24"/>
          <w:szCs w:val="24"/>
        </w:rPr>
        <w:t xml:space="preserve">become known as Knightian uncertainty", meaning settings in which agents cannot specify </w:t>
      </w:r>
      <w:r>
        <w:rPr>
          <w:rStyle w:val="Character6"/>
          <w:sz w:val="24"/>
          <w:szCs w:val="24"/>
        </w:rPr>
        <w:t xml:space="preserve">probability distributions, the von Neumann-Morgenstern approach does not apply since agents </w:t>
      </w:r>
      <w:r>
        <w:rPr>
          <w:rStyle w:val="Character6"/>
          <w:sz w:val="24"/>
          <w:szCs w:val="24"/>
        </w:rPr>
        <w:t xml:space="preserve">are not assumed to be able to characterize the available choices as lotteries.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Suppose W represents the possible outcomes of a football game, namely, win, lose or draw.  </w:t>
      </w:r>
      <w:r>
        <w:rPr>
          <w:rStyle w:val="Character6"/>
          <w:sz w:val="24"/>
          <w:szCs w:val="24"/>
        </w:rPr>
        <w:t xml:space="preserve">Suppose an individual attaches probabilities p(W) to these outcomes, that is p(W)=  N(W)/T </w:t>
      </w:r>
      <w:r>
        <w:rPr>
          <w:rStyle w:val="Character6"/>
          <w:sz w:val="24"/>
          <w:szCs w:val="24"/>
        </w:rPr>
        <w:t xml:space="preserve">where N(W) equals the number of wins, losses or draws in the season and  T = total number of </w:t>
      </w:r>
      <w:r>
        <w:rPr>
          <w:rStyle w:val="Character6"/>
          <w:sz w:val="24"/>
          <w:szCs w:val="24"/>
        </w:rPr>
        <w:t xml:space="preserve">games played. Finally, suppose the individual attaches subjective levels of satisfaction or utility </w:t>
      </w:r>
      <w:r>
        <w:rPr>
          <w:rStyle w:val="Character6"/>
          <w:sz w:val="24"/>
          <w:szCs w:val="24"/>
        </w:rPr>
        <w:t xml:space="preserve">U to win (= 4 units), lose (= 0 units) and draw (= 1 unit) so that U (win) = 4, etc. Then his </w:t>
      </w:r>
      <w:r>
        <w:rPr>
          <w:rStyle w:val="Character6"/>
          <w:sz w:val="24"/>
          <w:szCs w:val="24"/>
        </w:rPr>
        <w:t xml:space="preserve">expected utility from the season's forthcoming games is: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  <w:sectPr>
          <w:headerReference w:type="default" r:id="rId10"/>
          <w:footerReference w:type="default" r:id="rId11"/>
          <w:pgSz w:w="12240" w:h="15840" w:orient="landscape" w:code="9"/>
          <w:pgMar w:top="1440" w:right="1440" w:bottom="1440" w:left="1440" w:header="720" w:footer="504" w:gutter="0"/>
          <w:docGrid w:linePitch="360" w:charSpace="200"/>
        </w:sectPr>
      </w:pPr>
      <w:r>
        <w:rPr>
          <w:rStyle w:val="Character5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Utility theory in Finance</w:t>
      </w:r>
    </w:p>
    <w:p>
      <w:pPr>
        <w:pStyle w:val="Para6"/>
        <w:sectPr>
          <w:headerReference w:type="default" r:id="rId12"/>
          <w:footerReference w:type="default" r:id="rId13"/>
          <w:pgSz w:w="12240" w:h="15840" w:orient="landscape" w:code="9"/>
          <w:pgMar w:top="1440" w:right="1440" w:bottom="1440" w:left="1440" w:header="720" w:footer="504" w:gutter="0"/>
          <w:docGrid w:linePitch="360" w:charSpace="200"/>
        </w:sectPr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In portfolio theory too, entities are faced with a set of choices. Different portfolios have different </w:t>
      </w:r>
      <w:r>
        <w:rPr>
          <w:rStyle w:val="Character6"/>
          <w:sz w:val="24"/>
          <w:szCs w:val="24"/>
        </w:rPr>
        <w:t xml:space="preserve">levels of expected return and risk. You know that the higher the level of expected return, the </w:t>
      </w:r>
      <w:r>
        <w:rPr>
          <w:rStyle w:val="Character6"/>
          <w:sz w:val="24"/>
          <w:szCs w:val="24"/>
        </w:rPr>
        <w:t xml:space="preserve">larger the risk. Entities are faced with the decision of choosing a portfolio from the set of all </w:t>
      </w:r>
      <w:r>
        <w:rPr>
          <w:rStyle w:val="Character6"/>
          <w:sz w:val="24"/>
          <w:szCs w:val="24"/>
        </w:rPr>
        <w:t xml:space="preserve">possible risk/return combinations, where when they like return, they dislike risk. Therefore, </w:t>
      </w:r>
      <w:r>
        <w:rPr>
          <w:rStyle w:val="Character6"/>
          <w:sz w:val="24"/>
          <w:szCs w:val="24"/>
        </w:rPr>
        <w:t xml:space="preserve">entities obtain different levels of utility from different risk/return combinations. The utility </w:t>
      </w:r>
      <w:r>
        <w:rPr>
          <w:rStyle w:val="Character6"/>
          <w:sz w:val="24"/>
          <w:szCs w:val="24"/>
        </w:rPr>
        <w:t xml:space="preserve">obtained from any possible risk/ return combination is expressed by the utility function. Put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simply, the utility function expresses the preferences of entities over perceived risk and expected </w:t>
      </w:r>
      <w:r>
        <w:rPr>
          <w:rStyle w:val="Character6"/>
          <w:sz w:val="24"/>
          <w:szCs w:val="24"/>
        </w:rPr>
        <w:t xml:space="preserve">return combinations. A utility function can be expressed in graphical form by a set of </w:t>
      </w:r>
      <w:r>
        <w:rPr>
          <w:rStyle w:val="Character6"/>
          <w:sz w:val="24"/>
          <w:szCs w:val="24"/>
        </w:rPr>
        <w:t xml:space="preserve">indifference curves. Exhibit 2.1 shows indifference curves labeled u1, u2, and u3. By convention, </w:t>
      </w:r>
      <w:r>
        <w:rPr>
          <w:rStyle w:val="Character6"/>
          <w:sz w:val="24"/>
          <w:szCs w:val="24"/>
        </w:rPr>
        <w:t xml:space="preserve">the horizontal axis measures risk and the vertical axis measures expected return. Each curve </w:t>
      </w:r>
      <w:r>
        <w:rPr>
          <w:rStyle w:val="Character6"/>
          <w:sz w:val="24"/>
          <w:szCs w:val="24"/>
        </w:rPr>
        <w:t xml:space="preserve">represents a set of portfolios with different combinations of risk and return. All the points on a </w:t>
      </w:r>
      <w:r>
        <w:rPr>
          <w:rStyle w:val="Character6"/>
          <w:sz w:val="24"/>
          <w:szCs w:val="24"/>
        </w:rPr>
        <w:t xml:space="preserve">given indifference curve indicate combinations of risk and expected return that will give the </w:t>
      </w:r>
      <w:r>
        <w:rPr>
          <w:rStyle w:val="Character6"/>
          <w:sz w:val="24"/>
          <w:szCs w:val="24"/>
        </w:rPr>
        <w:t xml:space="preserve">same level of utility to a given investor. For example, on utility curve u1, there are two points u </w:t>
      </w:r>
      <w:r>
        <w:rPr>
          <w:rStyle w:val="Character6"/>
          <w:sz w:val="24"/>
          <w:szCs w:val="24"/>
        </w:rPr>
        <w:t xml:space="preserve">and u′, with u having a higher expected return than u′, but also having a higher risk. Because the </w:t>
      </w:r>
      <w:r>
        <w:rPr>
          <w:rStyle w:val="Character6"/>
          <w:sz w:val="24"/>
          <w:szCs w:val="24"/>
        </w:rPr>
        <w:t xml:space="preserve">two points lie on the same indifference curve, the investor has an equal preference for (or is </w:t>
      </w:r>
      <w:r>
        <w:rPr>
          <w:rStyle w:val="Character6"/>
          <w:sz w:val="24"/>
          <w:szCs w:val="24"/>
        </w:rPr>
        <w:t xml:space="preserve">indifferent to) the two points, or, for that matter, any point on the curve. The (positive) slope of </w:t>
      </w:r>
      <w:r>
        <w:rPr>
          <w:rStyle w:val="Character6"/>
          <w:sz w:val="24"/>
          <w:szCs w:val="24"/>
        </w:rPr>
        <w:t xml:space="preserve">an indifference curve reflects the fact that, to obtain the same level of utility, the investor requires </w:t>
      </w:r>
      <w:r>
        <w:rPr>
          <w:rStyle w:val="Character6"/>
          <w:sz w:val="24"/>
          <w:szCs w:val="24"/>
        </w:rPr>
        <w:t xml:space="preserve">a higher expected return in order to accept higher risk. For the three indifference curves shown in </w:t>
      </w:r>
      <w:r>
        <w:rPr>
          <w:rStyle w:val="Character6"/>
          <w:sz w:val="24"/>
          <w:szCs w:val="24"/>
        </w:rPr>
        <w:t xml:space="preserve">Exhibit 2.1, the utility the investor receives is greater the further the indifference curve is from </w:t>
      </w:r>
      <w:r>
        <w:rPr>
          <w:rStyle w:val="Character6"/>
          <w:sz w:val="24"/>
          <w:szCs w:val="24"/>
        </w:rPr>
        <w:t xml:space="preserve">the horizontal axis, because that curve represents a higher level of return at every level of risk. </w:t>
      </w:r>
      <w:r>
        <w:rPr>
          <w:rStyle w:val="Character6"/>
          <w:sz w:val="24"/>
          <w:szCs w:val="24"/>
        </w:rPr>
        <w:t xml:space="preserve">Thus, for the three indifference curves shown in the exhibit, u3 has the highest utility and u1 the </w:t>
      </w:r>
      <w:r>
        <w:rPr>
          <w:rStyle w:val="Character6"/>
          <w:sz w:val="24"/>
          <w:szCs w:val="24"/>
        </w:rPr>
        <w:t>lowest.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The Set of Efficient Portfolios and the Optimal Portfolio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Portfolios that provide the largest possible expected return for given levels of risk are called </w:t>
      </w:r>
      <w:r>
        <w:rPr>
          <w:rStyle w:val="Character6"/>
          <w:sz w:val="24"/>
          <w:szCs w:val="24"/>
        </w:rPr>
        <w:t xml:space="preserve">efficient portfolios. To construct an efficient portfolio, it is necessary to make some assumption </w:t>
      </w:r>
      <w:r>
        <w:rPr>
          <w:rStyle w:val="Character6"/>
          <w:sz w:val="24"/>
          <w:szCs w:val="24"/>
        </w:rPr>
        <w:t xml:space="preserve">about how investors behave when making investment decisions. One reasonable assumption is </w:t>
      </w:r>
      <w:r>
        <w:rPr>
          <w:rStyle w:val="Character6"/>
          <w:sz w:val="24"/>
          <w:szCs w:val="24"/>
        </w:rPr>
        <w:t xml:space="preserve">that investors are risk averse. A risk-averse investor is an investor who, when faced with </w:t>
      </w:r>
      <w:r>
        <w:rPr>
          <w:rStyle w:val="Character6"/>
          <w:sz w:val="24"/>
          <w:szCs w:val="24"/>
        </w:rPr>
        <w:t xml:space="preserve">choosing between two investments with the same expected return but two different risks, prefers </w:t>
      </w:r>
      <w:r>
        <w:rPr>
          <w:rStyle w:val="Character6"/>
          <w:sz w:val="24"/>
          <w:szCs w:val="24"/>
        </w:rPr>
        <w:t xml:space="preserve">the one with the lower risk.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>
            <wp:extent cx="5734050" cy="2476500"/>
            <wp:effectExtent l="0" t="0" r="9030" b="0"/>
            <wp:docPr id="3" name="Picture 2" descr="/data/data/com.infraware.PolarisOfficeStdForTablet/files/.polaris_temp/image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data/data/com.infraware.PolarisOfficeStdForTablet/files/.polaris_temp/image1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2476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175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Source: Fabozzi, 2006.</w:t>
      </w:r>
    </w:p>
    <w:p>
      <w:pPr>
        <w:pStyle w:val="Para6"/>
        <w:spacing w:line="276" w:lineRule="auto"/>
        <w:ind w:left="0"/>
        <w:rPr>
          <w:sz w:val="24"/>
          <w:szCs w:val="24"/>
        </w:rPr>
        <w:sectPr>
          <w:headerReference w:type="default" r:id="rId16"/>
          <w:footerReference w:type="default" r:id="rId17"/>
          <w:pgSz w:w="12240" w:h="15840" w:orient="landscape" w:code="9"/>
          <w:pgMar w:top="1440" w:right="1440" w:bottom="1440" w:left="1440" w:header="720" w:footer="504" w:gutter="0"/>
          <w:docGrid w:linePitch="360" w:charSpace="200"/>
        </w:sect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In selecting portfolios, an investor seeks to maximize the expected portfolio return given his </w:t>
      </w:r>
      <w:r>
        <w:rPr>
          <w:rStyle w:val="Character6"/>
          <w:sz w:val="24"/>
          <w:szCs w:val="24"/>
        </w:rPr>
        <w:t xml:space="preserve">tolerance for risk. Given a choice from the set of efficient portfolios, an optimal portfolio is the </w:t>
      </w:r>
      <w:r>
        <w:rPr>
          <w:rStyle w:val="Character6"/>
          <w:sz w:val="24"/>
          <w:szCs w:val="24"/>
        </w:rPr>
        <w:t xml:space="preserve">one that is most preferred by the investor.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Risk Aversion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The first restriction placed on utility functions is that more is always preferred to less so that </w:t>
      </w:r>
      <w:r>
        <w:rPr>
          <w:rStyle w:val="Character6"/>
          <w:sz w:val="24"/>
          <w:szCs w:val="24"/>
        </w:rPr>
        <w:t xml:space="preserve">U'(W) &gt; 0 where U'(W) = δU (W)/ δW. Now, consider a simple gamble of receiving Ksh.2 for a </w:t>
      </w:r>
      <w:r>
        <w:rPr>
          <w:rStyle w:val="Character6"/>
          <w:sz w:val="24"/>
          <w:szCs w:val="24"/>
        </w:rPr>
        <w:t xml:space="preserve">'head' on the toss of a coin and Ksh.0 for tails. Given a fair coin the expected monetary value of </w:t>
      </w:r>
      <w:r>
        <w:rPr>
          <w:rStyle w:val="Character6"/>
          <w:sz w:val="24"/>
          <w:szCs w:val="24"/>
        </w:rPr>
        <w:t xml:space="preserve">the risky outcome is Ksh.1."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(1/2)2 + (1/2)0=Ksh.1. Suppose it costs the investor Ksh.1 to 'invest' in the game. The outcome </w:t>
      </w:r>
      <w:r>
        <w:rPr>
          <w:rStyle w:val="Character6"/>
          <w:sz w:val="24"/>
          <w:szCs w:val="24"/>
        </w:rPr>
        <w:t xml:space="preserve">from not playing the game (i.e. not investing) is the Ksh.1 which is kept. Risk aversion means the </w:t>
      </w:r>
      <w:r>
        <w:rPr>
          <w:rStyle w:val="Character6"/>
          <w:sz w:val="24"/>
          <w:szCs w:val="24"/>
        </w:rPr>
        <w:t xml:space="preserve">investor will reject a fair gamble; Ksh.1 for certain is preferred to an equal chance of Ksh.2 or </w:t>
      </w:r>
      <w:r>
        <w:rPr>
          <w:rStyle w:val="Character6"/>
          <w:sz w:val="24"/>
          <w:szCs w:val="24"/>
        </w:rPr>
        <w:t xml:space="preserve">Ksh.0. Risk aversion implies that the second derivative of the utility function is negative U"(W) </w:t>
      </w:r>
      <w:r>
        <w:rPr>
          <w:rStyle w:val="Character6"/>
          <w:sz w:val="24"/>
          <w:szCs w:val="24"/>
        </w:rPr>
        <w:t xml:space="preserve">&lt; O.  To see this, note that the utility from not investing U (1) must exceed the expected utility </w:t>
      </w:r>
      <w:r>
        <w:rPr>
          <w:rStyle w:val="Character6"/>
          <w:sz w:val="24"/>
          <w:szCs w:val="24"/>
        </w:rPr>
        <w:t xml:space="preserve">from investing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U (1) &gt; (1/2) U (2) + (1/2) U (0) or U (1) - U (O) &gt; U (2) - U (1) 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So that the utility function has the concave shape given in the figure below marked 'risk averter'.  </w:t>
      </w:r>
      <w:r>
        <w:rPr>
          <w:rStyle w:val="Character6"/>
          <w:sz w:val="24"/>
          <w:szCs w:val="24"/>
        </w:rPr>
        <w:t xml:space="preserve">It is easy to deduce that for a risk lover the utility function is convex while for a risk  neutral </w:t>
      </w:r>
      <w:r>
        <w:rPr>
          <w:rStyle w:val="Character6"/>
          <w:sz w:val="24"/>
          <w:szCs w:val="24"/>
        </w:rPr>
        <w:t xml:space="preserve">investor who is just indifferent to the gamble or the certain outcome, the utility  function is linear </w:t>
      </w:r>
      <w:r>
        <w:rPr>
          <w:rStyle w:val="Character6"/>
          <w:sz w:val="24"/>
          <w:szCs w:val="24"/>
        </w:rPr>
        <w:t xml:space="preserve">(i.e. the equality sign applies to equation. Hence we have: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U"(W) &lt; 0 risk averse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U"(W) = 0 risk neutral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U"(W) &gt; 0 risk lover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ectPr>
          <w:headerReference w:type="default" r:id="rId18"/>
          <w:footerReference w:type="default" r:id="rId19"/>
          <w:pgSz w:w="12240" w:h="15840" w:orient="landscape" w:code="9"/>
          <w:pgMar w:top="1440" w:right="1440" w:bottom="1440" w:left="1440" w:header="720" w:footer="504" w:gutter="0"/>
          <w:docGrid w:linePitch="360" w:charSpace="200"/>
        </w:sectPr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A risk averse investor is also said to have diminishing marginal utility of wealth: each additional </w:t>
      </w:r>
      <w:r>
        <w:rPr>
          <w:rStyle w:val="Character6"/>
          <w:sz w:val="24"/>
          <w:szCs w:val="24"/>
        </w:rPr>
        <w:t xml:space="preserve">unit of wealth adds less to utility the higher the initial level of wealth (i.e.  U"(W) &lt; 0). The </w:t>
      </w:r>
      <w:r>
        <w:rPr>
          <w:rStyle w:val="Character6"/>
          <w:sz w:val="24"/>
          <w:szCs w:val="24"/>
        </w:rPr>
        <w:t xml:space="preserve">degree of risk aversion is given by the concavity of the utility function in the figure below and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equivalently by the absolute size of U"(W). Two measures of the degree of risk aversion are </w:t>
      </w:r>
      <w:r>
        <w:rPr>
          <w:rStyle w:val="Character6"/>
          <w:sz w:val="24"/>
          <w:szCs w:val="24"/>
        </w:rPr>
        <w:t xml:space="preserve">commonly used: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RA (W) = -U" (W)/U'(W) </w:t>
      </w:r>
    </w:p>
    <w:p>
      <w:pPr>
        <w:pStyle w:val="ParaNormal"/>
        <w:sectPr>
          <w:pgSz w:w="12240" w:h="15840" w:orient="portrait" w:code="9"/>
          <w:pgMar w:top="1440" w:right="1440" w:bottom="1440" w:left="1440" w:header="720" w:footer="536" w:gutter="0"/>
          <w:docGrid w:linePitch="360" w:charSpace="200"/>
        </w:sectPr>
      </w:pP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RR (W) = RA (W). W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RA (W) is the Arrow-Pratt measure of absolute risk aversion, the larger is RA (W) the greater the </w:t>
      </w:r>
      <w:r>
        <w:rPr>
          <w:rStyle w:val="Character6"/>
          <w:sz w:val="24"/>
          <w:szCs w:val="24"/>
        </w:rPr>
        <w:t xml:space="preserve">degree of risk aversion. RR (W) is the coefficient of relative risk aversion. RA and RR are a </w:t>
      </w:r>
      <w:r>
        <w:rPr>
          <w:rStyle w:val="Character6"/>
          <w:sz w:val="24"/>
          <w:szCs w:val="24"/>
        </w:rPr>
        <w:t xml:space="preserve">measure of how the investor's risk preferences change with a change in wealth. For example, </w:t>
      </w:r>
      <w:r>
        <w:rPr>
          <w:rStyle w:val="Character6"/>
          <w:sz w:val="24"/>
          <w:szCs w:val="24"/>
        </w:rPr>
        <w:t xml:space="preserve">assume an investor with Ksh.10000 happens to hold Ksh.5000 in risky assets. If his wealth were </w:t>
      </w:r>
      <w:r>
        <w:rPr>
          <w:rStyle w:val="Character6"/>
          <w:sz w:val="24"/>
          <w:szCs w:val="24"/>
        </w:rPr>
        <w:t xml:space="preserve">to increase by Ksh.10 000 and he then put more than Ksh.5000 in sum into risky assets, he is said </w:t>
      </w:r>
      <w:r>
        <w:rPr>
          <w:rStyle w:val="Character6"/>
          <w:sz w:val="24"/>
          <w:szCs w:val="24"/>
        </w:rPr>
        <w:t xml:space="preserve">to exhibit decreasing absolute risk aversion. (The definitions of increasing and constant absolute </w:t>
      </w:r>
      <w:r>
        <w:rPr>
          <w:rStyle w:val="Character6"/>
          <w:sz w:val="24"/>
          <w:szCs w:val="24"/>
        </w:rPr>
        <w:t xml:space="preserve">risk aversion are obvious.)  The natural assumption to make as to whether relative risk aversion </w:t>
      </w:r>
      <w:r>
        <w:rPr>
          <w:rStyle w:val="Character6"/>
          <w:sz w:val="24"/>
          <w:szCs w:val="24"/>
        </w:rPr>
        <w:t xml:space="preserve">is decreasing, increasing or constant is less clear cut. Suppose you have 50 percent of your </w:t>
      </w:r>
      <w:r>
        <w:rPr>
          <w:rStyle w:val="Character6"/>
          <w:sz w:val="24"/>
          <w:szCs w:val="24"/>
        </w:rPr>
        <w:t xml:space="preserve">wealth (of Ksh.100 000) in risky assets. If, when your wealth doubles, you increase the </w:t>
      </w:r>
      <w:r>
        <w:rPr>
          <w:rStyle w:val="Character6"/>
          <w:sz w:val="24"/>
          <w:szCs w:val="24"/>
        </w:rPr>
        <w:t xml:space="preserve">proportion held in risky assets then you are said to exhibit decreasing relative risk aversion. </w:t>
      </w:r>
      <w:r>
        <w:rPr>
          <w:rStyle w:val="Character6"/>
          <w:sz w:val="24"/>
          <w:szCs w:val="24"/>
        </w:rPr>
        <w:t xml:space="preserve">(Similar definitions apply for constant and increasing relative risk aversion.) Different </w:t>
      </w:r>
      <w:r>
        <w:rPr>
          <w:rStyle w:val="Character6"/>
          <w:sz w:val="24"/>
          <w:szCs w:val="24"/>
        </w:rPr>
        <w:t xml:space="preserve">mathematical functions give rise to different implications for the form of risk aversion. For </w:t>
      </w:r>
      <w:r>
        <w:rPr>
          <w:rStyle w:val="Character6"/>
          <w:sz w:val="24"/>
          <w:szCs w:val="24"/>
        </w:rPr>
        <w:t xml:space="preserve">example the function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U (W) = In W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Exhibits diminishing absolute risk aversion and constant relative risk aversion. 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Indifference Curves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Although it is only the case under somewhat restrictive circumstances, let us assume that the </w:t>
      </w:r>
      <w:r>
        <w:rPr>
          <w:rStyle w:val="Character6"/>
          <w:sz w:val="24"/>
          <w:szCs w:val="24"/>
        </w:rPr>
        <w:t xml:space="preserve">utility function above for the risk averter can be represented solely in terms of the expected </w:t>
      </w:r>
      <w:r>
        <w:rPr>
          <w:rStyle w:val="Character6"/>
          <w:sz w:val="24"/>
          <w:szCs w:val="24"/>
        </w:rPr>
        <w:t xml:space="preserve">return and the variance of the return on the portfolio. The link between end of period wealth W </w:t>
      </w:r>
      <w:r>
        <w:rPr>
          <w:rStyle w:val="Character6"/>
          <w:sz w:val="24"/>
          <w:szCs w:val="24"/>
        </w:rPr>
        <w:t xml:space="preserve">and investment in a portfolio of assets yielding an expected return, r, is W = (1 +r) Wo where Wo </w:t>
      </w:r>
      <w:r>
        <w:rPr>
          <w:rStyle w:val="Character6"/>
          <w:sz w:val="24"/>
          <w:szCs w:val="24"/>
        </w:rPr>
        <w:t xml:space="preserve">equals initial wealth. However, we assume the utility function can be represented as 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U (w) =(r, δ2), U1 (w) &gt; 0, U2 (w) &lt;0, U11, U22&lt; 0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 xml:space="preserve">The sign of the first-order partial derivatives (U1, U2) imply that expected return adds to utility </w:t>
      </w:r>
      <w:r>
        <w:rPr>
          <w:rStyle w:val="Character6"/>
          <w:sz w:val="24"/>
          <w:szCs w:val="24"/>
        </w:rPr>
        <w:t xml:space="preserve">while more 'risk' reduces utility. The second-order partial derivatives indicate diminishing </w:t>
      </w:r>
      <w:r>
        <w:rPr>
          <w:rStyle w:val="Character6"/>
          <w:sz w:val="24"/>
          <w:szCs w:val="24"/>
        </w:rPr>
        <w:t xml:space="preserve">marginal utility to additional expected 'returns' and increasing marginal disutility with respect to </w:t>
      </w:r>
      <w:r>
        <w:rPr>
          <w:rStyle w:val="Character6"/>
          <w:sz w:val="24"/>
          <w:szCs w:val="24"/>
        </w:rPr>
        <w:t xml:space="preserve">additional risk. The indifference curves for the above utility function are shown</w:t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tbl>
      <w:tblPr>
        <w:tblStyle w:val="Default Table"/>
        <w:tblCellMar w:top="0" w:left="108" w:bottom="0" w:right="108"/>
        <w:tblW w:w="9576" w:type="auto"/>
        <w:tblLook w:val="0000"/>
      </w:tblPr>
      <w:tblGrid>
        <w:gridCol w:w="9576"/>
      </w:tblGrid>
      <w:tr>
        <w:tc>
          <w:tcPr>
            <w:tcW w:w="957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7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 xml:space="preserve">We say that the utility function v exhibits constant absolute risk aversion, or CARA, if A does </w:t>
            </w:r>
            <w:r>
              <w:rPr>
                <w:rStyle w:val="Character6"/>
                <w:sz w:val="24"/>
                <w:szCs w:val="24"/>
              </w:rPr>
              <w:t xml:space="preserve">not depend on wealth, A’ (w) = 0. v exhibits decreasing absolute risk aversion, or DARA, if </w:t>
            </w:r>
            <w:r>
              <w:rPr>
                <w:rStyle w:val="Character6"/>
                <w:sz w:val="24"/>
                <w:szCs w:val="24"/>
              </w:rPr>
              <w:t xml:space="preserve">richer people are less absolutely risk averse than poorer ones, A’ (w) &lt; 0. Likewise, v exhibits </w:t>
            </w:r>
            <w:r>
              <w:rPr>
                <w:rStyle w:val="Character6"/>
                <w:sz w:val="24"/>
                <w:szCs w:val="24"/>
              </w:rPr>
              <w:t xml:space="preserve">increasing absolute risk aversion, IARA, if A’ (w) &gt; 0.</w:t>
            </w:r>
          </w:p>
        </w:tc>
      </w:tr>
    </w:tbl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6"/>
        <w:spacing w:line="276" w:lineRule="auto"/>
        <w:ind w:left="0"/>
        <w:rPr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sectPr>
      <w:headerReference w:type="default" r:id="rId20"/>
      <w:footerReference w:type="default" r:id="rId21"/>
      <w:pgSz w:w="12240" w:h="15840" w:orient="landscape" w:code="9"/>
      <w:pgMar w:top="1440" w:right="1440" w:bottom="1440" w:left="1440" w:header="720" w:footer="504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HYTK J+ CM R 12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Futura-Heavy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Ten-Bol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Ten-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Ten-Ital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RMTMI">
    <w:panose1 w:val="020F0502020204030204"/>
    <w:charset w:val="40"/>
    <w:family w:val="mordern"/>
    <w:pitch w:val="variable"/>
    <w:sig w:usb0="A00002EF" w:usb1="4000207B" w:usb2="00000000" w:usb3="00000000" w:csb0="0000009F" w:csb1="00000000"/>
  </w:font>
  <w:font w:name="MTSY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Helvetica-Bl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TEX">
    <w:panose1 w:val="020F0502020204030204"/>
    <w:charset w:val="40"/>
    <w:family w:val="mordern"/>
    <w:pitch w:val="variable"/>
    <w:sig w:usb0="A00002EF" w:usb1="4000207B" w:usb2="00000000" w:usb3="00000000" w:csb0="0000009F" w:csb1="00000000"/>
  </w:font>
  <w:font w:name="Sabon-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 Math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bon-Ital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NewBaskerville-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TMI">
    <w:panose1 w:val="020F0502020204030204"/>
    <w:charset w:val="40"/>
    <w:family w:val="mordern"/>
    <w:pitch w:val="variable"/>
    <w:sig w:usb0="A00002EF" w:usb1="4000207B" w:usb2="00000000" w:usb3="00000000" w:csb0="0000009F" w:csb1="00000000"/>
  </w:font>
  <w:font w:name="NewBaskerville-Ital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TSYN">
    <w:panose1 w:val="020F0502020204030204"/>
    <w:charset w:val="40"/>
    <w:family w:val="mordern"/>
    <w:pitch w:val="variable"/>
    <w:sig w:usb0="A00002EF" w:usb1="4000207B" w:usb2="00000000" w:usb3="00000000" w:csb0="0000009F" w:csb1="00000000"/>
  </w:font>
  <w:font w:name="CMR10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13,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MBAD 733: FINANCE THEORY- UTILITY THEORY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13,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MBAD 733: FINANCE THEORY- UTILITY THEORY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13,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MBAD 733: FINANCE THEORY- UTILITY THEORY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13,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MBAD 733: FINANCE THEORY- UTILITY THEORY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13,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MBAD 733: FINANCE THEORY- UTILITY THEORY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13,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MBAD 733: FINANCE THEORY- UTILITY THEORY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13,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MBAD 733: FINANCE THEORY- UTILITY THEORY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13,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MBAD 733: FINANCE THEORY- UTILITY THEORY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righ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">
    <w:name w:val="ParaAttribute1"/>
    <w:pPr>
      <w:jc w:val="lef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lef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3">
    <w:name w:val="ParaAttribute3"/>
    <w:pPr>
      <w:jc w:val="center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4">
    <w:name w:val="ParaAttribute4"/>
    <w:pPr>
      <w:spacing w:after="385"/>
      <w:jc w:val="both"/>
      <w:ind w:left="0"/>
      <w:widowControl w:val="false"/>
      <w:rPr/>
    </w:pPr>
  </w:style>
  <w:style w:type="paragraph" w:customStyle="1" w:styleId="Para5">
    <w:name w:val="ParaAttribute5"/>
    <w:pPr>
      <w:spacing w:after="200"/>
      <w:jc w:val="both"/>
      <w:ind w:left="0"/>
      <w:widowControl w:val="false"/>
      <w:rPr/>
    </w:pPr>
  </w:style>
  <w:style w:type="paragraph" w:customStyle="1" w:styleId="Para6">
    <w:name w:val="ParaAttribute6"/>
    <w:pPr>
      <w:jc w:val="both"/>
      <w:ind w:left="0"/>
      <w:widowControl w:val="false"/>
      <w:rPr/>
    </w:pPr>
  </w:style>
  <w:style w:type="paragraph" w:customStyle="1" w:styleId="Para7">
    <w:name w:val="ParaAttribute7"/>
    <w:pPr>
      <w:jc w:val="left"/>
      <w:ind w:left="0"/>
      <w:widowControl w:val="false"/>
      <w:rPr/>
    </w:pPr>
  </w:style>
  <w:style w:type="paragraph" w:customStyle="1" w:styleId="Para8">
    <w:name w:val="ParaAttribute8"/>
    <w:pPr>
      <w:jc w:val="left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Calibri"/>
      <w:color w:val="FFFFFF"/>
      <w:sz w:val="22"/>
    </w:rPr>
  </w:style>
  <w:style w:type="character" w:customStyle="1" w:styleId="Character1">
    <w:name w:val="CharAttribute1"/>
    <w:rPr>
      <w:rFonts w:ascii="Times New Roman" w:eastAsia="Calibri"/>
      <w:color w:val="76923C"/>
      <w:sz w:val="24"/>
    </w:rPr>
  </w:style>
  <w:style w:type="character" w:customStyle="1" w:styleId="Character2">
    <w:name w:val="CharAttribute2"/>
    <w:rPr>
      <w:rFonts w:ascii="Times New Roman" w:eastAsia="Calibri"/>
      <w:color w:val="76923C"/>
      <w:sz w:val="24"/>
    </w:rPr>
  </w:style>
  <w:style w:type="character" w:customStyle="1" w:styleId="Character3">
    <w:name w:val="CharAttribute3"/>
    <w:rPr>
      <w:rFonts w:ascii="Times New Roman" w:eastAsia="Calibri"/>
      <w:color w:val="FFFFFF"/>
      <w:sz w:val="22"/>
    </w:rPr>
  </w:style>
  <w:style w:type="character" w:customStyle="1" w:styleId="Character4">
    <w:name w:val="CharAttribute4"/>
    <w:rPr>
      <w:rFonts w:ascii="Times New Roman" w:eastAsia="Calibri"/>
      <w:sz w:val="22"/>
    </w:rPr>
  </w:style>
  <w:style w:type="character" w:customStyle="1" w:styleId="Character5">
    <w:name w:val="CharAttribute5"/>
    <w:rPr>
      <w:rFonts w:ascii="Times New Roman" w:eastAsia="Calibri"/>
      <w:b/>
      <w:sz w:val="24"/>
    </w:rPr>
  </w:style>
  <w:style w:type="character" w:customStyle="1" w:styleId="Character6">
    <w:name w:val="CharAttribute6"/>
    <w:rPr>
      <w:rFonts w:ascii="Times New Roman" w:eastAsia="Calibri"/>
      <w:sz w:val="24"/>
    </w:rPr>
  </w:style>
  <w:style w:type="character" w:customStyle="1" w:styleId="Character7">
    <w:name w:val="CharAttribute7"/>
    <w:rPr>
      <w:rFonts w:ascii="Calibri" w:eastAsia="Calibri"/>
    </w:rPr>
  </w:style>
  <w:style w:type="character" w:customStyle="1" w:styleId="Character8">
    <w:name w:val="CharAttribute8"/>
    <w:rPr>
      <w:rFonts w:ascii="Times New Roman" w:eastAsia="Calibri"/>
      <w:sz w:val="24"/>
    </w:rPr>
  </w:style>
  <w:style w:type="character" w:customStyle="1" w:styleId="Character9">
    <w:name w:val="CharAttribute9"/>
    <w:rPr>
      <w:rFonts w:ascii="Times New Roman" w:eastAsia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.xml"></Relationship><Relationship Id="rId6" Type="http://schemas.openxmlformats.org/officeDocument/2006/relationships/header" Target="header2.xml"></Relationship><Relationship Id="rId7" Type="http://schemas.openxmlformats.org/officeDocument/2006/relationships/footer" Target="footer1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2.xml"></Relationship><Relationship Id="rId10" Type="http://schemas.openxmlformats.org/officeDocument/2006/relationships/header" Target="header4.xml"></Relationship><Relationship Id="rId11" Type="http://schemas.openxmlformats.org/officeDocument/2006/relationships/footer" Target="footer3.xml"></Relationship><Relationship Id="rId12" Type="http://schemas.openxmlformats.org/officeDocument/2006/relationships/header" Target="header5.xml"></Relationship><Relationship Id="rId13" Type="http://schemas.openxmlformats.org/officeDocument/2006/relationships/footer" Target="footer4.xml"></Relationship><Relationship Id="rId14" Type="http://schemas.openxmlformats.org/officeDocument/2006/relationships/image" Target="media/image1.emf"></Relationship><Relationship Id="rId15" Type="http://schemas.openxmlformats.org/officeDocument/2006/relationships/image" Target="media/image1.emf"></Relationship><Relationship Id="rId16" Type="http://schemas.openxmlformats.org/officeDocument/2006/relationships/header" Target="header6.xml"></Relationship><Relationship Id="rId17" Type="http://schemas.openxmlformats.org/officeDocument/2006/relationships/footer" Target="footer5.xml"></Relationship><Relationship Id="rId18" Type="http://schemas.openxmlformats.org/officeDocument/2006/relationships/header" Target="header7.xml"></Relationship><Relationship Id="rId19" Type="http://schemas.openxmlformats.org/officeDocument/2006/relationships/footer" Target="footer6.xml"></Relationship><Relationship Id="rId20" Type="http://schemas.openxmlformats.org/officeDocument/2006/relationships/header" Target="header8.xml"></Relationship><Relationship Id="rId21" Type="http://schemas.openxmlformats.org/officeDocument/2006/relationships/footer" Target="footer7.xml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