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D29" w:rsidRPr="005E3F8A" w:rsidRDefault="00434E63" w:rsidP="00F61C98">
      <w:pPr>
        <w:pStyle w:val="Title"/>
        <w:jc w:val="center"/>
        <w:rPr>
          <w:sz w:val="40"/>
          <w:szCs w:val="40"/>
        </w:rPr>
      </w:pPr>
      <w:r w:rsidRPr="005E3F8A">
        <w:rPr>
          <w:sz w:val="40"/>
          <w:szCs w:val="40"/>
        </w:rPr>
        <w:t>LAIKIPIA UNIVERSITY COLLEGE</w:t>
      </w:r>
    </w:p>
    <w:p w:rsidR="00434E63" w:rsidRPr="005E3F8A" w:rsidRDefault="0038621B" w:rsidP="00F61C98">
      <w:pPr>
        <w:pStyle w:val="Title"/>
        <w:jc w:val="center"/>
        <w:rPr>
          <w:sz w:val="40"/>
          <w:szCs w:val="40"/>
        </w:rPr>
      </w:pPr>
      <w:r w:rsidRPr="005E3F8A">
        <w:rPr>
          <w:sz w:val="40"/>
          <w:szCs w:val="40"/>
        </w:rPr>
        <w:t>BUST 212</w:t>
      </w:r>
      <w:r w:rsidR="00434E63" w:rsidRPr="005E3F8A">
        <w:rPr>
          <w:sz w:val="40"/>
          <w:szCs w:val="40"/>
        </w:rPr>
        <w:t xml:space="preserve"> </w:t>
      </w:r>
      <w:r w:rsidRPr="005E3F8A">
        <w:rPr>
          <w:sz w:val="40"/>
          <w:szCs w:val="40"/>
        </w:rPr>
        <w:t>INTERMIDIATE ACCOUNTING</w:t>
      </w:r>
    </w:p>
    <w:p w:rsidR="00434E63" w:rsidRPr="005E3F8A" w:rsidRDefault="00434E63" w:rsidP="00F61C98">
      <w:pPr>
        <w:pStyle w:val="Title"/>
        <w:jc w:val="center"/>
        <w:rPr>
          <w:sz w:val="40"/>
          <w:szCs w:val="40"/>
        </w:rPr>
      </w:pPr>
      <w:r w:rsidRPr="005E3F8A">
        <w:rPr>
          <w:sz w:val="40"/>
          <w:szCs w:val="40"/>
        </w:rPr>
        <w:t>CONTINOUS ASSESSMENT TEST 1</w:t>
      </w:r>
    </w:p>
    <w:p w:rsidR="00A55390" w:rsidRPr="00F61C98" w:rsidRDefault="00F61C98">
      <w:pPr>
        <w:rPr>
          <w:b/>
          <w:u w:val="single"/>
        </w:rPr>
      </w:pPr>
      <w:r w:rsidRPr="00F61C98">
        <w:rPr>
          <w:b/>
          <w:u w:val="single"/>
        </w:rPr>
        <w:t>READ AND FOLLOW the instructions given in each question</w:t>
      </w:r>
    </w:p>
    <w:p w:rsidR="00434E63" w:rsidRPr="00F61C98" w:rsidRDefault="00A55390">
      <w:pPr>
        <w:rPr>
          <w:b/>
          <w:u w:val="single"/>
        </w:rPr>
      </w:pPr>
      <w:r w:rsidRPr="00F61C98">
        <w:rPr>
          <w:b/>
          <w:u w:val="single"/>
        </w:rPr>
        <w:t>Attempt both</w:t>
      </w:r>
      <w:r w:rsidR="00434E63" w:rsidRPr="00F61C98">
        <w:rPr>
          <w:b/>
          <w:u w:val="single"/>
        </w:rPr>
        <w:t xml:space="preserve"> questions</w:t>
      </w:r>
    </w:p>
    <w:p w:rsidR="00D5728C" w:rsidRDefault="0038621B" w:rsidP="00D70B5A">
      <w:pPr>
        <w:pStyle w:val="ListParagraph"/>
        <w:numPr>
          <w:ilvl w:val="0"/>
          <w:numId w:val="2"/>
        </w:numPr>
        <w:jc w:val="both"/>
      </w:pPr>
      <w:r>
        <w:t>Kericho company LTD had the following non-current assets on January 1, 2009:</w:t>
      </w:r>
    </w:p>
    <w:tbl>
      <w:tblPr>
        <w:tblStyle w:val="TableGrid"/>
        <w:tblW w:w="0" w:type="auto"/>
        <w:tblInd w:w="648" w:type="dxa"/>
        <w:tblLook w:val="04A0"/>
      </w:tblPr>
      <w:tblGrid>
        <w:gridCol w:w="2430"/>
        <w:gridCol w:w="2070"/>
        <w:gridCol w:w="4428"/>
      </w:tblGrid>
      <w:tr w:rsidR="0038621B" w:rsidTr="00086A8B">
        <w:tc>
          <w:tcPr>
            <w:tcW w:w="2430" w:type="dxa"/>
          </w:tcPr>
          <w:p w:rsidR="0038621B" w:rsidRDefault="0038621B" w:rsidP="00D70B5A">
            <w:pPr>
              <w:pStyle w:val="ListParagraph"/>
              <w:ind w:left="0"/>
              <w:jc w:val="both"/>
            </w:pPr>
            <w:r>
              <w:t>ASSET</w:t>
            </w:r>
          </w:p>
        </w:tc>
        <w:tc>
          <w:tcPr>
            <w:tcW w:w="2070" w:type="dxa"/>
          </w:tcPr>
          <w:p w:rsidR="0038621B" w:rsidRDefault="0038621B" w:rsidP="00D70B5A">
            <w:pPr>
              <w:pStyle w:val="ListParagraph"/>
              <w:ind w:left="0"/>
              <w:jc w:val="both"/>
            </w:pPr>
            <w:r>
              <w:t>COST (Ksh. Millions)</w:t>
            </w:r>
          </w:p>
        </w:tc>
        <w:tc>
          <w:tcPr>
            <w:tcW w:w="4428" w:type="dxa"/>
          </w:tcPr>
          <w:p w:rsidR="0038621B" w:rsidRDefault="0038621B" w:rsidP="00D70B5A">
            <w:pPr>
              <w:pStyle w:val="ListParagraph"/>
              <w:ind w:left="0"/>
              <w:jc w:val="both"/>
            </w:pPr>
            <w:r>
              <w:t>ACCUMULATED DEPPRECIATION</w:t>
            </w:r>
            <w:r w:rsidR="00086A8B">
              <w:t xml:space="preserve"> (Ksh. Millions</w:t>
            </w:r>
            <w:r>
              <w:t>)</w:t>
            </w:r>
          </w:p>
        </w:tc>
      </w:tr>
      <w:tr w:rsidR="0038621B" w:rsidTr="00086A8B">
        <w:tc>
          <w:tcPr>
            <w:tcW w:w="2430" w:type="dxa"/>
          </w:tcPr>
          <w:p w:rsidR="0038621B" w:rsidRDefault="0038621B" w:rsidP="00D70B5A">
            <w:pPr>
              <w:pStyle w:val="ListParagraph"/>
              <w:ind w:left="0"/>
              <w:jc w:val="both"/>
            </w:pPr>
            <w:r>
              <w:t>Motor vehicles</w:t>
            </w:r>
          </w:p>
        </w:tc>
        <w:tc>
          <w:tcPr>
            <w:tcW w:w="2070" w:type="dxa"/>
          </w:tcPr>
          <w:p w:rsidR="0038621B" w:rsidRDefault="00086A8B" w:rsidP="00D70B5A">
            <w:pPr>
              <w:pStyle w:val="ListParagraph"/>
              <w:ind w:left="0"/>
              <w:jc w:val="both"/>
            </w:pPr>
            <w:r>
              <w:t>500</w:t>
            </w:r>
          </w:p>
        </w:tc>
        <w:tc>
          <w:tcPr>
            <w:tcW w:w="4428" w:type="dxa"/>
          </w:tcPr>
          <w:p w:rsidR="0038621B" w:rsidRDefault="00086A8B" w:rsidP="00D70B5A">
            <w:pPr>
              <w:pStyle w:val="ListParagraph"/>
              <w:ind w:left="0"/>
              <w:jc w:val="both"/>
            </w:pPr>
            <w:r>
              <w:t>60</w:t>
            </w:r>
          </w:p>
        </w:tc>
      </w:tr>
      <w:tr w:rsidR="0038621B" w:rsidTr="00086A8B">
        <w:tc>
          <w:tcPr>
            <w:tcW w:w="2430" w:type="dxa"/>
          </w:tcPr>
          <w:p w:rsidR="0038621B" w:rsidRDefault="0038621B" w:rsidP="00D70B5A">
            <w:pPr>
              <w:pStyle w:val="ListParagraph"/>
              <w:ind w:left="0"/>
              <w:jc w:val="both"/>
            </w:pPr>
            <w:r>
              <w:t>Furniture and fittings</w:t>
            </w:r>
          </w:p>
        </w:tc>
        <w:tc>
          <w:tcPr>
            <w:tcW w:w="2070" w:type="dxa"/>
          </w:tcPr>
          <w:p w:rsidR="0038621B" w:rsidRDefault="00086A8B" w:rsidP="00D70B5A">
            <w:pPr>
              <w:pStyle w:val="ListParagraph"/>
              <w:ind w:left="0"/>
              <w:jc w:val="both"/>
            </w:pPr>
            <w:r>
              <w:t>30</w:t>
            </w:r>
          </w:p>
        </w:tc>
        <w:tc>
          <w:tcPr>
            <w:tcW w:w="4428" w:type="dxa"/>
          </w:tcPr>
          <w:p w:rsidR="0038621B" w:rsidRDefault="00086A8B" w:rsidP="00D70B5A">
            <w:pPr>
              <w:pStyle w:val="ListParagraph"/>
              <w:ind w:left="0"/>
              <w:jc w:val="both"/>
            </w:pPr>
            <w:r>
              <w:t>5</w:t>
            </w:r>
          </w:p>
        </w:tc>
      </w:tr>
      <w:tr w:rsidR="0038621B" w:rsidTr="00086A8B">
        <w:tc>
          <w:tcPr>
            <w:tcW w:w="2430" w:type="dxa"/>
          </w:tcPr>
          <w:p w:rsidR="0038621B" w:rsidRDefault="0038621B" w:rsidP="00D70B5A">
            <w:pPr>
              <w:pStyle w:val="ListParagraph"/>
              <w:ind w:left="0"/>
              <w:jc w:val="both"/>
            </w:pPr>
            <w:r>
              <w:t>Factory machinery</w:t>
            </w:r>
          </w:p>
        </w:tc>
        <w:tc>
          <w:tcPr>
            <w:tcW w:w="2070" w:type="dxa"/>
          </w:tcPr>
          <w:p w:rsidR="0038621B" w:rsidRDefault="00086A8B" w:rsidP="00D70B5A">
            <w:pPr>
              <w:pStyle w:val="ListParagraph"/>
              <w:ind w:left="0"/>
              <w:jc w:val="both"/>
            </w:pPr>
            <w:r>
              <w:t>1000</w:t>
            </w:r>
          </w:p>
        </w:tc>
        <w:tc>
          <w:tcPr>
            <w:tcW w:w="4428" w:type="dxa"/>
          </w:tcPr>
          <w:p w:rsidR="0038621B" w:rsidRDefault="00086A8B" w:rsidP="00D70B5A">
            <w:pPr>
              <w:pStyle w:val="ListParagraph"/>
              <w:ind w:left="0"/>
              <w:jc w:val="both"/>
            </w:pPr>
            <w:r>
              <w:t>100</w:t>
            </w:r>
          </w:p>
        </w:tc>
      </w:tr>
      <w:tr w:rsidR="0038621B" w:rsidTr="00086A8B">
        <w:tc>
          <w:tcPr>
            <w:tcW w:w="2430" w:type="dxa"/>
          </w:tcPr>
          <w:p w:rsidR="0038621B" w:rsidRDefault="0038621B" w:rsidP="00D70B5A">
            <w:pPr>
              <w:pStyle w:val="ListParagraph"/>
              <w:ind w:left="0"/>
              <w:jc w:val="both"/>
            </w:pPr>
            <w:r>
              <w:t xml:space="preserve">Land and </w:t>
            </w:r>
            <w:r w:rsidR="00086A8B">
              <w:t>buildings</w:t>
            </w:r>
          </w:p>
        </w:tc>
        <w:tc>
          <w:tcPr>
            <w:tcW w:w="2070" w:type="dxa"/>
          </w:tcPr>
          <w:p w:rsidR="0038621B" w:rsidRDefault="00086A8B" w:rsidP="00D70B5A">
            <w:pPr>
              <w:pStyle w:val="ListParagraph"/>
              <w:ind w:left="0"/>
              <w:jc w:val="both"/>
            </w:pPr>
            <w:r>
              <w:t>800</w:t>
            </w:r>
          </w:p>
        </w:tc>
        <w:tc>
          <w:tcPr>
            <w:tcW w:w="4428" w:type="dxa"/>
          </w:tcPr>
          <w:p w:rsidR="0038621B" w:rsidRDefault="00086A8B" w:rsidP="00D70B5A">
            <w:pPr>
              <w:pStyle w:val="ListParagraph"/>
              <w:ind w:left="0"/>
              <w:jc w:val="both"/>
            </w:pPr>
            <w:r>
              <w:t>120</w:t>
            </w:r>
          </w:p>
        </w:tc>
      </w:tr>
    </w:tbl>
    <w:p w:rsidR="0038621B" w:rsidRDefault="0038621B" w:rsidP="00D70B5A">
      <w:pPr>
        <w:pStyle w:val="ListParagraph"/>
        <w:ind w:left="1080"/>
        <w:jc w:val="both"/>
      </w:pPr>
    </w:p>
    <w:p w:rsidR="0038621B" w:rsidRDefault="00086A8B" w:rsidP="00D70B5A">
      <w:pPr>
        <w:pStyle w:val="ListParagraph"/>
        <w:ind w:left="1080"/>
        <w:jc w:val="both"/>
      </w:pPr>
      <w:r>
        <w:t>The company’s depreciation policy is as follows:</w:t>
      </w:r>
    </w:p>
    <w:p w:rsidR="00086A8B" w:rsidRDefault="00086A8B" w:rsidP="00D70B5A">
      <w:pPr>
        <w:pStyle w:val="ListParagraph"/>
        <w:numPr>
          <w:ilvl w:val="0"/>
          <w:numId w:val="3"/>
        </w:numPr>
        <w:jc w:val="both"/>
      </w:pPr>
      <w:r>
        <w:t>Motor vehicles are depreciated at 10% on cost.</w:t>
      </w:r>
    </w:p>
    <w:p w:rsidR="00086A8B" w:rsidRDefault="00086A8B" w:rsidP="00D70B5A">
      <w:pPr>
        <w:pStyle w:val="ListParagraph"/>
        <w:numPr>
          <w:ilvl w:val="0"/>
          <w:numId w:val="3"/>
        </w:numPr>
        <w:jc w:val="both"/>
      </w:pPr>
      <w:r>
        <w:t>Furniture and fittings and Factory machinery are depreciated at 25% using the reducing balance method.</w:t>
      </w:r>
    </w:p>
    <w:p w:rsidR="00086A8B" w:rsidRDefault="00086A8B" w:rsidP="00D70B5A">
      <w:pPr>
        <w:pStyle w:val="ListParagraph"/>
        <w:numPr>
          <w:ilvl w:val="0"/>
          <w:numId w:val="3"/>
        </w:numPr>
        <w:jc w:val="both"/>
      </w:pPr>
      <w:r>
        <w:t xml:space="preserve">Buildings are depreciated at 15% </w:t>
      </w:r>
      <w:r w:rsidR="00896C0A">
        <w:t xml:space="preserve">p.a. </w:t>
      </w:r>
      <w:r>
        <w:t>using the reducing balance method. The company’s land cost Ksh. 150,000,000.00</w:t>
      </w:r>
    </w:p>
    <w:p w:rsidR="00086A8B" w:rsidRDefault="00086A8B" w:rsidP="00D70B5A">
      <w:pPr>
        <w:pStyle w:val="ListParagraph"/>
        <w:numPr>
          <w:ilvl w:val="0"/>
          <w:numId w:val="3"/>
        </w:numPr>
        <w:jc w:val="both"/>
      </w:pPr>
      <w:r>
        <w:t>Assets are depreciated a full year’s worth of depreciation on the year of acquisition</w:t>
      </w:r>
      <w:r w:rsidR="00A55390">
        <w:t xml:space="preserve"> (regardless of the month they were acquired)</w:t>
      </w:r>
      <w:r>
        <w:t xml:space="preserve">. No depreciation is charged </w:t>
      </w:r>
      <w:r w:rsidR="005E3F8A">
        <w:t>on an asset during the year it is</w:t>
      </w:r>
      <w:r>
        <w:t xml:space="preserve"> disposed off.</w:t>
      </w:r>
    </w:p>
    <w:p w:rsidR="00086A8B" w:rsidRDefault="00086A8B" w:rsidP="00D70B5A">
      <w:pPr>
        <w:ind w:left="720"/>
        <w:jc w:val="both"/>
      </w:pPr>
      <w:r>
        <w:t>The company acquired the following assets during the year</w:t>
      </w:r>
      <w:r w:rsidR="00B5134E">
        <w:t xml:space="preserve"> ending 31</w:t>
      </w:r>
      <w:r w:rsidR="00B5134E" w:rsidRPr="00B5134E">
        <w:rPr>
          <w:vertAlign w:val="superscript"/>
        </w:rPr>
        <w:t>st</w:t>
      </w:r>
      <w:r w:rsidR="00B5134E">
        <w:t xml:space="preserve"> December, 2009</w:t>
      </w:r>
      <w:r>
        <w:t>.</w:t>
      </w:r>
    </w:p>
    <w:tbl>
      <w:tblPr>
        <w:tblStyle w:val="TableGrid"/>
        <w:tblW w:w="0" w:type="auto"/>
        <w:tblInd w:w="648" w:type="dxa"/>
        <w:tblLook w:val="04A0"/>
      </w:tblPr>
      <w:tblGrid>
        <w:gridCol w:w="3509"/>
        <w:gridCol w:w="3961"/>
      </w:tblGrid>
      <w:tr w:rsidR="00086A8B" w:rsidTr="00A55390">
        <w:tc>
          <w:tcPr>
            <w:tcW w:w="3509" w:type="dxa"/>
          </w:tcPr>
          <w:p w:rsidR="00086A8B" w:rsidRDefault="00086A8B" w:rsidP="00D70B5A">
            <w:pPr>
              <w:pStyle w:val="ListParagraph"/>
              <w:ind w:left="0"/>
              <w:jc w:val="both"/>
            </w:pPr>
            <w:r>
              <w:t>ASSET</w:t>
            </w:r>
          </w:p>
        </w:tc>
        <w:tc>
          <w:tcPr>
            <w:tcW w:w="3961" w:type="dxa"/>
          </w:tcPr>
          <w:p w:rsidR="00086A8B" w:rsidRDefault="00086A8B" w:rsidP="00D70B5A">
            <w:pPr>
              <w:pStyle w:val="ListParagraph"/>
              <w:ind w:left="0"/>
              <w:jc w:val="both"/>
            </w:pPr>
            <w:r>
              <w:t>COST (Ksh. Millions)</w:t>
            </w:r>
          </w:p>
        </w:tc>
      </w:tr>
      <w:tr w:rsidR="00086A8B" w:rsidTr="00A55390">
        <w:tc>
          <w:tcPr>
            <w:tcW w:w="3509" w:type="dxa"/>
          </w:tcPr>
          <w:p w:rsidR="00086A8B" w:rsidRDefault="00086A8B" w:rsidP="00D70B5A">
            <w:pPr>
              <w:pStyle w:val="ListParagraph"/>
              <w:ind w:left="0"/>
              <w:jc w:val="both"/>
            </w:pPr>
            <w:r>
              <w:t>Motor vehicles</w:t>
            </w:r>
          </w:p>
        </w:tc>
        <w:tc>
          <w:tcPr>
            <w:tcW w:w="3961" w:type="dxa"/>
          </w:tcPr>
          <w:p w:rsidR="00086A8B" w:rsidRDefault="00086A8B" w:rsidP="00D70B5A">
            <w:pPr>
              <w:pStyle w:val="ListParagraph"/>
              <w:ind w:left="0"/>
              <w:jc w:val="both"/>
            </w:pPr>
            <w:r>
              <w:t>15</w:t>
            </w:r>
          </w:p>
        </w:tc>
      </w:tr>
      <w:tr w:rsidR="00086A8B" w:rsidTr="00A55390">
        <w:tc>
          <w:tcPr>
            <w:tcW w:w="3509" w:type="dxa"/>
          </w:tcPr>
          <w:p w:rsidR="00086A8B" w:rsidRDefault="00086A8B" w:rsidP="00D70B5A">
            <w:pPr>
              <w:pStyle w:val="ListParagraph"/>
              <w:ind w:left="0"/>
              <w:jc w:val="both"/>
            </w:pPr>
            <w:r>
              <w:t>Furniture and fittings</w:t>
            </w:r>
          </w:p>
        </w:tc>
        <w:tc>
          <w:tcPr>
            <w:tcW w:w="3961" w:type="dxa"/>
          </w:tcPr>
          <w:p w:rsidR="00086A8B" w:rsidRDefault="00086A8B" w:rsidP="00D70B5A">
            <w:pPr>
              <w:pStyle w:val="ListParagraph"/>
              <w:ind w:left="0"/>
              <w:jc w:val="both"/>
            </w:pPr>
            <w:r>
              <w:t>10</w:t>
            </w:r>
          </w:p>
        </w:tc>
      </w:tr>
      <w:tr w:rsidR="00086A8B" w:rsidTr="00A55390">
        <w:tc>
          <w:tcPr>
            <w:tcW w:w="3509" w:type="dxa"/>
          </w:tcPr>
          <w:p w:rsidR="00086A8B" w:rsidRDefault="00086A8B" w:rsidP="00D70B5A">
            <w:pPr>
              <w:pStyle w:val="ListParagraph"/>
              <w:ind w:left="0"/>
              <w:jc w:val="both"/>
            </w:pPr>
            <w:r>
              <w:t>Factory machinery</w:t>
            </w:r>
          </w:p>
        </w:tc>
        <w:tc>
          <w:tcPr>
            <w:tcW w:w="3961" w:type="dxa"/>
          </w:tcPr>
          <w:p w:rsidR="00086A8B" w:rsidRDefault="00086A8B" w:rsidP="00D70B5A">
            <w:pPr>
              <w:pStyle w:val="ListParagraph"/>
              <w:ind w:left="0"/>
              <w:jc w:val="both"/>
            </w:pPr>
            <w:r>
              <w:t>200</w:t>
            </w:r>
          </w:p>
        </w:tc>
      </w:tr>
      <w:tr w:rsidR="00086A8B" w:rsidTr="00A55390">
        <w:tc>
          <w:tcPr>
            <w:tcW w:w="3509" w:type="dxa"/>
          </w:tcPr>
          <w:p w:rsidR="00086A8B" w:rsidRDefault="00086A8B" w:rsidP="00D70B5A">
            <w:pPr>
              <w:pStyle w:val="ListParagraph"/>
              <w:ind w:left="0"/>
              <w:jc w:val="both"/>
            </w:pPr>
            <w:r>
              <w:t>Buildings</w:t>
            </w:r>
          </w:p>
        </w:tc>
        <w:tc>
          <w:tcPr>
            <w:tcW w:w="3961" w:type="dxa"/>
          </w:tcPr>
          <w:p w:rsidR="00086A8B" w:rsidRDefault="00086A8B" w:rsidP="00D70B5A">
            <w:pPr>
              <w:pStyle w:val="ListParagraph"/>
              <w:ind w:left="0"/>
              <w:jc w:val="both"/>
            </w:pPr>
            <w:r>
              <w:t>800</w:t>
            </w:r>
          </w:p>
        </w:tc>
      </w:tr>
    </w:tbl>
    <w:p w:rsidR="00A55390" w:rsidRDefault="00A55390" w:rsidP="00D70B5A">
      <w:pPr>
        <w:ind w:left="720"/>
        <w:jc w:val="both"/>
      </w:pPr>
    </w:p>
    <w:p w:rsidR="00A55390" w:rsidRDefault="00A55390" w:rsidP="00D70B5A">
      <w:pPr>
        <w:ind w:left="720"/>
        <w:jc w:val="both"/>
      </w:pPr>
      <w:r>
        <w:t>A motor vehicle that cost Ksh. 3,000,000.00 and an accumulated depreciation of 1,800,000.00 was disposed off in the year for Ksh. 2,000,000.00. Further, an item of buildings was reclassified to the furniture and fittings; the item cost Ksh. 1,000,000.00 and had an accumulated depreciation of Ksh. 500,000.00</w:t>
      </w:r>
    </w:p>
    <w:p w:rsidR="00A55390" w:rsidRPr="00BA40F1" w:rsidRDefault="00A55390" w:rsidP="00D70B5A">
      <w:pPr>
        <w:ind w:left="720"/>
        <w:jc w:val="both"/>
        <w:rPr>
          <w:u w:val="single"/>
        </w:rPr>
      </w:pPr>
      <w:r w:rsidRPr="00BA40F1">
        <w:rPr>
          <w:u w:val="single"/>
        </w:rPr>
        <w:t>REQUIRED:</w:t>
      </w:r>
    </w:p>
    <w:p w:rsidR="00A55390" w:rsidRDefault="00A55390" w:rsidP="00D70B5A">
      <w:pPr>
        <w:pStyle w:val="ListParagraph"/>
        <w:numPr>
          <w:ilvl w:val="0"/>
          <w:numId w:val="5"/>
        </w:numPr>
        <w:jc w:val="both"/>
      </w:pPr>
      <w:r>
        <w:t xml:space="preserve">The depreciation </w:t>
      </w:r>
      <w:r w:rsidR="00B5134E">
        <w:t>expense for the year ending 31</w:t>
      </w:r>
      <w:r w:rsidR="00B5134E" w:rsidRPr="00B5134E">
        <w:rPr>
          <w:vertAlign w:val="superscript"/>
        </w:rPr>
        <w:t>st</w:t>
      </w:r>
      <w:r w:rsidR="00B5134E">
        <w:t xml:space="preserve"> December 2009 </w:t>
      </w:r>
      <w:r>
        <w:t>for each of the class of assets (show all your workings) (13 mks).</w:t>
      </w:r>
    </w:p>
    <w:p w:rsidR="00A55390" w:rsidRDefault="00A55390" w:rsidP="00D70B5A">
      <w:pPr>
        <w:pStyle w:val="ListParagraph"/>
        <w:numPr>
          <w:ilvl w:val="0"/>
          <w:numId w:val="5"/>
        </w:numPr>
        <w:jc w:val="both"/>
      </w:pPr>
      <w:r>
        <w:t xml:space="preserve">The property, plant and equipment </w:t>
      </w:r>
      <w:r w:rsidR="00B5134E">
        <w:t xml:space="preserve">(PPE) </w:t>
      </w:r>
      <w:r>
        <w:t>movement schedule for the year (12 mks)</w:t>
      </w:r>
    </w:p>
    <w:p w:rsidR="005E3F8A" w:rsidRDefault="005E3F8A" w:rsidP="00D70B5A">
      <w:pPr>
        <w:pStyle w:val="ListParagraph"/>
        <w:numPr>
          <w:ilvl w:val="0"/>
          <w:numId w:val="5"/>
        </w:numPr>
        <w:jc w:val="both"/>
      </w:pPr>
      <w:r>
        <w:t>The disposal account for the motor vehicle disposed off, showing the disposal gain/ loss</w:t>
      </w:r>
      <w:r w:rsidR="009E2A0E">
        <w:t>.</w:t>
      </w:r>
      <w:r>
        <w:t xml:space="preserve"> (5 mks)</w:t>
      </w:r>
    </w:p>
    <w:p w:rsidR="001F1AA1" w:rsidRDefault="001F1AA1" w:rsidP="00D70B5A">
      <w:pPr>
        <w:pStyle w:val="ListParagraph"/>
        <w:ind w:left="1440"/>
        <w:jc w:val="both"/>
      </w:pPr>
    </w:p>
    <w:p w:rsidR="001F1AA1" w:rsidRDefault="001F1AA1" w:rsidP="00D70B5A">
      <w:pPr>
        <w:pStyle w:val="ListParagraph"/>
        <w:ind w:left="1440"/>
        <w:jc w:val="both"/>
      </w:pPr>
    </w:p>
    <w:p w:rsidR="001F1AA1" w:rsidRDefault="001F1AA1" w:rsidP="00D70B5A">
      <w:pPr>
        <w:pStyle w:val="ListParagraph"/>
        <w:ind w:left="1440"/>
        <w:jc w:val="both"/>
      </w:pPr>
    </w:p>
    <w:p w:rsidR="005E3F8A" w:rsidRDefault="001F1AA1" w:rsidP="00D70B5A">
      <w:pPr>
        <w:pStyle w:val="ListParagraph"/>
        <w:numPr>
          <w:ilvl w:val="0"/>
          <w:numId w:val="2"/>
        </w:numPr>
        <w:jc w:val="both"/>
      </w:pPr>
      <w:r>
        <w:t>Taifa LTD floated an issue of 3,000,000 ordinary shares of Ksh. 10 par each. The payment terms were as follows:</w:t>
      </w:r>
    </w:p>
    <w:p w:rsidR="001F1AA1" w:rsidRDefault="001F1AA1" w:rsidP="00D70B5A">
      <w:pPr>
        <w:pStyle w:val="ListParagraph"/>
        <w:numPr>
          <w:ilvl w:val="0"/>
          <w:numId w:val="6"/>
        </w:numPr>
        <w:jc w:val="both"/>
      </w:pPr>
      <w:r>
        <w:t>On application- Ksh. 5 per share.</w:t>
      </w:r>
    </w:p>
    <w:p w:rsidR="001F1AA1" w:rsidRDefault="005D00FF" w:rsidP="00D70B5A">
      <w:pPr>
        <w:pStyle w:val="ListParagraph"/>
        <w:numPr>
          <w:ilvl w:val="0"/>
          <w:numId w:val="6"/>
        </w:numPr>
        <w:jc w:val="both"/>
      </w:pPr>
      <w:r>
        <w:t>On allotment- Ksh. 5</w:t>
      </w:r>
      <w:r w:rsidR="001F1AA1">
        <w:t xml:space="preserve"> per share.</w:t>
      </w:r>
    </w:p>
    <w:p w:rsidR="001F1AA1" w:rsidRDefault="005D00FF" w:rsidP="00D70B5A">
      <w:pPr>
        <w:pStyle w:val="ListParagraph"/>
        <w:numPr>
          <w:ilvl w:val="0"/>
          <w:numId w:val="6"/>
        </w:numPr>
        <w:jc w:val="both"/>
      </w:pPr>
      <w:r>
        <w:t>On first and final call- Ksh. 2</w:t>
      </w:r>
      <w:r w:rsidR="001F1AA1">
        <w:t xml:space="preserve"> per share</w:t>
      </w:r>
      <w:r>
        <w:t xml:space="preserve"> (T</w:t>
      </w:r>
      <w:r w:rsidR="001F1AA1">
        <w:t>he premium).</w:t>
      </w:r>
    </w:p>
    <w:p w:rsidR="0022181F" w:rsidRDefault="0022181F" w:rsidP="00D70B5A">
      <w:pPr>
        <w:ind w:left="1080"/>
        <w:jc w:val="both"/>
      </w:pPr>
      <w:r>
        <w:t>Applications for 4,000,000 shares were received. T</w:t>
      </w:r>
      <w:r w:rsidR="00D70B5A">
        <w:t xml:space="preserve">he excess application money was </w:t>
      </w:r>
      <w:r>
        <w:t>refunded. All the other monies were received in time, except for one investor, Mr. Othieno who failed to pay for the first and final call. The investor in question had been allotted 300,000 shares. His shares were forfeited and later reissued at par.</w:t>
      </w:r>
    </w:p>
    <w:p w:rsidR="0022181F" w:rsidRPr="00BA40F1" w:rsidRDefault="0022181F" w:rsidP="00D70B5A">
      <w:pPr>
        <w:ind w:left="1080"/>
        <w:jc w:val="both"/>
        <w:rPr>
          <w:u w:val="single"/>
        </w:rPr>
      </w:pPr>
      <w:r w:rsidRPr="00BA40F1">
        <w:rPr>
          <w:u w:val="single"/>
        </w:rPr>
        <w:t>REQUIRED</w:t>
      </w:r>
    </w:p>
    <w:p w:rsidR="0022181F" w:rsidRDefault="00BA40F1" w:rsidP="00D70B5A">
      <w:pPr>
        <w:ind w:left="1080"/>
        <w:jc w:val="both"/>
      </w:pPr>
      <w:r>
        <w:t>Journal entries to record the above transactions (10 mks).</w:t>
      </w:r>
    </w:p>
    <w:p w:rsidR="001F1AA1" w:rsidRDefault="001F1AA1" w:rsidP="001F1AA1">
      <w:pPr>
        <w:pStyle w:val="ListParagraph"/>
        <w:ind w:left="1800"/>
      </w:pPr>
    </w:p>
    <w:sectPr w:rsidR="001F1AA1" w:rsidSect="005E3F8A">
      <w:pgSz w:w="12240" w:h="15840"/>
      <w:pgMar w:top="720" w:right="1440" w:bottom="72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F1E92"/>
    <w:multiLevelType w:val="hybridMultilevel"/>
    <w:tmpl w:val="707809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D66B25"/>
    <w:multiLevelType w:val="hybridMultilevel"/>
    <w:tmpl w:val="7A6620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8152D2D"/>
    <w:multiLevelType w:val="hybridMultilevel"/>
    <w:tmpl w:val="1D2ECF60"/>
    <w:lvl w:ilvl="0" w:tplc="A766A8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743411"/>
    <w:multiLevelType w:val="hybridMultilevel"/>
    <w:tmpl w:val="7A22FDD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65814886"/>
    <w:multiLevelType w:val="hybridMultilevel"/>
    <w:tmpl w:val="E1C61A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954CC4"/>
    <w:multiLevelType w:val="hybridMultilevel"/>
    <w:tmpl w:val="78F27D12"/>
    <w:lvl w:ilvl="0" w:tplc="9232EB8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34E63"/>
    <w:rsid w:val="00035EBC"/>
    <w:rsid w:val="00086A8B"/>
    <w:rsid w:val="000F5BBF"/>
    <w:rsid w:val="001F1AA1"/>
    <w:rsid w:val="0022181F"/>
    <w:rsid w:val="0038621B"/>
    <w:rsid w:val="00391822"/>
    <w:rsid w:val="00434E63"/>
    <w:rsid w:val="0056078F"/>
    <w:rsid w:val="00577485"/>
    <w:rsid w:val="005B0328"/>
    <w:rsid w:val="005D00FF"/>
    <w:rsid w:val="005E3F8A"/>
    <w:rsid w:val="00696D29"/>
    <w:rsid w:val="007E38B4"/>
    <w:rsid w:val="00864375"/>
    <w:rsid w:val="00896C0A"/>
    <w:rsid w:val="009E2A0E"/>
    <w:rsid w:val="00A55390"/>
    <w:rsid w:val="00B5134E"/>
    <w:rsid w:val="00BA40F1"/>
    <w:rsid w:val="00BB2D1B"/>
    <w:rsid w:val="00CE1ACD"/>
    <w:rsid w:val="00D5728C"/>
    <w:rsid w:val="00D70B5A"/>
    <w:rsid w:val="00F61C98"/>
    <w:rsid w:val="00FD1C74"/>
    <w:rsid w:val="00FD6E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63"/>
    <w:pPr>
      <w:ind w:left="720"/>
      <w:contextualSpacing/>
    </w:pPr>
  </w:style>
  <w:style w:type="paragraph" w:styleId="NormalWeb">
    <w:name w:val="Normal (Web)"/>
    <w:basedOn w:val="Normal"/>
    <w:uiPriority w:val="99"/>
    <w:unhideWhenUsed/>
    <w:rsid w:val="00D5728C"/>
    <w:pPr>
      <w:spacing w:after="0" w:line="240" w:lineRule="auto"/>
      <w:textAlignment w:val="top"/>
    </w:pPr>
    <w:rPr>
      <w:rFonts w:ascii="Arial Unicode MS" w:eastAsia="Arial Unicode MS" w:hAnsi="Arial Unicode MS" w:cs="Arial Unicode MS"/>
      <w:color w:val="4F6B72"/>
      <w:sz w:val="18"/>
      <w:szCs w:val="18"/>
      <w:lang w:val="sw-KE" w:eastAsia="sw-KE"/>
    </w:rPr>
  </w:style>
  <w:style w:type="table" w:styleId="TableGrid">
    <w:name w:val="Table Grid"/>
    <w:basedOn w:val="TableNormal"/>
    <w:uiPriority w:val="59"/>
    <w:rsid w:val="003862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F61C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1C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2010-11-16T08:38:00Z</dcterms:created>
  <dcterms:modified xsi:type="dcterms:W3CDTF">2010-12-19T10:05:00Z</dcterms:modified>
</cp:coreProperties>
</file>