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B75" w:rsidRPr="00070FC5" w:rsidRDefault="00446475" w:rsidP="00446475">
      <w:pPr>
        <w:pStyle w:val="Heading2"/>
        <w:shd w:val="clear" w:color="auto" w:fill="FFFFFF"/>
        <w:ind w:left="-630"/>
        <w:rPr>
          <w:b/>
          <w:color w:val="auto"/>
          <w:u w:val="single"/>
        </w:rPr>
      </w:pPr>
      <w:r w:rsidRPr="00070FC5">
        <w:rPr>
          <w:b/>
          <w:color w:val="auto"/>
          <w:u w:val="single"/>
        </w:rPr>
        <w:t>SOLUTION</w:t>
      </w:r>
    </w:p>
    <w:p w:rsidR="009E0B75" w:rsidRPr="007D19F1" w:rsidRDefault="009E0B75" w:rsidP="009E0B75">
      <w:pPr>
        <w:pStyle w:val="NormalWeb"/>
        <w:numPr>
          <w:ilvl w:val="0"/>
          <w:numId w:val="1"/>
        </w:numPr>
        <w:shd w:val="clear" w:color="auto" w:fill="FFFFFF"/>
        <w:rPr>
          <w:b/>
          <w:sz w:val="28"/>
          <w:szCs w:val="28"/>
          <w:u w:val="double"/>
        </w:rPr>
      </w:pPr>
      <w:r w:rsidRPr="007D19F1">
        <w:rPr>
          <w:b/>
          <w:sz w:val="28"/>
          <w:szCs w:val="28"/>
          <w:u w:val="double"/>
        </w:rPr>
        <w:t>CASE FOR and a CASE AGAINST</w:t>
      </w:r>
      <w:r w:rsidR="001B1C2E">
        <w:rPr>
          <w:b/>
          <w:sz w:val="28"/>
          <w:szCs w:val="28"/>
          <w:u w:val="double"/>
        </w:rPr>
        <w:t xml:space="preserve"> financial sector regulation (16</w:t>
      </w:r>
      <w:r w:rsidRPr="007D19F1">
        <w:rPr>
          <w:b/>
          <w:sz w:val="28"/>
          <w:szCs w:val="28"/>
          <w:u w:val="double"/>
        </w:rPr>
        <w:t xml:space="preserve"> marks)</w:t>
      </w:r>
    </w:p>
    <w:p w:rsidR="008C2A44" w:rsidRPr="007D19F1" w:rsidRDefault="008C2A44" w:rsidP="008C2A44">
      <w:pPr>
        <w:pStyle w:val="NormalWeb"/>
        <w:shd w:val="clear" w:color="auto" w:fill="FFFFFF"/>
        <w:ind w:left="-270"/>
        <w:rPr>
          <w:b/>
          <w:sz w:val="28"/>
          <w:szCs w:val="28"/>
          <w:u w:val="double"/>
        </w:rPr>
      </w:pPr>
      <w:r w:rsidRPr="007D19F1">
        <w:rPr>
          <w:b/>
          <w:sz w:val="28"/>
          <w:szCs w:val="28"/>
          <w:u w:val="double"/>
        </w:rPr>
        <w:t>CASE FOR:</w:t>
      </w:r>
    </w:p>
    <w:p w:rsidR="00275970" w:rsidRDefault="008C2A44" w:rsidP="00275970">
      <w:pPr>
        <w:pStyle w:val="ListParagraph"/>
        <w:autoSpaceDE w:val="0"/>
        <w:autoSpaceDN w:val="0"/>
        <w:adjustRightInd w:val="0"/>
        <w:spacing w:before="100" w:beforeAutospacing="1" w:after="100" w:afterAutospacing="1" w:line="240" w:lineRule="auto"/>
        <w:ind w:left="-270"/>
        <w:rPr>
          <w:rFonts w:ascii="Lydian" w:hAnsi="Lydian" w:cs="Lydian"/>
          <w:i/>
        </w:rPr>
      </w:pPr>
      <w:r w:rsidRPr="00DC60E9">
        <w:rPr>
          <w:rFonts w:ascii="Lydian" w:hAnsi="Lydian" w:cs="Lydian"/>
          <w:i/>
        </w:rPr>
        <w:t xml:space="preserve">Governments primarily regulate industries with a view to </w:t>
      </w:r>
      <w:r w:rsidRPr="00DC60E9">
        <w:rPr>
          <w:rFonts w:ascii="Lydian" w:hAnsi="Lydian" w:cs="Lydian"/>
          <w:b/>
          <w:i/>
          <w:u w:val="single"/>
        </w:rPr>
        <w:t>protecting consumers</w:t>
      </w:r>
      <w:r w:rsidRPr="00DC60E9">
        <w:rPr>
          <w:rFonts w:ascii="Lydian" w:hAnsi="Lydian" w:cs="Lydian"/>
          <w:i/>
        </w:rPr>
        <w:t xml:space="preserve">. This, for example, is why Governments regulate public utilities which may use monopoly positions to exploit consumers. </w:t>
      </w:r>
    </w:p>
    <w:p w:rsidR="00275970" w:rsidRDefault="00275970" w:rsidP="00275970">
      <w:pPr>
        <w:pStyle w:val="ListParagraph"/>
        <w:autoSpaceDE w:val="0"/>
        <w:autoSpaceDN w:val="0"/>
        <w:adjustRightInd w:val="0"/>
        <w:spacing w:before="100" w:beforeAutospacing="1" w:after="100" w:afterAutospacing="1" w:line="240" w:lineRule="auto"/>
        <w:ind w:left="-270"/>
        <w:rPr>
          <w:rFonts w:ascii="Lydian" w:hAnsi="Lydian" w:cs="Lydian"/>
          <w:i/>
        </w:rPr>
      </w:pPr>
    </w:p>
    <w:p w:rsidR="008C2A44" w:rsidRDefault="00275970" w:rsidP="00275970">
      <w:pPr>
        <w:pStyle w:val="ListParagraph"/>
        <w:autoSpaceDE w:val="0"/>
        <w:autoSpaceDN w:val="0"/>
        <w:adjustRightInd w:val="0"/>
        <w:spacing w:before="100" w:beforeAutospacing="1" w:after="100" w:afterAutospacing="1" w:line="240" w:lineRule="auto"/>
        <w:ind w:left="-270"/>
        <w:rPr>
          <w:rFonts w:ascii="Lydian" w:hAnsi="Lydian" w:cs="Lydian"/>
          <w:i/>
        </w:rPr>
      </w:pPr>
      <w:r>
        <w:rPr>
          <w:rFonts w:ascii="Lydian" w:hAnsi="Lydian" w:cs="Lydian"/>
          <w:i/>
        </w:rPr>
        <w:t>Related to the above (Protecting consumers), a</w:t>
      </w:r>
      <w:r w:rsidRPr="00275970">
        <w:rPr>
          <w:rFonts w:ascii="Lydian" w:hAnsi="Lydian" w:cs="Lydian"/>
          <w:i/>
        </w:rPr>
        <w:t xml:space="preserve">nother argument for government regulation is based on the existence of </w:t>
      </w:r>
      <w:r w:rsidRPr="00040183">
        <w:rPr>
          <w:rFonts w:ascii="Lydian" w:hAnsi="Lydian" w:cs="Lydian"/>
          <w:b/>
          <w:i/>
          <w:u w:val="single"/>
        </w:rPr>
        <w:t>destructive, ruinous, or cutthroat competition</w:t>
      </w:r>
      <w:r w:rsidRPr="00275970">
        <w:rPr>
          <w:rFonts w:ascii="Lydian" w:hAnsi="Lydian" w:cs="Lydian"/>
          <w:i/>
        </w:rPr>
        <w:t>. This may drive out firms from the industry leading to monopolies that may exploit consumers.</w:t>
      </w:r>
    </w:p>
    <w:p w:rsidR="00275970" w:rsidRPr="00275970" w:rsidRDefault="00275970" w:rsidP="00275970">
      <w:pPr>
        <w:pStyle w:val="ListParagraph"/>
        <w:autoSpaceDE w:val="0"/>
        <w:autoSpaceDN w:val="0"/>
        <w:adjustRightInd w:val="0"/>
        <w:spacing w:before="100" w:beforeAutospacing="1" w:after="100" w:afterAutospacing="1" w:line="240" w:lineRule="auto"/>
        <w:ind w:left="-270"/>
        <w:rPr>
          <w:rFonts w:ascii="Lydian" w:hAnsi="Lydian" w:cs="Lydian"/>
          <w:i/>
        </w:rPr>
      </w:pPr>
    </w:p>
    <w:p w:rsidR="008C2A44" w:rsidRPr="00DC60E9" w:rsidRDefault="008C2A44" w:rsidP="008C2A44">
      <w:pPr>
        <w:pStyle w:val="ListParagraph"/>
        <w:autoSpaceDE w:val="0"/>
        <w:autoSpaceDN w:val="0"/>
        <w:adjustRightInd w:val="0"/>
        <w:spacing w:before="100" w:beforeAutospacing="1" w:after="100" w:afterAutospacing="1" w:line="240" w:lineRule="auto"/>
        <w:ind w:left="-270"/>
        <w:rPr>
          <w:rFonts w:ascii="Lydian" w:hAnsi="Lydian" w:cs="Lydian"/>
          <w:i/>
        </w:rPr>
      </w:pPr>
      <w:r w:rsidRPr="00DC60E9">
        <w:rPr>
          <w:rFonts w:ascii="Lydian" w:hAnsi="Lydian" w:cs="Lydian"/>
          <w:i/>
        </w:rPr>
        <w:t xml:space="preserve">In the financial sector, an additional motivation for regulation is </w:t>
      </w:r>
      <w:r w:rsidRPr="00DC60E9">
        <w:rPr>
          <w:rFonts w:ascii="Lydian" w:hAnsi="Lydian" w:cs="Lydian"/>
          <w:b/>
          <w:i/>
          <w:u w:val="single"/>
        </w:rPr>
        <w:t>maintaining financial stability</w:t>
      </w:r>
      <w:r w:rsidRPr="00DC60E9">
        <w:rPr>
          <w:rFonts w:ascii="Lydian" w:hAnsi="Lydian" w:cs="Lydian"/>
          <w:i/>
        </w:rPr>
        <w:t>, which is a clear public good. Asymmetric information can lead to widespread collapse of financial intermediaries, referred to as a financial panic. Because providers of funds to financial intermediaries may not be able to assess whether the institutions holding their funds are sound, if they have doubts about the overall health of financial intermediaries, they may want to pull their funds out of both sound and unsound institutions. The possible outcome is a financial panic that produces large losses for the public and causes serious damage to the economy.</w:t>
      </w:r>
    </w:p>
    <w:p w:rsidR="009E0B75" w:rsidRDefault="008C2A44" w:rsidP="008C2A44">
      <w:pPr>
        <w:pStyle w:val="NormalWeb"/>
        <w:shd w:val="clear" w:color="auto" w:fill="FFFFFF"/>
        <w:ind w:left="-270"/>
        <w:rPr>
          <w:rFonts w:ascii="Lydian" w:eastAsiaTheme="minorEastAsia" w:hAnsi="Lydian" w:cs="Lydian"/>
          <w:i/>
          <w:sz w:val="22"/>
          <w:szCs w:val="22"/>
          <w:lang w:bidi="ar-SA"/>
        </w:rPr>
      </w:pPr>
      <w:r w:rsidRPr="00DC60E9">
        <w:rPr>
          <w:rFonts w:ascii="Lydian" w:eastAsiaTheme="minorEastAsia" w:hAnsi="Lydian" w:cs="Lydian"/>
          <w:b/>
          <w:i/>
          <w:sz w:val="22"/>
          <w:szCs w:val="22"/>
          <w:u w:val="single"/>
          <w:lang w:bidi="ar-SA"/>
        </w:rPr>
        <w:t>Asymmetric information</w:t>
      </w:r>
      <w:r w:rsidRPr="00DC60E9">
        <w:rPr>
          <w:rFonts w:ascii="Lydian" w:eastAsiaTheme="minorEastAsia" w:hAnsi="Lydian" w:cs="Lydian"/>
          <w:i/>
          <w:sz w:val="22"/>
          <w:szCs w:val="22"/>
          <w:lang w:bidi="ar-SA"/>
        </w:rPr>
        <w:t xml:space="preserve"> in financial markets means that investors may be subject to adverse selection and moral hazard problems that may hinder the efficient operation of financial markets. Risky firms or outright crooks/ criminals may be the most eager to sell bad securities to unwary investors, and the resulting adverse selection problem may keep</w:t>
      </w:r>
    </w:p>
    <w:p w:rsidR="00FF6BF8" w:rsidRPr="007D19F1" w:rsidRDefault="008C2A44" w:rsidP="00FF6BF8">
      <w:pPr>
        <w:pStyle w:val="NormalWeb"/>
        <w:shd w:val="clear" w:color="auto" w:fill="FFFFFF"/>
        <w:ind w:left="-270"/>
        <w:rPr>
          <w:b/>
          <w:sz w:val="28"/>
          <w:szCs w:val="28"/>
          <w:u w:val="double"/>
        </w:rPr>
      </w:pPr>
      <w:r w:rsidRPr="007D19F1">
        <w:rPr>
          <w:b/>
          <w:sz w:val="28"/>
          <w:szCs w:val="28"/>
          <w:u w:val="double"/>
        </w:rPr>
        <w:t>CASE AGAINST</w:t>
      </w:r>
    </w:p>
    <w:p w:rsidR="00FF6BF8" w:rsidRDefault="00FF6BF8" w:rsidP="00FF6BF8">
      <w:pPr>
        <w:pStyle w:val="NormalWeb"/>
        <w:shd w:val="clear" w:color="auto" w:fill="FFFFFF"/>
        <w:ind w:left="-270"/>
        <w:rPr>
          <w:rFonts w:ascii="Lydian" w:eastAsiaTheme="minorEastAsia" w:hAnsi="Lydian" w:cs="Lydian"/>
          <w:i/>
          <w:sz w:val="22"/>
          <w:szCs w:val="22"/>
          <w:lang w:bidi="ar-SA"/>
        </w:rPr>
      </w:pPr>
      <w:r w:rsidRPr="00FF6BF8">
        <w:rPr>
          <w:rFonts w:ascii="Lydian" w:eastAsiaTheme="minorEastAsia" w:hAnsi="Lydian" w:cs="Lydian"/>
          <w:i/>
          <w:sz w:val="22"/>
          <w:szCs w:val="22"/>
          <w:lang w:bidi="ar-SA"/>
        </w:rPr>
        <w:t xml:space="preserve">Regulation may </w:t>
      </w:r>
      <w:r w:rsidRPr="00FF6BF8">
        <w:rPr>
          <w:rFonts w:ascii="Lydian" w:eastAsiaTheme="minorEastAsia" w:hAnsi="Lydian" w:cs="Lydian"/>
          <w:b/>
          <w:i/>
          <w:sz w:val="22"/>
          <w:szCs w:val="22"/>
          <w:u w:val="single"/>
          <w:lang w:bidi="ar-SA"/>
        </w:rPr>
        <w:t>depress the returns (Profits)</w:t>
      </w:r>
      <w:r>
        <w:rPr>
          <w:rFonts w:ascii="Lydian" w:eastAsiaTheme="minorEastAsia" w:hAnsi="Lydian" w:cs="Lydian"/>
          <w:i/>
          <w:sz w:val="22"/>
          <w:szCs w:val="22"/>
          <w:lang w:bidi="ar-SA"/>
        </w:rPr>
        <w:t xml:space="preserve"> </w:t>
      </w:r>
      <w:r w:rsidRPr="00FF6BF8">
        <w:rPr>
          <w:rFonts w:ascii="Lydian" w:eastAsiaTheme="minorEastAsia" w:hAnsi="Lydian" w:cs="Lydian"/>
          <w:i/>
          <w:sz w:val="22"/>
          <w:szCs w:val="22"/>
          <w:lang w:bidi="ar-SA"/>
        </w:rPr>
        <w:t xml:space="preserve">earned by financial institutions </w:t>
      </w:r>
      <w:r w:rsidR="00040183">
        <w:rPr>
          <w:rFonts w:ascii="Lydian" w:eastAsiaTheme="minorEastAsia" w:hAnsi="Lydian" w:cs="Lydian"/>
          <w:i/>
          <w:sz w:val="22"/>
          <w:szCs w:val="22"/>
          <w:lang w:bidi="ar-SA"/>
        </w:rPr>
        <w:t>by increas</w:t>
      </w:r>
      <w:r w:rsidRPr="00FF6BF8">
        <w:rPr>
          <w:rFonts w:ascii="Lydian" w:eastAsiaTheme="minorEastAsia" w:hAnsi="Lydian" w:cs="Lydian"/>
          <w:i/>
          <w:sz w:val="22"/>
          <w:szCs w:val="22"/>
          <w:lang w:bidi="ar-SA"/>
        </w:rPr>
        <w:t>ing costs needed for compliance with the regulations.</w:t>
      </w:r>
      <w:r>
        <w:rPr>
          <w:rFonts w:ascii="Lydian" w:eastAsiaTheme="minorEastAsia" w:hAnsi="Lydian" w:cs="Lydian"/>
          <w:i/>
          <w:sz w:val="22"/>
          <w:szCs w:val="22"/>
          <w:lang w:bidi="ar-SA"/>
        </w:rPr>
        <w:t xml:space="preserve"> An example is the minimum capital requirements of Ksh. 1 billion for commercial banks.</w:t>
      </w:r>
    </w:p>
    <w:p w:rsidR="007D19F1" w:rsidRPr="00FF6BF8" w:rsidRDefault="007D19F1" w:rsidP="00FF6BF8">
      <w:pPr>
        <w:pStyle w:val="NormalWeb"/>
        <w:shd w:val="clear" w:color="auto" w:fill="FFFFFF"/>
        <w:ind w:left="-270"/>
        <w:rPr>
          <w:rFonts w:ascii="Lydian" w:eastAsiaTheme="minorEastAsia" w:hAnsi="Lydian" w:cs="Lydian"/>
          <w:i/>
          <w:sz w:val="22"/>
          <w:szCs w:val="22"/>
          <w:lang w:bidi="ar-SA"/>
        </w:rPr>
      </w:pPr>
      <w:r>
        <w:rPr>
          <w:rFonts w:ascii="Lydian" w:eastAsiaTheme="minorEastAsia" w:hAnsi="Lydian" w:cs="Lydian"/>
          <w:i/>
          <w:sz w:val="22"/>
          <w:szCs w:val="22"/>
          <w:lang w:bidi="ar-SA"/>
        </w:rPr>
        <w:t xml:space="preserve">Regulation may lead to an </w:t>
      </w:r>
      <w:r w:rsidRPr="007D19F1">
        <w:rPr>
          <w:rFonts w:ascii="Lydian" w:eastAsiaTheme="minorEastAsia" w:hAnsi="Lydian" w:cs="Lydian"/>
          <w:b/>
          <w:i/>
          <w:sz w:val="22"/>
          <w:szCs w:val="22"/>
          <w:u w:val="single"/>
          <w:lang w:bidi="ar-SA"/>
        </w:rPr>
        <w:t>increase in prices</w:t>
      </w:r>
      <w:r>
        <w:rPr>
          <w:rFonts w:ascii="Lydian" w:eastAsiaTheme="minorEastAsia" w:hAnsi="Lydian" w:cs="Lydian"/>
          <w:i/>
          <w:sz w:val="22"/>
          <w:szCs w:val="22"/>
          <w:lang w:bidi="ar-SA"/>
        </w:rPr>
        <w:t xml:space="preserve"> i.e. the commissions, accounts ledger fees charged to consumers. Alternatively, the financial institutions may resort to cost cutting measures that </w:t>
      </w:r>
      <w:r w:rsidRPr="007D19F1">
        <w:rPr>
          <w:rFonts w:ascii="Lydian" w:eastAsiaTheme="minorEastAsia" w:hAnsi="Lydian" w:cs="Lydian"/>
          <w:b/>
          <w:i/>
          <w:sz w:val="22"/>
          <w:szCs w:val="22"/>
          <w:u w:val="single"/>
          <w:lang w:bidi="ar-SA"/>
        </w:rPr>
        <w:t>lower the quality of service</w:t>
      </w:r>
      <w:r>
        <w:rPr>
          <w:rFonts w:ascii="Lydian" w:eastAsiaTheme="minorEastAsia" w:hAnsi="Lydian" w:cs="Lydian"/>
          <w:i/>
          <w:sz w:val="22"/>
          <w:szCs w:val="22"/>
          <w:lang w:bidi="ar-SA"/>
        </w:rPr>
        <w:t>. All this will be in a bid to meet the costs of regulation.</w:t>
      </w:r>
    </w:p>
    <w:p w:rsidR="00275970" w:rsidRPr="00275970" w:rsidRDefault="00E7305F" w:rsidP="00275970">
      <w:pPr>
        <w:pStyle w:val="NormalWeb"/>
        <w:shd w:val="clear" w:color="auto" w:fill="FFFFFF"/>
        <w:ind w:left="-270"/>
        <w:rPr>
          <w:rFonts w:ascii="Lydian" w:eastAsiaTheme="minorEastAsia" w:hAnsi="Lydian" w:cs="Lydian"/>
          <w:i/>
          <w:sz w:val="22"/>
          <w:szCs w:val="22"/>
          <w:lang w:bidi="ar-SA"/>
        </w:rPr>
      </w:pPr>
      <w:r w:rsidRPr="00275970">
        <w:rPr>
          <w:rFonts w:ascii="Lydian" w:eastAsiaTheme="minorEastAsia" w:hAnsi="Lydian" w:cs="Lydian"/>
          <w:i/>
          <w:sz w:val="22"/>
          <w:szCs w:val="22"/>
          <w:lang w:bidi="ar-SA"/>
        </w:rPr>
        <w:t xml:space="preserve">It has been found that with tighter regulations, financial institutions tend to engage in </w:t>
      </w:r>
      <w:r w:rsidRPr="00275970">
        <w:rPr>
          <w:rFonts w:ascii="Lydian" w:eastAsiaTheme="minorEastAsia" w:hAnsi="Lydian" w:cs="Lydian"/>
          <w:b/>
          <w:i/>
          <w:sz w:val="22"/>
          <w:szCs w:val="22"/>
          <w:u w:val="single"/>
          <w:lang w:bidi="ar-SA"/>
        </w:rPr>
        <w:t>riskier behavior</w:t>
      </w:r>
      <w:r w:rsidRPr="00275970">
        <w:rPr>
          <w:rFonts w:ascii="Lydian" w:eastAsiaTheme="minorEastAsia" w:hAnsi="Lydian" w:cs="Lydian"/>
          <w:i/>
          <w:sz w:val="22"/>
          <w:szCs w:val="22"/>
          <w:lang w:bidi="ar-SA"/>
        </w:rPr>
        <w:t xml:space="preserve">. For example, they issue riskier loans in order to make an </w:t>
      </w:r>
      <w:r w:rsidR="001B1C2E" w:rsidRPr="00275970">
        <w:rPr>
          <w:rFonts w:ascii="Lydian" w:eastAsiaTheme="minorEastAsia" w:hAnsi="Lydian" w:cs="Lydian"/>
          <w:i/>
          <w:sz w:val="22"/>
          <w:szCs w:val="22"/>
          <w:lang w:bidi="ar-SA"/>
        </w:rPr>
        <w:t>adequate</w:t>
      </w:r>
      <w:r w:rsidRPr="00275970">
        <w:rPr>
          <w:rFonts w:ascii="Lydian" w:eastAsiaTheme="minorEastAsia" w:hAnsi="Lydian" w:cs="Lydian"/>
          <w:i/>
          <w:sz w:val="22"/>
          <w:szCs w:val="22"/>
          <w:lang w:bidi="ar-SA"/>
        </w:rPr>
        <w:t xml:space="preserve"> return on capital for the investor.</w:t>
      </w:r>
    </w:p>
    <w:p w:rsidR="00275970" w:rsidRDefault="00275970" w:rsidP="00275970">
      <w:pPr>
        <w:pStyle w:val="NormalWeb"/>
        <w:shd w:val="clear" w:color="auto" w:fill="FFFFFF"/>
        <w:ind w:left="-270"/>
        <w:rPr>
          <w:rFonts w:ascii="Lydian" w:eastAsiaTheme="minorEastAsia" w:hAnsi="Lydian" w:cs="Lydian"/>
          <w:i/>
          <w:sz w:val="22"/>
          <w:szCs w:val="22"/>
          <w:lang w:bidi="ar-SA"/>
        </w:rPr>
      </w:pPr>
      <w:r w:rsidRPr="00275970">
        <w:rPr>
          <w:rFonts w:ascii="Lydian" w:eastAsiaTheme="minorEastAsia" w:hAnsi="Lydian" w:cs="Lydian"/>
          <w:i/>
          <w:sz w:val="22"/>
          <w:szCs w:val="22"/>
          <w:lang w:bidi="ar-SA"/>
        </w:rPr>
        <w:t xml:space="preserve">The </w:t>
      </w:r>
      <w:r w:rsidRPr="001E6BF1">
        <w:rPr>
          <w:rFonts w:ascii="Lydian" w:eastAsiaTheme="minorEastAsia" w:hAnsi="Lydian" w:cs="Lydian"/>
          <w:b/>
          <w:i/>
          <w:sz w:val="22"/>
          <w:szCs w:val="22"/>
          <w:u w:val="single"/>
          <w:lang w:bidi="ar-SA"/>
        </w:rPr>
        <w:t>cost of the r</w:t>
      </w:r>
      <w:r w:rsidR="00FF6BF8" w:rsidRPr="001E6BF1">
        <w:rPr>
          <w:rFonts w:ascii="Lydian" w:eastAsiaTheme="minorEastAsia" w:hAnsi="Lydian" w:cs="Lydian"/>
          <w:b/>
          <w:i/>
          <w:sz w:val="22"/>
          <w:szCs w:val="22"/>
          <w:u w:val="single"/>
          <w:lang w:bidi="ar-SA"/>
        </w:rPr>
        <w:t>egulatory process (to the government)</w:t>
      </w:r>
      <w:r w:rsidRPr="001E6BF1">
        <w:rPr>
          <w:rFonts w:ascii="Lydian" w:eastAsiaTheme="minorEastAsia" w:hAnsi="Lydian" w:cs="Lydian"/>
          <w:i/>
          <w:sz w:val="22"/>
          <w:szCs w:val="22"/>
          <w:u w:val="single"/>
          <w:lang w:bidi="ar-SA"/>
        </w:rPr>
        <w:t xml:space="preserve"> </w:t>
      </w:r>
      <w:r w:rsidRPr="00275970">
        <w:rPr>
          <w:rFonts w:ascii="Lydian" w:eastAsiaTheme="minorEastAsia" w:hAnsi="Lydian" w:cs="Lydian"/>
          <w:i/>
          <w:sz w:val="22"/>
          <w:szCs w:val="22"/>
          <w:lang w:bidi="ar-SA"/>
        </w:rPr>
        <w:t>must be emphasized. If regulation is truly to serve the public interest, it must increase the efficiency of the entire social system. That is, its benefits must exceed its costs. Too often the net benefits of regulation are overestimated because of a failure to consider its costs</w:t>
      </w:r>
      <w:r w:rsidR="00040183">
        <w:rPr>
          <w:rFonts w:ascii="Lydian" w:eastAsiaTheme="minorEastAsia" w:hAnsi="Lydian" w:cs="Lydian"/>
          <w:i/>
          <w:sz w:val="22"/>
          <w:szCs w:val="22"/>
          <w:lang w:bidi="ar-SA"/>
        </w:rPr>
        <w:t>.</w:t>
      </w:r>
    </w:p>
    <w:p w:rsidR="00040183" w:rsidRDefault="00040183" w:rsidP="00275970">
      <w:pPr>
        <w:pStyle w:val="NormalWeb"/>
        <w:shd w:val="clear" w:color="auto" w:fill="FFFFFF"/>
        <w:ind w:left="-270"/>
        <w:rPr>
          <w:rFonts w:ascii="Lydian" w:eastAsiaTheme="minorEastAsia" w:hAnsi="Lydian" w:cs="Lydian"/>
          <w:i/>
          <w:sz w:val="22"/>
          <w:szCs w:val="22"/>
          <w:lang w:bidi="ar-SA"/>
        </w:rPr>
      </w:pPr>
      <w:r>
        <w:rPr>
          <w:rFonts w:ascii="Lydian" w:eastAsiaTheme="minorEastAsia" w:hAnsi="Lydian" w:cs="Lydian"/>
          <w:i/>
          <w:sz w:val="22"/>
          <w:szCs w:val="22"/>
          <w:lang w:bidi="ar-SA"/>
        </w:rPr>
        <w:t xml:space="preserve">Regulations may make members of the public (Consumers) develop a </w:t>
      </w:r>
      <w:r w:rsidRPr="00040183">
        <w:rPr>
          <w:rFonts w:ascii="Lydian" w:eastAsiaTheme="minorEastAsia" w:hAnsi="Lydian" w:cs="Lydian"/>
          <w:b/>
          <w:i/>
          <w:sz w:val="22"/>
          <w:szCs w:val="22"/>
          <w:u w:val="single"/>
          <w:lang w:bidi="ar-SA"/>
        </w:rPr>
        <w:t>false sense of safety</w:t>
      </w:r>
      <w:r>
        <w:rPr>
          <w:rFonts w:ascii="Lydian" w:eastAsiaTheme="minorEastAsia" w:hAnsi="Lydian" w:cs="Lydian"/>
          <w:i/>
          <w:sz w:val="22"/>
          <w:szCs w:val="22"/>
          <w:lang w:bidi="ar-SA"/>
        </w:rPr>
        <w:t>. Experience shows that regulations are not an absolute insurance against failure of institutions.</w:t>
      </w:r>
      <w:r w:rsidR="003F5F02">
        <w:rPr>
          <w:rFonts w:ascii="Lydian" w:eastAsiaTheme="minorEastAsia" w:hAnsi="Lydian" w:cs="Lydian"/>
          <w:i/>
          <w:sz w:val="22"/>
          <w:szCs w:val="22"/>
          <w:lang w:bidi="ar-SA"/>
        </w:rPr>
        <w:t xml:space="preserve"> The fact is those financial crises occur even when regulations and regulators are present. Regulators often react to crisis by packaging new regulations- which raises the question of whether they have the moral authority to do so. </w:t>
      </w:r>
    </w:p>
    <w:p w:rsidR="007D19F1" w:rsidRDefault="007D19F1" w:rsidP="00275970">
      <w:pPr>
        <w:pStyle w:val="NormalWeb"/>
        <w:shd w:val="clear" w:color="auto" w:fill="FFFFFF"/>
        <w:ind w:left="-270"/>
        <w:rPr>
          <w:rFonts w:ascii="Lydian" w:eastAsiaTheme="minorEastAsia" w:hAnsi="Lydian" w:cs="Lydian"/>
          <w:i/>
          <w:sz w:val="22"/>
          <w:szCs w:val="22"/>
          <w:lang w:bidi="ar-SA"/>
        </w:rPr>
      </w:pPr>
    </w:p>
    <w:p w:rsidR="007D19F1" w:rsidRPr="00275970" w:rsidRDefault="007D19F1" w:rsidP="00275970">
      <w:pPr>
        <w:pStyle w:val="NormalWeb"/>
        <w:shd w:val="clear" w:color="auto" w:fill="FFFFFF"/>
        <w:ind w:left="-270"/>
        <w:rPr>
          <w:rFonts w:ascii="Lydian" w:eastAsiaTheme="minorEastAsia" w:hAnsi="Lydian" w:cs="Lydian"/>
          <w:i/>
          <w:sz w:val="22"/>
          <w:szCs w:val="22"/>
          <w:lang w:bidi="ar-SA"/>
        </w:rPr>
      </w:pPr>
    </w:p>
    <w:p w:rsidR="009E0B75" w:rsidRPr="005F099B" w:rsidRDefault="009E0B75" w:rsidP="009E0B75">
      <w:pPr>
        <w:pStyle w:val="NormalWeb"/>
        <w:numPr>
          <w:ilvl w:val="0"/>
          <w:numId w:val="1"/>
        </w:numPr>
        <w:shd w:val="clear" w:color="auto" w:fill="FFFFFF"/>
        <w:rPr>
          <w:b/>
          <w:sz w:val="28"/>
          <w:szCs w:val="28"/>
          <w:u w:val="double"/>
        </w:rPr>
      </w:pPr>
      <w:r w:rsidRPr="005F099B">
        <w:rPr>
          <w:b/>
          <w:sz w:val="28"/>
          <w:szCs w:val="28"/>
          <w:u w:val="double"/>
        </w:rPr>
        <w:lastRenderedPageBreak/>
        <w:t>Discuss the FOUR laws/ acts and guidelines</w:t>
      </w:r>
      <w:r w:rsidR="005545DB" w:rsidRPr="005F099B">
        <w:rPr>
          <w:b/>
          <w:sz w:val="28"/>
          <w:szCs w:val="28"/>
          <w:u w:val="double"/>
        </w:rPr>
        <w:t>/ regulations</w:t>
      </w:r>
      <w:r w:rsidRPr="005F099B">
        <w:rPr>
          <w:b/>
          <w:sz w:val="28"/>
          <w:szCs w:val="28"/>
          <w:u w:val="double"/>
        </w:rPr>
        <w:t xml:space="preserve"> from which the financial sector regulators in Kenya draw their powers (8 mks)</w:t>
      </w:r>
    </w:p>
    <w:p w:rsidR="009E099E" w:rsidRPr="009E099E" w:rsidRDefault="009357F0" w:rsidP="009E099E">
      <w:pPr>
        <w:pStyle w:val="NormalWeb"/>
        <w:numPr>
          <w:ilvl w:val="0"/>
          <w:numId w:val="4"/>
        </w:numPr>
        <w:shd w:val="clear" w:color="auto" w:fill="FFFFFF"/>
        <w:ind w:left="0"/>
        <w:rPr>
          <w:rFonts w:ascii="Lydian" w:eastAsiaTheme="minorEastAsia" w:hAnsi="Lydian" w:cs="Lydian"/>
          <w:i/>
          <w:sz w:val="22"/>
          <w:szCs w:val="22"/>
          <w:lang w:bidi="ar-SA"/>
        </w:rPr>
      </w:pPr>
      <w:r w:rsidRPr="00DC60E9">
        <w:rPr>
          <w:rFonts w:ascii="Lydian" w:eastAsiaTheme="minorEastAsia" w:hAnsi="Lydian" w:cs="Lydian"/>
          <w:b/>
          <w:i/>
          <w:sz w:val="22"/>
          <w:szCs w:val="22"/>
          <w:u w:val="single"/>
          <w:lang w:bidi="ar-SA"/>
        </w:rPr>
        <w:t>The Microfinance Act, 2006</w:t>
      </w:r>
      <w:r w:rsidRPr="00DC60E9">
        <w:rPr>
          <w:rFonts w:ascii="Lydian" w:eastAsiaTheme="minorEastAsia" w:hAnsi="Lydian" w:cs="Lydian"/>
          <w:i/>
          <w:sz w:val="22"/>
          <w:szCs w:val="22"/>
          <w:lang w:bidi="ar-SA"/>
        </w:rPr>
        <w:t xml:space="preserve"> and the Microfinance Regulations issued there under sets out the legal, regulatory and supervisory framework for the microfinance industry in Kenya. The Microfinance Act became operational with effect from 2nd May 2008.</w:t>
      </w:r>
    </w:p>
    <w:p w:rsidR="00A1619F" w:rsidRDefault="009357F0" w:rsidP="00A1619F">
      <w:pPr>
        <w:pStyle w:val="NormalWeb"/>
        <w:numPr>
          <w:ilvl w:val="0"/>
          <w:numId w:val="4"/>
        </w:numPr>
        <w:ind w:left="0"/>
        <w:rPr>
          <w:rFonts w:ascii="Lydian" w:eastAsiaTheme="minorEastAsia" w:hAnsi="Lydian" w:cs="Lydian"/>
          <w:i/>
          <w:sz w:val="22"/>
          <w:szCs w:val="22"/>
          <w:lang w:bidi="ar-SA"/>
        </w:rPr>
      </w:pPr>
      <w:r w:rsidRPr="00DC60E9">
        <w:rPr>
          <w:rFonts w:ascii="Lydian" w:eastAsiaTheme="minorEastAsia" w:hAnsi="Lydian" w:cs="Lydian"/>
          <w:i/>
          <w:sz w:val="22"/>
          <w:szCs w:val="22"/>
          <w:lang w:bidi="ar-SA"/>
        </w:rPr>
        <w:t xml:space="preserve">The Central Bank of Kenya was established in 1966 through an Act of Parliament - the </w:t>
      </w:r>
      <w:r w:rsidRPr="00DC60E9">
        <w:rPr>
          <w:rFonts w:ascii="Lydian" w:eastAsiaTheme="minorEastAsia" w:hAnsi="Lydian" w:cs="Lydian"/>
          <w:b/>
          <w:i/>
          <w:sz w:val="22"/>
          <w:szCs w:val="22"/>
          <w:u w:val="single"/>
          <w:lang w:bidi="ar-SA"/>
        </w:rPr>
        <w:t>Central Bank of Kenya Act of 1966</w:t>
      </w:r>
      <w:r w:rsidRPr="00DC60E9">
        <w:rPr>
          <w:rFonts w:ascii="Lydian" w:eastAsiaTheme="minorEastAsia" w:hAnsi="Lydian" w:cs="Lydian"/>
          <w:i/>
          <w:sz w:val="22"/>
          <w:szCs w:val="22"/>
          <w:lang w:bidi="ar-SA"/>
        </w:rPr>
        <w:t>. The establishment of the Bank was a direct result of the desire among the three East African states to have independent monetary and financial policies. This led to the collapse of the East Africa Currency Board (EACB) in mid 1960s.</w:t>
      </w:r>
    </w:p>
    <w:p w:rsidR="00A1619F" w:rsidRDefault="009357F0" w:rsidP="00A1619F">
      <w:pPr>
        <w:pStyle w:val="NormalWeb"/>
        <w:numPr>
          <w:ilvl w:val="0"/>
          <w:numId w:val="4"/>
        </w:numPr>
        <w:ind w:left="0"/>
        <w:rPr>
          <w:rFonts w:ascii="Lydian" w:eastAsiaTheme="minorEastAsia" w:hAnsi="Lydian" w:cs="Lydian"/>
          <w:i/>
          <w:sz w:val="22"/>
          <w:szCs w:val="22"/>
          <w:lang w:bidi="ar-SA"/>
        </w:rPr>
      </w:pPr>
      <w:r w:rsidRPr="00A1619F">
        <w:rPr>
          <w:rFonts w:ascii="Lydian" w:eastAsiaTheme="minorEastAsia" w:hAnsi="Lydian" w:cs="Lydian"/>
          <w:i/>
          <w:sz w:val="22"/>
          <w:szCs w:val="22"/>
        </w:rPr>
        <w:t xml:space="preserve">The Sacco Societies Regulatory Authority (SASRA) is established under the </w:t>
      </w:r>
      <w:r w:rsidRPr="00A1619F">
        <w:rPr>
          <w:rFonts w:ascii="Lydian" w:eastAsiaTheme="minorEastAsia" w:hAnsi="Lydian" w:cs="Lydian"/>
          <w:b/>
          <w:i/>
          <w:sz w:val="22"/>
          <w:szCs w:val="22"/>
          <w:u w:val="single"/>
        </w:rPr>
        <w:t>Sacco Societies Act of 2008</w:t>
      </w:r>
      <w:r w:rsidRPr="00A1619F">
        <w:rPr>
          <w:rFonts w:ascii="Lydian" w:eastAsiaTheme="minorEastAsia" w:hAnsi="Lydian" w:cs="Lydian"/>
          <w:i/>
          <w:sz w:val="22"/>
          <w:szCs w:val="22"/>
        </w:rPr>
        <w:t xml:space="preserve"> with</w:t>
      </w:r>
      <w:r w:rsidRPr="00A1619F">
        <w:rPr>
          <w:rFonts w:ascii="Lydian" w:hAnsi="Lydian" w:cs="Lydian"/>
          <w:i/>
          <w:sz w:val="22"/>
          <w:szCs w:val="22"/>
        </w:rPr>
        <w:t xml:space="preserve"> the mandate to </w:t>
      </w:r>
      <w:r w:rsidRPr="00A1619F">
        <w:rPr>
          <w:rFonts w:ascii="Lydian" w:eastAsiaTheme="minorEastAsia" w:hAnsi="Lydian" w:cs="Lydian"/>
          <w:i/>
          <w:sz w:val="22"/>
          <w:szCs w:val="22"/>
        </w:rPr>
        <w:t>license Sacco Societies to carry out deposit taking business; Regulate and supervise deposit taking Sacco Societies; Manage the Deposit Guarantee Fund under the trustees appointed under the Act; Advise the minister on national policy on deposit taking Sacco Societies in Kenya.</w:t>
      </w:r>
    </w:p>
    <w:p w:rsidR="009357F0" w:rsidRPr="00A1619F" w:rsidRDefault="00FB683D" w:rsidP="00A1619F">
      <w:pPr>
        <w:pStyle w:val="NormalWeb"/>
        <w:numPr>
          <w:ilvl w:val="0"/>
          <w:numId w:val="4"/>
        </w:numPr>
        <w:ind w:left="0"/>
        <w:rPr>
          <w:rFonts w:ascii="Lydian" w:eastAsiaTheme="minorEastAsia" w:hAnsi="Lydian" w:cs="Lydian"/>
          <w:i/>
          <w:sz w:val="22"/>
          <w:szCs w:val="22"/>
          <w:lang w:bidi="ar-SA"/>
        </w:rPr>
      </w:pPr>
      <w:r w:rsidRPr="00A1619F">
        <w:rPr>
          <w:rFonts w:ascii="Lydian" w:eastAsiaTheme="minorEastAsia" w:hAnsi="Lydian" w:cs="Lydian"/>
          <w:bCs/>
          <w:i/>
          <w:sz w:val="22"/>
          <w:szCs w:val="22"/>
          <w:lang w:bidi="ar-SA"/>
        </w:rPr>
        <w:t>Commercial Banks and Mortgage Finance Institutions</w:t>
      </w:r>
      <w:r w:rsidRPr="00A1619F">
        <w:rPr>
          <w:rFonts w:ascii="Lydian" w:eastAsiaTheme="minorEastAsia" w:hAnsi="Lydian" w:cs="Lydian"/>
          <w:i/>
          <w:sz w:val="22"/>
          <w:szCs w:val="22"/>
          <w:lang w:bidi="ar-SA"/>
        </w:rPr>
        <w:t xml:space="preserve"> are licensed and regulated pursuant to the provisions of the </w:t>
      </w:r>
      <w:r w:rsidRPr="00A1619F">
        <w:rPr>
          <w:rFonts w:ascii="Lydian" w:eastAsiaTheme="minorEastAsia" w:hAnsi="Lydian" w:cs="Lydian"/>
          <w:b/>
          <w:i/>
          <w:sz w:val="22"/>
          <w:szCs w:val="22"/>
          <w:u w:val="single"/>
          <w:lang w:bidi="ar-SA"/>
        </w:rPr>
        <w:t xml:space="preserve">Banking Act </w:t>
      </w:r>
      <w:r w:rsidR="008A488E">
        <w:rPr>
          <w:rFonts w:ascii="Lydian" w:eastAsiaTheme="minorEastAsia" w:hAnsi="Lydian" w:cs="Lydian"/>
          <w:b/>
          <w:i/>
          <w:sz w:val="22"/>
          <w:szCs w:val="22"/>
          <w:u w:val="single"/>
          <w:lang w:bidi="ar-SA"/>
        </w:rPr>
        <w:t xml:space="preserve">(CAP 488) </w:t>
      </w:r>
      <w:r w:rsidRPr="00A1619F">
        <w:rPr>
          <w:rFonts w:ascii="Lydian" w:eastAsiaTheme="minorEastAsia" w:hAnsi="Lydian" w:cs="Lydian"/>
          <w:b/>
          <w:i/>
          <w:sz w:val="22"/>
          <w:szCs w:val="22"/>
          <w:u w:val="single"/>
          <w:lang w:bidi="ar-SA"/>
        </w:rPr>
        <w:t>and the Regulations and Prudential Guidelines</w:t>
      </w:r>
      <w:r w:rsidRPr="00A1619F">
        <w:rPr>
          <w:rFonts w:ascii="Lydian" w:eastAsiaTheme="minorEastAsia" w:hAnsi="Lydian" w:cs="Lydian"/>
          <w:i/>
          <w:sz w:val="22"/>
          <w:szCs w:val="22"/>
          <w:lang w:bidi="ar-SA"/>
        </w:rPr>
        <w:t xml:space="preserve"> issued there under.</w:t>
      </w:r>
    </w:p>
    <w:p w:rsidR="005C2D2D" w:rsidRPr="00DC60E9" w:rsidRDefault="005C2D2D" w:rsidP="00FB4FCB">
      <w:pPr>
        <w:pStyle w:val="NormalWeb"/>
        <w:numPr>
          <w:ilvl w:val="0"/>
          <w:numId w:val="4"/>
        </w:numPr>
        <w:shd w:val="clear" w:color="auto" w:fill="FFFFFF"/>
        <w:ind w:left="0"/>
        <w:rPr>
          <w:rFonts w:ascii="Lydian" w:eastAsiaTheme="minorEastAsia" w:hAnsi="Lydian" w:cs="Lydian"/>
          <w:i/>
          <w:sz w:val="22"/>
          <w:szCs w:val="22"/>
          <w:lang w:bidi="ar-SA"/>
        </w:rPr>
      </w:pPr>
      <w:r w:rsidRPr="00DC60E9">
        <w:rPr>
          <w:rFonts w:ascii="Lydian" w:eastAsiaTheme="minorEastAsia" w:hAnsi="Lydian" w:cs="Lydian"/>
          <w:b/>
          <w:i/>
          <w:sz w:val="22"/>
          <w:szCs w:val="22"/>
          <w:u w:val="single"/>
          <w:lang w:bidi="ar-SA"/>
        </w:rPr>
        <w:t>Banking (Credit reference bureau) regulations</w:t>
      </w:r>
      <w:r w:rsidR="00ED6C80">
        <w:rPr>
          <w:rFonts w:ascii="Lydian" w:eastAsiaTheme="minorEastAsia" w:hAnsi="Lydian" w:cs="Lydian"/>
          <w:b/>
          <w:i/>
          <w:sz w:val="22"/>
          <w:szCs w:val="22"/>
          <w:u w:val="single"/>
          <w:lang w:bidi="ar-SA"/>
        </w:rPr>
        <w:t xml:space="preserve"> </w:t>
      </w:r>
      <w:r w:rsidR="00ED6C80">
        <w:rPr>
          <w:rFonts w:ascii="Lydian" w:eastAsiaTheme="minorEastAsia" w:hAnsi="Lydian" w:cs="Lydian"/>
          <w:i/>
          <w:sz w:val="22"/>
          <w:szCs w:val="22"/>
          <w:lang w:bidi="ar-SA"/>
        </w:rPr>
        <w:t>setting up the credit reference bureaus</w:t>
      </w:r>
      <w:r w:rsidRPr="00DC60E9">
        <w:rPr>
          <w:rFonts w:ascii="Lydian" w:eastAsiaTheme="minorEastAsia" w:hAnsi="Lydian" w:cs="Lydian"/>
          <w:i/>
          <w:sz w:val="22"/>
          <w:szCs w:val="22"/>
          <w:lang w:bidi="ar-SA"/>
        </w:rPr>
        <w:t>.</w:t>
      </w:r>
    </w:p>
    <w:p w:rsidR="00DC60E9" w:rsidRDefault="005C2D2D" w:rsidP="00DC60E9">
      <w:pPr>
        <w:pStyle w:val="NormalWeb"/>
        <w:numPr>
          <w:ilvl w:val="0"/>
          <w:numId w:val="4"/>
        </w:numPr>
        <w:shd w:val="clear" w:color="auto" w:fill="FFFFFF"/>
        <w:ind w:left="0"/>
        <w:rPr>
          <w:rFonts w:ascii="Lydian" w:eastAsiaTheme="minorEastAsia" w:hAnsi="Lydian" w:cs="Lydian"/>
          <w:i/>
          <w:sz w:val="22"/>
          <w:szCs w:val="22"/>
          <w:lang w:bidi="ar-SA"/>
        </w:rPr>
      </w:pPr>
      <w:r w:rsidRPr="00DC60E9">
        <w:rPr>
          <w:rFonts w:ascii="Lydian" w:eastAsiaTheme="minorEastAsia" w:hAnsi="Lydian" w:cs="Lydian"/>
          <w:b/>
          <w:i/>
          <w:sz w:val="22"/>
          <w:szCs w:val="22"/>
          <w:u w:val="single"/>
          <w:lang w:bidi="ar-SA"/>
        </w:rPr>
        <w:t>The capital markets act</w:t>
      </w:r>
      <w:r w:rsidR="00E704B6">
        <w:rPr>
          <w:rFonts w:ascii="Lydian" w:eastAsiaTheme="minorEastAsia" w:hAnsi="Lydian" w:cs="Lydian"/>
          <w:i/>
          <w:sz w:val="22"/>
          <w:szCs w:val="22"/>
          <w:lang w:bidi="ar-SA"/>
        </w:rPr>
        <w:t>- S</w:t>
      </w:r>
      <w:r w:rsidRPr="00DC60E9">
        <w:rPr>
          <w:rFonts w:ascii="Lydian" w:eastAsiaTheme="minorEastAsia" w:hAnsi="Lydian" w:cs="Lydian"/>
          <w:i/>
          <w:sz w:val="22"/>
          <w:szCs w:val="22"/>
          <w:lang w:bidi="ar-SA"/>
        </w:rPr>
        <w:t>etting up the CMA</w:t>
      </w:r>
      <w:r w:rsidR="00E704B6">
        <w:rPr>
          <w:rFonts w:ascii="Lydian" w:eastAsiaTheme="minorEastAsia" w:hAnsi="Lydian" w:cs="Lydian"/>
          <w:i/>
          <w:sz w:val="22"/>
          <w:szCs w:val="22"/>
          <w:lang w:bidi="ar-SA"/>
        </w:rPr>
        <w:t xml:space="preserve"> that regulates the capital markets and listed firms</w:t>
      </w:r>
      <w:r w:rsidRPr="00DC60E9">
        <w:rPr>
          <w:rFonts w:ascii="Lydian" w:eastAsiaTheme="minorEastAsia" w:hAnsi="Lydian" w:cs="Lydian"/>
          <w:i/>
          <w:sz w:val="22"/>
          <w:szCs w:val="22"/>
          <w:lang w:bidi="ar-SA"/>
        </w:rPr>
        <w:t>.</w:t>
      </w:r>
    </w:p>
    <w:p w:rsidR="008A488E" w:rsidRDefault="008A488E" w:rsidP="008A488E">
      <w:pPr>
        <w:pStyle w:val="NormalWeb"/>
        <w:numPr>
          <w:ilvl w:val="0"/>
          <w:numId w:val="4"/>
        </w:numPr>
        <w:shd w:val="clear" w:color="auto" w:fill="FFFFFF"/>
        <w:ind w:left="0"/>
        <w:rPr>
          <w:rFonts w:ascii="Lydian" w:eastAsiaTheme="minorEastAsia" w:hAnsi="Lydian" w:cs="Lydian"/>
          <w:i/>
          <w:sz w:val="22"/>
          <w:szCs w:val="22"/>
          <w:lang w:bidi="ar-SA"/>
        </w:rPr>
      </w:pPr>
      <w:r>
        <w:rPr>
          <w:rFonts w:ascii="Lydian" w:eastAsiaTheme="minorEastAsia" w:hAnsi="Lydian" w:cs="Lydian"/>
          <w:b/>
          <w:i/>
          <w:sz w:val="22"/>
          <w:szCs w:val="22"/>
          <w:u w:val="single"/>
          <w:lang w:bidi="ar-SA"/>
        </w:rPr>
        <w:t>The Finance act of 2009</w:t>
      </w:r>
      <w:r>
        <w:rPr>
          <w:rFonts w:ascii="Lydian" w:eastAsiaTheme="minorEastAsia" w:hAnsi="Lydian" w:cs="Lydian"/>
          <w:i/>
          <w:sz w:val="22"/>
          <w:szCs w:val="22"/>
          <w:lang w:bidi="ar-SA"/>
        </w:rPr>
        <w:t xml:space="preserve"> that among others allowed for agent banking.</w:t>
      </w:r>
    </w:p>
    <w:p w:rsidR="008A488E" w:rsidRPr="008A488E" w:rsidRDefault="008A488E" w:rsidP="008A488E">
      <w:pPr>
        <w:pStyle w:val="NormalWeb"/>
        <w:numPr>
          <w:ilvl w:val="0"/>
          <w:numId w:val="4"/>
        </w:numPr>
        <w:shd w:val="clear" w:color="auto" w:fill="FFFFFF"/>
        <w:ind w:left="0"/>
        <w:rPr>
          <w:rFonts w:ascii="Lydian" w:eastAsiaTheme="minorEastAsia" w:hAnsi="Lydian" w:cs="Lydian"/>
          <w:b/>
          <w:i/>
          <w:sz w:val="22"/>
          <w:szCs w:val="22"/>
          <w:u w:val="single"/>
          <w:lang w:bidi="ar-SA"/>
        </w:rPr>
      </w:pPr>
      <w:r w:rsidRPr="008A488E">
        <w:rPr>
          <w:rFonts w:ascii="Lydian" w:eastAsiaTheme="minorEastAsia" w:hAnsi="Lydian" w:cs="Lydian"/>
          <w:b/>
          <w:i/>
          <w:sz w:val="22"/>
          <w:szCs w:val="22"/>
          <w:u w:val="single"/>
          <w:lang w:bidi="ar-SA"/>
        </w:rPr>
        <w:t>The Proceeds of Crime and Anti-Money Laundering Act, 2009</w:t>
      </w:r>
      <w:r>
        <w:rPr>
          <w:rFonts w:ascii="Lydian" w:eastAsiaTheme="minorEastAsia" w:hAnsi="Lydian" w:cs="Lydian"/>
          <w:b/>
          <w:i/>
          <w:sz w:val="22"/>
          <w:szCs w:val="22"/>
          <w:u w:val="single"/>
          <w:lang w:bidi="ar-SA"/>
        </w:rPr>
        <w:t>.</w:t>
      </w:r>
    </w:p>
    <w:p w:rsidR="009E0B75" w:rsidRPr="005F099B" w:rsidRDefault="009E0B75" w:rsidP="009E0B75">
      <w:pPr>
        <w:pStyle w:val="NormalWeb"/>
        <w:numPr>
          <w:ilvl w:val="0"/>
          <w:numId w:val="1"/>
        </w:numPr>
        <w:shd w:val="clear" w:color="auto" w:fill="FFFFFF"/>
        <w:rPr>
          <w:b/>
          <w:sz w:val="28"/>
          <w:szCs w:val="28"/>
          <w:u w:val="double"/>
        </w:rPr>
      </w:pPr>
      <w:r w:rsidRPr="005F099B">
        <w:rPr>
          <w:b/>
          <w:sz w:val="28"/>
          <w:szCs w:val="28"/>
          <w:u w:val="double"/>
        </w:rPr>
        <w:t>Discuss the principle of agent banking. What a</w:t>
      </w:r>
      <w:r w:rsidR="001B1C2E">
        <w:rPr>
          <w:b/>
          <w:sz w:val="28"/>
          <w:szCs w:val="28"/>
          <w:u w:val="double"/>
        </w:rPr>
        <w:t>re the aims of agent banking? (6</w:t>
      </w:r>
      <w:r w:rsidRPr="005F099B">
        <w:rPr>
          <w:b/>
          <w:sz w:val="28"/>
          <w:szCs w:val="28"/>
          <w:u w:val="double"/>
        </w:rPr>
        <w:t xml:space="preserve"> mks)</w:t>
      </w:r>
    </w:p>
    <w:p w:rsidR="0027705B" w:rsidRPr="00DC60E9" w:rsidRDefault="0027705B" w:rsidP="0027705B">
      <w:pPr>
        <w:pStyle w:val="ListParagraph"/>
        <w:autoSpaceDE w:val="0"/>
        <w:autoSpaceDN w:val="0"/>
        <w:adjustRightInd w:val="0"/>
        <w:spacing w:after="0" w:line="240" w:lineRule="auto"/>
        <w:ind w:left="-270"/>
        <w:rPr>
          <w:rFonts w:ascii="Lydian" w:hAnsi="Lydian" w:cs="Lydian"/>
          <w:i/>
        </w:rPr>
      </w:pPr>
      <w:r w:rsidRPr="00DC60E9">
        <w:rPr>
          <w:rFonts w:ascii="Lydian" w:hAnsi="Lydian" w:cs="Lydian"/>
          <w:i/>
        </w:rPr>
        <w:t>“Agent” means an entity that has been contracted by an institution and approved by the Central</w:t>
      </w:r>
    </w:p>
    <w:p w:rsidR="0027705B" w:rsidRPr="00DC60E9" w:rsidRDefault="0027705B" w:rsidP="0027705B">
      <w:pPr>
        <w:pStyle w:val="ListParagraph"/>
        <w:autoSpaceDE w:val="0"/>
        <w:autoSpaceDN w:val="0"/>
        <w:adjustRightInd w:val="0"/>
        <w:spacing w:after="0" w:line="240" w:lineRule="auto"/>
        <w:ind w:left="-270"/>
        <w:rPr>
          <w:rFonts w:ascii="Lydian" w:hAnsi="Lydian" w:cs="Lydian"/>
          <w:i/>
        </w:rPr>
      </w:pPr>
      <w:r w:rsidRPr="00DC60E9">
        <w:rPr>
          <w:rFonts w:ascii="Lydian" w:hAnsi="Lydian" w:cs="Lydian"/>
          <w:i/>
        </w:rPr>
        <w:t>Bank to provide the services of the institution on behalf of the institution in the manner specified in the Guideline issued by the CBK.</w:t>
      </w:r>
    </w:p>
    <w:p w:rsidR="0027705B" w:rsidRPr="00DC60E9" w:rsidRDefault="0027705B" w:rsidP="0027705B">
      <w:pPr>
        <w:pStyle w:val="ListParagraph"/>
        <w:autoSpaceDE w:val="0"/>
        <w:autoSpaceDN w:val="0"/>
        <w:adjustRightInd w:val="0"/>
        <w:spacing w:after="0" w:line="240" w:lineRule="auto"/>
        <w:ind w:left="-270"/>
        <w:rPr>
          <w:rFonts w:ascii="Lydian" w:hAnsi="Lydian" w:cs="Lydian"/>
          <w:i/>
        </w:rPr>
      </w:pPr>
    </w:p>
    <w:p w:rsidR="0027705B" w:rsidRPr="00DC60E9" w:rsidRDefault="0027705B" w:rsidP="0027705B">
      <w:pPr>
        <w:pStyle w:val="ListParagraph"/>
        <w:autoSpaceDE w:val="0"/>
        <w:autoSpaceDN w:val="0"/>
        <w:adjustRightInd w:val="0"/>
        <w:spacing w:after="0" w:line="240" w:lineRule="auto"/>
        <w:ind w:left="-270"/>
        <w:rPr>
          <w:rFonts w:ascii="Lydian" w:hAnsi="Lydian" w:cs="Lydian"/>
          <w:i/>
        </w:rPr>
      </w:pPr>
      <w:r w:rsidRPr="00DC60E9">
        <w:rPr>
          <w:rFonts w:ascii="Lydian" w:hAnsi="Lydian" w:cs="Lydian"/>
          <w:i/>
        </w:rPr>
        <w:t xml:space="preserve">“Agent banking business” means the business carried out by an agent on behalf of an institution as permitted under the </w:t>
      </w:r>
      <w:r w:rsidR="00FB4FCB" w:rsidRPr="00DC60E9">
        <w:rPr>
          <w:rFonts w:ascii="Lydian" w:hAnsi="Lydian" w:cs="Lydian"/>
          <w:i/>
        </w:rPr>
        <w:t>guideline. The purpose of agent banking is to:</w:t>
      </w:r>
    </w:p>
    <w:p w:rsidR="0027705B" w:rsidRPr="00DC60E9" w:rsidRDefault="0027705B" w:rsidP="0027705B">
      <w:pPr>
        <w:pStyle w:val="ListParagraph"/>
        <w:autoSpaceDE w:val="0"/>
        <w:autoSpaceDN w:val="0"/>
        <w:adjustRightInd w:val="0"/>
        <w:spacing w:after="0" w:line="240" w:lineRule="auto"/>
        <w:ind w:left="-270"/>
        <w:rPr>
          <w:rFonts w:ascii="Lydian" w:hAnsi="Lydian" w:cs="Lydian"/>
          <w:i/>
        </w:rPr>
      </w:pPr>
    </w:p>
    <w:p w:rsidR="0027705B" w:rsidRPr="00DC60E9" w:rsidRDefault="0027705B" w:rsidP="0027705B">
      <w:pPr>
        <w:pStyle w:val="ListParagraph"/>
        <w:numPr>
          <w:ilvl w:val="0"/>
          <w:numId w:val="2"/>
        </w:numPr>
        <w:autoSpaceDE w:val="0"/>
        <w:autoSpaceDN w:val="0"/>
        <w:adjustRightInd w:val="0"/>
        <w:spacing w:after="0" w:line="240" w:lineRule="auto"/>
        <w:rPr>
          <w:rFonts w:ascii="Lydian" w:hAnsi="Lydian" w:cs="Lydian"/>
          <w:i/>
        </w:rPr>
      </w:pPr>
      <w:r w:rsidRPr="00DC60E9">
        <w:rPr>
          <w:rFonts w:ascii="Lydian" w:hAnsi="Lydian" w:cs="Lydian"/>
          <w:i/>
        </w:rPr>
        <w:t>increase financial services outreach and to promote financial inclusion to the un-banked and under-banked population without risking the safety and soundness of the banking system; and,</w:t>
      </w:r>
    </w:p>
    <w:p w:rsidR="0027705B" w:rsidRPr="00DC60E9" w:rsidRDefault="0027705B" w:rsidP="0027705B">
      <w:pPr>
        <w:pStyle w:val="ListParagraph"/>
        <w:autoSpaceDE w:val="0"/>
        <w:autoSpaceDN w:val="0"/>
        <w:adjustRightInd w:val="0"/>
        <w:spacing w:after="0" w:line="240" w:lineRule="auto"/>
        <w:ind w:left="495"/>
        <w:rPr>
          <w:rFonts w:ascii="Lydian" w:hAnsi="Lydian" w:cs="Lydian"/>
          <w:i/>
        </w:rPr>
      </w:pPr>
    </w:p>
    <w:p w:rsidR="0027705B" w:rsidRPr="00DC60E9" w:rsidRDefault="0027705B" w:rsidP="0027705B">
      <w:pPr>
        <w:pStyle w:val="ListParagraph"/>
        <w:numPr>
          <w:ilvl w:val="0"/>
          <w:numId w:val="2"/>
        </w:numPr>
        <w:autoSpaceDE w:val="0"/>
        <w:autoSpaceDN w:val="0"/>
        <w:adjustRightInd w:val="0"/>
        <w:spacing w:after="0" w:line="240" w:lineRule="auto"/>
        <w:rPr>
          <w:rFonts w:ascii="Lydian" w:hAnsi="Lydian" w:cs="Lydian"/>
          <w:i/>
        </w:rPr>
      </w:pPr>
      <w:r w:rsidRPr="00DC60E9">
        <w:rPr>
          <w:rFonts w:ascii="Lydian" w:hAnsi="Lydian" w:cs="Lydian"/>
          <w:i/>
        </w:rPr>
        <w:t>Encourage institutions to use agents in the provision of banking services so as to reduce the cost of financial services and to foster financial inclusion, reach and depth.</w:t>
      </w:r>
    </w:p>
    <w:p w:rsidR="009E0B75" w:rsidRPr="008E0ADD" w:rsidRDefault="009E0B75" w:rsidP="009E0B75">
      <w:pPr>
        <w:ind w:left="-630"/>
        <w:rPr>
          <w:rFonts w:ascii="Times New Roman" w:hAnsi="Times New Roman" w:cs="Times New Roman"/>
          <w:sz w:val="24"/>
          <w:szCs w:val="24"/>
        </w:rPr>
      </w:pPr>
    </w:p>
    <w:p w:rsidR="0073088D" w:rsidRPr="008E0ADD" w:rsidRDefault="0073088D">
      <w:pPr>
        <w:rPr>
          <w:sz w:val="24"/>
          <w:szCs w:val="24"/>
        </w:rPr>
      </w:pPr>
    </w:p>
    <w:sectPr w:rsidR="0073088D" w:rsidRPr="008E0ADD" w:rsidSect="00DC60E9">
      <w:headerReference w:type="default" r:id="rId7"/>
      <w:pgSz w:w="12240" w:h="15840"/>
      <w:pgMar w:top="360" w:right="630" w:bottom="1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65F1" w:rsidRDefault="00AB65F1" w:rsidP="00020C74">
      <w:pPr>
        <w:spacing w:after="0" w:line="240" w:lineRule="auto"/>
      </w:pPr>
      <w:r>
        <w:separator/>
      </w:r>
    </w:p>
  </w:endnote>
  <w:endnote w:type="continuationSeparator" w:id="1">
    <w:p w:rsidR="00AB65F1" w:rsidRDefault="00AB65F1" w:rsidP="00020C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PS MT">
    <w:altName w:val="Times New Roman PS MT"/>
    <w:panose1 w:val="00000000000000000000"/>
    <w:charset w:val="00"/>
    <w:family w:val="roman"/>
    <w:notTrueType/>
    <w:pitch w:val="default"/>
    <w:sig w:usb0="00000003" w:usb1="00000000" w:usb2="00000000" w:usb3="00000000" w:csb0="00000001" w:csb1="00000000"/>
  </w:font>
  <w:font w:name="Lydian">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65F1" w:rsidRDefault="00AB65F1" w:rsidP="00020C74">
      <w:pPr>
        <w:spacing w:after="0" w:line="240" w:lineRule="auto"/>
      </w:pPr>
      <w:r>
        <w:separator/>
      </w:r>
    </w:p>
  </w:footnote>
  <w:footnote w:type="continuationSeparator" w:id="1">
    <w:p w:rsidR="00AB65F1" w:rsidRDefault="00AB65F1" w:rsidP="00020C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62E" w:rsidRDefault="0073088D">
    <w:pPr>
      <w:pStyle w:val="Header"/>
    </w:pPr>
    <w:r>
      <w:t xml:space="preserve">BCOM 330: FINANCIAL INSTITUTIONS AND MARKETS </w:t>
    </w:r>
    <w:r>
      <w:tab/>
      <w:t>CONTINOUS ASSESSMENT TEST 1</w:t>
    </w:r>
  </w:p>
  <w:p w:rsidR="00C7362E" w:rsidRDefault="00AB65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41210"/>
    <w:multiLevelType w:val="multilevel"/>
    <w:tmpl w:val="5C66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5924ED"/>
    <w:multiLevelType w:val="hybridMultilevel"/>
    <w:tmpl w:val="827E9EB4"/>
    <w:lvl w:ilvl="0" w:tplc="93B64AD0">
      <w:start w:val="1"/>
      <w:numFmt w:val="lowerRoman"/>
      <w:lvlText w:val="%1)"/>
      <w:lvlJc w:val="left"/>
      <w:pPr>
        <w:ind w:left="495" w:hanging="720"/>
      </w:pPr>
      <w:rPr>
        <w:rFonts w:hint="default"/>
      </w:rPr>
    </w:lvl>
    <w:lvl w:ilvl="1" w:tplc="04090019" w:tentative="1">
      <w:start w:val="1"/>
      <w:numFmt w:val="lowerLetter"/>
      <w:lvlText w:val="%2."/>
      <w:lvlJc w:val="left"/>
      <w:pPr>
        <w:ind w:left="855" w:hanging="360"/>
      </w:pPr>
    </w:lvl>
    <w:lvl w:ilvl="2" w:tplc="0409001B" w:tentative="1">
      <w:start w:val="1"/>
      <w:numFmt w:val="lowerRoman"/>
      <w:lvlText w:val="%3."/>
      <w:lvlJc w:val="right"/>
      <w:pPr>
        <w:ind w:left="1575" w:hanging="180"/>
      </w:pPr>
    </w:lvl>
    <w:lvl w:ilvl="3" w:tplc="0409000F" w:tentative="1">
      <w:start w:val="1"/>
      <w:numFmt w:val="decimal"/>
      <w:lvlText w:val="%4."/>
      <w:lvlJc w:val="left"/>
      <w:pPr>
        <w:ind w:left="2295" w:hanging="360"/>
      </w:pPr>
    </w:lvl>
    <w:lvl w:ilvl="4" w:tplc="04090019" w:tentative="1">
      <w:start w:val="1"/>
      <w:numFmt w:val="lowerLetter"/>
      <w:lvlText w:val="%5."/>
      <w:lvlJc w:val="left"/>
      <w:pPr>
        <w:ind w:left="3015" w:hanging="360"/>
      </w:pPr>
    </w:lvl>
    <w:lvl w:ilvl="5" w:tplc="0409001B" w:tentative="1">
      <w:start w:val="1"/>
      <w:numFmt w:val="lowerRoman"/>
      <w:lvlText w:val="%6."/>
      <w:lvlJc w:val="right"/>
      <w:pPr>
        <w:ind w:left="3735" w:hanging="180"/>
      </w:pPr>
    </w:lvl>
    <w:lvl w:ilvl="6" w:tplc="0409000F" w:tentative="1">
      <w:start w:val="1"/>
      <w:numFmt w:val="decimal"/>
      <w:lvlText w:val="%7."/>
      <w:lvlJc w:val="left"/>
      <w:pPr>
        <w:ind w:left="4455" w:hanging="360"/>
      </w:pPr>
    </w:lvl>
    <w:lvl w:ilvl="7" w:tplc="04090019" w:tentative="1">
      <w:start w:val="1"/>
      <w:numFmt w:val="lowerLetter"/>
      <w:lvlText w:val="%8."/>
      <w:lvlJc w:val="left"/>
      <w:pPr>
        <w:ind w:left="5175" w:hanging="360"/>
      </w:pPr>
    </w:lvl>
    <w:lvl w:ilvl="8" w:tplc="0409001B" w:tentative="1">
      <w:start w:val="1"/>
      <w:numFmt w:val="lowerRoman"/>
      <w:lvlText w:val="%9."/>
      <w:lvlJc w:val="right"/>
      <w:pPr>
        <w:ind w:left="5895" w:hanging="180"/>
      </w:pPr>
    </w:lvl>
  </w:abstractNum>
  <w:abstractNum w:abstractNumId="2">
    <w:nsid w:val="4B427269"/>
    <w:multiLevelType w:val="hybridMultilevel"/>
    <w:tmpl w:val="AC2240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5EC6DB1"/>
    <w:multiLevelType w:val="hybridMultilevel"/>
    <w:tmpl w:val="BA969612"/>
    <w:lvl w:ilvl="0" w:tplc="04410001">
      <w:start w:val="1"/>
      <w:numFmt w:val="bullet"/>
      <w:lvlText w:val=""/>
      <w:lvlJc w:val="left"/>
      <w:pPr>
        <w:ind w:left="1080" w:hanging="360"/>
      </w:pPr>
      <w:rPr>
        <w:rFonts w:ascii="Symbol" w:hAnsi="Symbol" w:hint="default"/>
      </w:rPr>
    </w:lvl>
    <w:lvl w:ilvl="1" w:tplc="04410003" w:tentative="1">
      <w:start w:val="1"/>
      <w:numFmt w:val="bullet"/>
      <w:lvlText w:val="o"/>
      <w:lvlJc w:val="left"/>
      <w:pPr>
        <w:ind w:left="1800" w:hanging="360"/>
      </w:pPr>
      <w:rPr>
        <w:rFonts w:ascii="Courier New" w:hAnsi="Courier New" w:cs="Courier New" w:hint="default"/>
      </w:rPr>
    </w:lvl>
    <w:lvl w:ilvl="2" w:tplc="04410005" w:tentative="1">
      <w:start w:val="1"/>
      <w:numFmt w:val="bullet"/>
      <w:lvlText w:val=""/>
      <w:lvlJc w:val="left"/>
      <w:pPr>
        <w:ind w:left="2520" w:hanging="360"/>
      </w:pPr>
      <w:rPr>
        <w:rFonts w:ascii="Wingdings" w:hAnsi="Wingdings" w:hint="default"/>
      </w:rPr>
    </w:lvl>
    <w:lvl w:ilvl="3" w:tplc="04410001" w:tentative="1">
      <w:start w:val="1"/>
      <w:numFmt w:val="bullet"/>
      <w:lvlText w:val=""/>
      <w:lvlJc w:val="left"/>
      <w:pPr>
        <w:ind w:left="3240" w:hanging="360"/>
      </w:pPr>
      <w:rPr>
        <w:rFonts w:ascii="Symbol" w:hAnsi="Symbol" w:hint="default"/>
      </w:rPr>
    </w:lvl>
    <w:lvl w:ilvl="4" w:tplc="04410003" w:tentative="1">
      <w:start w:val="1"/>
      <w:numFmt w:val="bullet"/>
      <w:lvlText w:val="o"/>
      <w:lvlJc w:val="left"/>
      <w:pPr>
        <w:ind w:left="3960" w:hanging="360"/>
      </w:pPr>
      <w:rPr>
        <w:rFonts w:ascii="Courier New" w:hAnsi="Courier New" w:cs="Courier New" w:hint="default"/>
      </w:rPr>
    </w:lvl>
    <w:lvl w:ilvl="5" w:tplc="04410005" w:tentative="1">
      <w:start w:val="1"/>
      <w:numFmt w:val="bullet"/>
      <w:lvlText w:val=""/>
      <w:lvlJc w:val="left"/>
      <w:pPr>
        <w:ind w:left="4680" w:hanging="360"/>
      </w:pPr>
      <w:rPr>
        <w:rFonts w:ascii="Wingdings" w:hAnsi="Wingdings" w:hint="default"/>
      </w:rPr>
    </w:lvl>
    <w:lvl w:ilvl="6" w:tplc="04410001" w:tentative="1">
      <w:start w:val="1"/>
      <w:numFmt w:val="bullet"/>
      <w:lvlText w:val=""/>
      <w:lvlJc w:val="left"/>
      <w:pPr>
        <w:ind w:left="5400" w:hanging="360"/>
      </w:pPr>
      <w:rPr>
        <w:rFonts w:ascii="Symbol" w:hAnsi="Symbol" w:hint="default"/>
      </w:rPr>
    </w:lvl>
    <w:lvl w:ilvl="7" w:tplc="04410003" w:tentative="1">
      <w:start w:val="1"/>
      <w:numFmt w:val="bullet"/>
      <w:lvlText w:val="o"/>
      <w:lvlJc w:val="left"/>
      <w:pPr>
        <w:ind w:left="6120" w:hanging="360"/>
      </w:pPr>
      <w:rPr>
        <w:rFonts w:ascii="Courier New" w:hAnsi="Courier New" w:cs="Courier New" w:hint="default"/>
      </w:rPr>
    </w:lvl>
    <w:lvl w:ilvl="8" w:tplc="04410005" w:tentative="1">
      <w:start w:val="1"/>
      <w:numFmt w:val="bullet"/>
      <w:lvlText w:val=""/>
      <w:lvlJc w:val="left"/>
      <w:pPr>
        <w:ind w:left="6840" w:hanging="360"/>
      </w:pPr>
      <w:rPr>
        <w:rFonts w:ascii="Wingdings" w:hAnsi="Wingdings" w:hint="default"/>
      </w:rPr>
    </w:lvl>
  </w:abstractNum>
  <w:abstractNum w:abstractNumId="4">
    <w:nsid w:val="74245988"/>
    <w:multiLevelType w:val="hybridMultilevel"/>
    <w:tmpl w:val="249AB37C"/>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77705FCE"/>
    <w:multiLevelType w:val="hybridMultilevel"/>
    <w:tmpl w:val="8A2EACD2"/>
    <w:lvl w:ilvl="0" w:tplc="254AEFAE">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abstractNumId w:val="5"/>
  </w:num>
  <w:num w:numId="2">
    <w:abstractNumId w:val="1"/>
  </w:num>
  <w:num w:numId="3">
    <w:abstractNumId w:val="2"/>
  </w:num>
  <w:num w:numId="4">
    <w:abstractNumId w:val="4"/>
  </w:num>
  <w:num w:numId="5">
    <w:abstractNumId w:val="3"/>
  </w:num>
  <w:num w:numId="6">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E0B75"/>
    <w:rsid w:val="00020C74"/>
    <w:rsid w:val="000313BC"/>
    <w:rsid w:val="00040183"/>
    <w:rsid w:val="00070FC5"/>
    <w:rsid w:val="00163D59"/>
    <w:rsid w:val="001B1C2E"/>
    <w:rsid w:val="001E6BF1"/>
    <w:rsid w:val="0024291C"/>
    <w:rsid w:val="002546B0"/>
    <w:rsid w:val="00275970"/>
    <w:rsid w:val="0027705B"/>
    <w:rsid w:val="0028783C"/>
    <w:rsid w:val="003A32EB"/>
    <w:rsid w:val="003F4A38"/>
    <w:rsid w:val="003F5F02"/>
    <w:rsid w:val="00446475"/>
    <w:rsid w:val="005545DB"/>
    <w:rsid w:val="005C2D2D"/>
    <w:rsid w:val="005F099B"/>
    <w:rsid w:val="00642BA0"/>
    <w:rsid w:val="0073088D"/>
    <w:rsid w:val="00754600"/>
    <w:rsid w:val="007D19F1"/>
    <w:rsid w:val="00820205"/>
    <w:rsid w:val="008A488E"/>
    <w:rsid w:val="008C2A44"/>
    <w:rsid w:val="008E0ADD"/>
    <w:rsid w:val="009357F0"/>
    <w:rsid w:val="00983D72"/>
    <w:rsid w:val="009E099E"/>
    <w:rsid w:val="009E0B75"/>
    <w:rsid w:val="00A1619F"/>
    <w:rsid w:val="00AB65F1"/>
    <w:rsid w:val="00BE3679"/>
    <w:rsid w:val="00DC60E9"/>
    <w:rsid w:val="00E704B6"/>
    <w:rsid w:val="00E7305F"/>
    <w:rsid w:val="00ED6C80"/>
    <w:rsid w:val="00F822F2"/>
    <w:rsid w:val="00FA74EE"/>
    <w:rsid w:val="00FB4FCB"/>
    <w:rsid w:val="00FB683D"/>
    <w:rsid w:val="00FF6B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C74"/>
  </w:style>
  <w:style w:type="paragraph" w:styleId="Heading2">
    <w:name w:val="heading 2"/>
    <w:basedOn w:val="Normal"/>
    <w:next w:val="Normal"/>
    <w:link w:val="Heading2Char"/>
    <w:uiPriority w:val="9"/>
    <w:unhideWhenUsed/>
    <w:qFormat/>
    <w:rsid w:val="009E0B75"/>
    <w:pPr>
      <w:pBdr>
        <w:bottom w:val="single" w:sz="4" w:space="1" w:color="622423" w:themeColor="accent2" w:themeShade="7F"/>
      </w:pBdr>
      <w:spacing w:before="400" w:line="252" w:lineRule="auto"/>
      <w:jc w:val="center"/>
      <w:outlineLvl w:val="1"/>
    </w:pPr>
    <w:rPr>
      <w:rFonts w:asciiTheme="majorHAnsi" w:eastAsiaTheme="majorEastAsia" w:hAnsiTheme="majorHAnsi" w:cstheme="majorBidi"/>
      <w:caps/>
      <w:color w:val="632423" w:themeColor="accent2" w:themeShade="80"/>
      <w:spacing w:val="15"/>
      <w:sz w:val="24"/>
      <w:szCs w:val="24"/>
      <w:lang w:bidi="en-US"/>
    </w:rPr>
  </w:style>
  <w:style w:type="paragraph" w:styleId="Heading3">
    <w:name w:val="heading 3"/>
    <w:basedOn w:val="Normal"/>
    <w:next w:val="Normal"/>
    <w:link w:val="Heading3Char"/>
    <w:uiPriority w:val="9"/>
    <w:unhideWhenUsed/>
    <w:qFormat/>
    <w:rsid w:val="009E0B75"/>
    <w:pPr>
      <w:pBdr>
        <w:top w:val="dotted" w:sz="4" w:space="1" w:color="622423" w:themeColor="accent2" w:themeShade="7F"/>
        <w:bottom w:val="dotted" w:sz="4" w:space="1" w:color="622423" w:themeColor="accent2" w:themeShade="7F"/>
      </w:pBdr>
      <w:spacing w:before="300" w:line="252" w:lineRule="auto"/>
      <w:jc w:val="center"/>
      <w:outlineLvl w:val="2"/>
    </w:pPr>
    <w:rPr>
      <w:rFonts w:asciiTheme="majorHAnsi" w:eastAsiaTheme="majorEastAsia" w:hAnsiTheme="majorHAnsi" w:cstheme="majorBidi"/>
      <w:caps/>
      <w:color w:val="622423" w:themeColor="accent2" w:themeShade="7F"/>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0B75"/>
    <w:rPr>
      <w:rFonts w:asciiTheme="majorHAnsi" w:eastAsiaTheme="majorEastAsia" w:hAnsiTheme="majorHAnsi" w:cstheme="majorBidi"/>
      <w:caps/>
      <w:color w:val="632423" w:themeColor="accent2" w:themeShade="80"/>
      <w:spacing w:val="15"/>
      <w:sz w:val="24"/>
      <w:szCs w:val="24"/>
      <w:lang w:bidi="en-US"/>
    </w:rPr>
  </w:style>
  <w:style w:type="character" w:customStyle="1" w:styleId="Heading3Char">
    <w:name w:val="Heading 3 Char"/>
    <w:basedOn w:val="DefaultParagraphFont"/>
    <w:link w:val="Heading3"/>
    <w:uiPriority w:val="9"/>
    <w:rsid w:val="009E0B75"/>
    <w:rPr>
      <w:rFonts w:asciiTheme="majorHAnsi" w:eastAsiaTheme="majorEastAsia" w:hAnsiTheme="majorHAnsi" w:cstheme="majorBidi"/>
      <w:caps/>
      <w:color w:val="622423" w:themeColor="accent2" w:themeShade="7F"/>
      <w:sz w:val="24"/>
      <w:szCs w:val="24"/>
      <w:lang w:bidi="en-US"/>
    </w:rPr>
  </w:style>
  <w:style w:type="paragraph" w:styleId="NormalWeb">
    <w:name w:val="Normal (Web)"/>
    <w:basedOn w:val="Normal"/>
    <w:uiPriority w:val="99"/>
    <w:rsid w:val="009E0B75"/>
    <w:pPr>
      <w:spacing w:before="100" w:beforeAutospacing="1" w:after="100" w:afterAutospacing="1" w:line="240" w:lineRule="auto"/>
    </w:pPr>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9E0B75"/>
    <w:pPr>
      <w:tabs>
        <w:tab w:val="center" w:pos="4680"/>
        <w:tab w:val="right" w:pos="9360"/>
      </w:tabs>
      <w:spacing w:after="0" w:line="240" w:lineRule="auto"/>
    </w:pPr>
    <w:rPr>
      <w:rFonts w:asciiTheme="majorHAnsi" w:eastAsiaTheme="majorEastAsia" w:hAnsiTheme="majorHAnsi" w:cstheme="majorBidi"/>
      <w:lang w:bidi="en-US"/>
    </w:rPr>
  </w:style>
  <w:style w:type="character" w:customStyle="1" w:styleId="HeaderChar">
    <w:name w:val="Header Char"/>
    <w:basedOn w:val="DefaultParagraphFont"/>
    <w:link w:val="Header"/>
    <w:uiPriority w:val="99"/>
    <w:rsid w:val="009E0B75"/>
    <w:rPr>
      <w:rFonts w:asciiTheme="majorHAnsi" w:eastAsiaTheme="majorEastAsia" w:hAnsiTheme="majorHAnsi" w:cstheme="majorBidi"/>
      <w:lang w:bidi="en-US"/>
    </w:rPr>
  </w:style>
  <w:style w:type="paragraph" w:styleId="ListParagraph">
    <w:name w:val="List Paragraph"/>
    <w:basedOn w:val="Normal"/>
    <w:uiPriority w:val="34"/>
    <w:qFormat/>
    <w:rsid w:val="009E0B75"/>
    <w:pPr>
      <w:ind w:left="720"/>
      <w:contextualSpacing/>
    </w:pPr>
  </w:style>
  <w:style w:type="character" w:customStyle="1" w:styleId="spanheaderstitleblue1">
    <w:name w:val="spanheaderstitleblue1"/>
    <w:basedOn w:val="DefaultParagraphFont"/>
    <w:rsid w:val="008C2A44"/>
    <w:rPr>
      <w:b/>
      <w:bCs/>
      <w:color w:val="025597"/>
      <w:spacing w:val="15"/>
    </w:rPr>
  </w:style>
  <w:style w:type="paragraph" w:styleId="BalloonText">
    <w:name w:val="Balloon Text"/>
    <w:basedOn w:val="Normal"/>
    <w:link w:val="BalloonTextChar"/>
    <w:uiPriority w:val="99"/>
    <w:semiHidden/>
    <w:unhideWhenUsed/>
    <w:rsid w:val="009357F0"/>
    <w:pPr>
      <w:spacing w:after="0" w:line="240" w:lineRule="auto"/>
    </w:pPr>
    <w:rPr>
      <w:rFonts w:ascii="Tahoma" w:hAnsi="Tahoma" w:cs="Tahoma"/>
      <w:sz w:val="16"/>
      <w:szCs w:val="16"/>
      <w:lang w:bidi="en-US"/>
    </w:rPr>
  </w:style>
  <w:style w:type="character" w:customStyle="1" w:styleId="BalloonTextChar">
    <w:name w:val="Balloon Text Char"/>
    <w:basedOn w:val="DefaultParagraphFont"/>
    <w:link w:val="BalloonText"/>
    <w:uiPriority w:val="99"/>
    <w:semiHidden/>
    <w:rsid w:val="009357F0"/>
    <w:rPr>
      <w:rFonts w:ascii="Tahoma" w:hAnsi="Tahoma" w:cs="Tahoma"/>
      <w:sz w:val="16"/>
      <w:szCs w:val="16"/>
      <w:lang w:bidi="en-US"/>
    </w:rPr>
  </w:style>
  <w:style w:type="character" w:styleId="Strong">
    <w:name w:val="Strong"/>
    <w:basedOn w:val="DefaultParagraphFont"/>
    <w:uiPriority w:val="22"/>
    <w:qFormat/>
    <w:rsid w:val="00FB683D"/>
    <w:rPr>
      <w:b/>
      <w:bCs/>
    </w:rPr>
  </w:style>
  <w:style w:type="paragraph" w:customStyle="1" w:styleId="Default">
    <w:name w:val="Default"/>
    <w:rsid w:val="008A488E"/>
    <w:pPr>
      <w:autoSpaceDE w:val="0"/>
      <w:autoSpaceDN w:val="0"/>
      <w:adjustRightInd w:val="0"/>
      <w:spacing w:after="0" w:line="240" w:lineRule="auto"/>
    </w:pPr>
    <w:rPr>
      <w:rFonts w:ascii="Times New Roman PS MT" w:hAnsi="Times New Roman PS MT" w:cs="Times New Roman PS MT"/>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2011-02-08T17:27:00Z</dcterms:created>
  <dcterms:modified xsi:type="dcterms:W3CDTF">2011-04-16T17:22:00Z</dcterms:modified>
</cp:coreProperties>
</file>