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76E" w:rsidRDefault="008B476E" w:rsidP="008B476E">
      <w:r>
        <w:t>LAIKIPIA UNIVERSITY COLLEGE</w:t>
      </w:r>
    </w:p>
    <w:p w:rsidR="008B476E" w:rsidRDefault="00EB4DDC" w:rsidP="008B476E">
      <w:r>
        <w:t>BCOM 212 ACCOUNTING FOR EQUITIES</w:t>
      </w:r>
    </w:p>
    <w:p w:rsidR="00EB4DDC" w:rsidRDefault="00EB4DDC" w:rsidP="008B476E">
      <w:r>
        <w:t>Attempt TWO questions in section A and ONE question in section B.</w:t>
      </w:r>
    </w:p>
    <w:p w:rsidR="00EB4DDC" w:rsidRPr="00EB4DDC" w:rsidRDefault="00EB4DDC" w:rsidP="008B476E">
      <w:pPr>
        <w:rPr>
          <w:u w:val="single"/>
        </w:rPr>
      </w:pPr>
      <w:r w:rsidRPr="00EB4DDC">
        <w:rPr>
          <w:u w:val="single"/>
        </w:rPr>
        <w:t>SECTION A</w:t>
      </w:r>
    </w:p>
    <w:p w:rsidR="008B476E" w:rsidRDefault="008B476E" w:rsidP="008B476E">
      <w:pPr>
        <w:pStyle w:val="ListParagraph"/>
        <w:numPr>
          <w:ilvl w:val="0"/>
          <w:numId w:val="1"/>
        </w:numPr>
        <w:ind w:left="0" w:firstLine="0"/>
      </w:pPr>
      <w:r>
        <w:t>On october 1, 2006, Plateau LTD advertised the floatation of 3,000,000 ordinary shares of Ksh. 10 each. The terms of payment were as follows.</w:t>
      </w:r>
    </w:p>
    <w:p w:rsidR="008B476E" w:rsidRDefault="008B476E" w:rsidP="008B476E">
      <w:pPr>
        <w:pStyle w:val="ListParagraph"/>
        <w:numPr>
          <w:ilvl w:val="0"/>
          <w:numId w:val="2"/>
        </w:numPr>
      </w:pPr>
      <w:r>
        <w:t>Ksh. 3 per share application fee.</w:t>
      </w:r>
    </w:p>
    <w:p w:rsidR="008B476E" w:rsidRDefault="008B476E" w:rsidP="008B476E">
      <w:pPr>
        <w:pStyle w:val="ListParagraph"/>
        <w:numPr>
          <w:ilvl w:val="0"/>
          <w:numId w:val="2"/>
        </w:numPr>
      </w:pPr>
      <w:r>
        <w:t>Ksh. 5 per share allotment fee</w:t>
      </w:r>
      <w:r w:rsidRPr="00C82CFB">
        <w:t xml:space="preserve"> </w:t>
      </w:r>
      <w:r>
        <w:t>(Including the premium).</w:t>
      </w:r>
    </w:p>
    <w:p w:rsidR="008B476E" w:rsidRDefault="008B476E" w:rsidP="008B476E">
      <w:pPr>
        <w:pStyle w:val="ListParagraph"/>
        <w:numPr>
          <w:ilvl w:val="0"/>
          <w:numId w:val="2"/>
        </w:numPr>
      </w:pPr>
      <w:r>
        <w:t>Ksh. 2 per share on first call.</w:t>
      </w:r>
    </w:p>
    <w:p w:rsidR="008B476E" w:rsidRDefault="008B476E" w:rsidP="008B476E">
      <w:pPr>
        <w:pStyle w:val="ListParagraph"/>
        <w:numPr>
          <w:ilvl w:val="0"/>
          <w:numId w:val="2"/>
        </w:numPr>
      </w:pPr>
      <w:r>
        <w:t>Ksh. 2 per share on second and final call.</w:t>
      </w:r>
    </w:p>
    <w:p w:rsidR="008B476E" w:rsidRDefault="008B476E" w:rsidP="008B476E">
      <w:r>
        <w:t>All the cash was recieved except for Ms Patel (who applied and was alloted 10,000 shares) who did not pay for the second call. Consequently, the company BoD passed a resolution to forfeit her shares. Plateau LTD reissued the shares forfeited by Ms Patel at a discount of Ksh. 2 per share.</w:t>
      </w:r>
    </w:p>
    <w:p w:rsidR="008B476E" w:rsidRDefault="008B476E" w:rsidP="008B476E">
      <w:pPr>
        <w:rPr>
          <w:b/>
          <w:u w:val="single"/>
        </w:rPr>
      </w:pPr>
      <w:r w:rsidRPr="00275544">
        <w:rPr>
          <w:b/>
          <w:u w:val="single"/>
        </w:rPr>
        <w:t>REQUIRED</w:t>
      </w:r>
      <w:r>
        <w:rPr>
          <w:b/>
          <w:u w:val="single"/>
        </w:rPr>
        <w:t>:</w:t>
      </w:r>
    </w:p>
    <w:p w:rsidR="008B476E" w:rsidRDefault="008B476E" w:rsidP="008B476E">
      <w:pPr>
        <w:pStyle w:val="ListParagraph"/>
        <w:numPr>
          <w:ilvl w:val="0"/>
          <w:numId w:val="3"/>
        </w:numPr>
      </w:pPr>
      <w:r>
        <w:t>Journal entries in the books of Plateau LTD to record the above transactions. (10 mks)</w:t>
      </w:r>
    </w:p>
    <w:p w:rsidR="008B476E" w:rsidRDefault="008B476E" w:rsidP="008B476E">
      <w:pPr>
        <w:pStyle w:val="ListParagraph"/>
        <w:numPr>
          <w:ilvl w:val="0"/>
          <w:numId w:val="3"/>
        </w:numPr>
      </w:pPr>
      <w:r>
        <w:t>Ledger accounts in the books of Plateau LTD to r</w:t>
      </w:r>
      <w:r w:rsidR="00391058">
        <w:t>ecord the above transactions (13.5</w:t>
      </w:r>
      <w:r>
        <w:t xml:space="preserve"> mks)</w:t>
      </w:r>
    </w:p>
    <w:p w:rsidR="008B476E" w:rsidRDefault="008B476E" w:rsidP="008B476E">
      <w:pPr>
        <w:pStyle w:val="ListParagraph"/>
        <w:ind w:left="360"/>
      </w:pPr>
    </w:p>
    <w:p w:rsidR="00F8700D" w:rsidRDefault="00F8700D" w:rsidP="008B476E">
      <w:pPr>
        <w:pStyle w:val="ListParagraph"/>
        <w:ind w:left="360"/>
      </w:pPr>
    </w:p>
    <w:p w:rsidR="008B476E" w:rsidRDefault="001F4D20" w:rsidP="008B476E">
      <w:pPr>
        <w:pStyle w:val="ListParagraph"/>
        <w:numPr>
          <w:ilvl w:val="0"/>
          <w:numId w:val="1"/>
        </w:numPr>
        <w:ind w:left="0" w:firstLine="0"/>
      </w:pPr>
      <w:r>
        <w:t xml:space="preserve">The following trial balance was prepared by Mtangwe LTD as at 30 December 2009.                                                  </w:t>
      </w:r>
    </w:p>
    <w:tbl>
      <w:tblPr>
        <w:tblStyle w:val="TableGrid"/>
        <w:tblW w:w="0" w:type="auto"/>
        <w:tblLook w:val="04A0"/>
      </w:tblPr>
      <w:tblGrid>
        <w:gridCol w:w="4698"/>
        <w:gridCol w:w="2250"/>
        <w:gridCol w:w="1170"/>
        <w:gridCol w:w="1170"/>
      </w:tblGrid>
      <w:tr w:rsidR="001F4D20" w:rsidTr="007133DF">
        <w:tc>
          <w:tcPr>
            <w:tcW w:w="4698" w:type="dxa"/>
          </w:tcPr>
          <w:p w:rsidR="001F4D20" w:rsidRDefault="001F4D20" w:rsidP="001F4D20">
            <w:pPr>
              <w:pStyle w:val="ListParagraph"/>
              <w:ind w:left="0"/>
            </w:pPr>
          </w:p>
        </w:tc>
        <w:tc>
          <w:tcPr>
            <w:tcW w:w="2250" w:type="dxa"/>
          </w:tcPr>
          <w:p w:rsidR="001F4D20" w:rsidRDefault="001F4D20" w:rsidP="001F4D20">
            <w:pPr>
              <w:pStyle w:val="ListParagraph"/>
              <w:ind w:left="0"/>
            </w:pPr>
          </w:p>
        </w:tc>
        <w:tc>
          <w:tcPr>
            <w:tcW w:w="1170" w:type="dxa"/>
          </w:tcPr>
          <w:p w:rsidR="001F4D20" w:rsidRDefault="001F4D20" w:rsidP="001F4D20">
            <w:pPr>
              <w:pStyle w:val="ListParagraph"/>
              <w:ind w:left="0"/>
            </w:pPr>
            <w:r>
              <w:t>Ksh ‘000</w:t>
            </w:r>
          </w:p>
        </w:tc>
        <w:tc>
          <w:tcPr>
            <w:tcW w:w="1170" w:type="dxa"/>
          </w:tcPr>
          <w:p w:rsidR="001F4D20" w:rsidRDefault="001F4D20" w:rsidP="001F4D20">
            <w:pPr>
              <w:pStyle w:val="ListParagraph"/>
              <w:ind w:left="0"/>
            </w:pPr>
            <w:r>
              <w:t>Ksh ‘000</w:t>
            </w:r>
          </w:p>
        </w:tc>
      </w:tr>
      <w:tr w:rsidR="001F4D20" w:rsidTr="007133DF">
        <w:tc>
          <w:tcPr>
            <w:tcW w:w="4698" w:type="dxa"/>
          </w:tcPr>
          <w:p w:rsidR="001F4D20" w:rsidRPr="003F02F7" w:rsidRDefault="001F4D20" w:rsidP="001F4D20">
            <w:pPr>
              <w:pStyle w:val="ListParagraph"/>
              <w:ind w:left="0"/>
              <w:rPr>
                <w:highlight w:val="yellow"/>
              </w:rPr>
            </w:pPr>
            <w:r w:rsidRPr="003F02F7">
              <w:rPr>
                <w:highlight w:val="yellow"/>
              </w:rPr>
              <w:t>Ordinary share capital of Ksh 10 each</w:t>
            </w:r>
          </w:p>
        </w:tc>
        <w:tc>
          <w:tcPr>
            <w:tcW w:w="2250" w:type="dxa"/>
          </w:tcPr>
          <w:p w:rsidR="001F4D20" w:rsidRDefault="001F4D20" w:rsidP="001F4D20">
            <w:pPr>
              <w:pStyle w:val="ListParagraph"/>
              <w:ind w:left="0"/>
            </w:pPr>
          </w:p>
        </w:tc>
        <w:tc>
          <w:tcPr>
            <w:tcW w:w="1170" w:type="dxa"/>
          </w:tcPr>
          <w:p w:rsidR="001F4D20" w:rsidRDefault="001F4D20" w:rsidP="001F4D20">
            <w:pPr>
              <w:pStyle w:val="ListParagraph"/>
              <w:ind w:left="0"/>
            </w:pPr>
          </w:p>
        </w:tc>
        <w:tc>
          <w:tcPr>
            <w:tcW w:w="1170" w:type="dxa"/>
          </w:tcPr>
          <w:p w:rsidR="001F4D20" w:rsidRDefault="007133DF" w:rsidP="001F4D20">
            <w:pPr>
              <w:pStyle w:val="ListParagraph"/>
              <w:ind w:left="0"/>
            </w:pPr>
            <w:r>
              <w:t>20,000</w:t>
            </w:r>
          </w:p>
        </w:tc>
      </w:tr>
      <w:tr w:rsidR="001F4D20" w:rsidTr="007133DF">
        <w:tc>
          <w:tcPr>
            <w:tcW w:w="4698" w:type="dxa"/>
          </w:tcPr>
          <w:p w:rsidR="001F4D20" w:rsidRPr="003F02F7" w:rsidRDefault="001F4D20" w:rsidP="001F4D20">
            <w:pPr>
              <w:pStyle w:val="ListParagraph"/>
              <w:ind w:left="0"/>
              <w:rPr>
                <w:highlight w:val="yellow"/>
              </w:rPr>
            </w:pPr>
            <w:r w:rsidRPr="003F02F7">
              <w:rPr>
                <w:highlight w:val="yellow"/>
              </w:rPr>
              <w:t>8% redeemable preference shares</w:t>
            </w:r>
          </w:p>
        </w:tc>
        <w:tc>
          <w:tcPr>
            <w:tcW w:w="2250" w:type="dxa"/>
          </w:tcPr>
          <w:p w:rsidR="001F4D20" w:rsidRDefault="001F4D20" w:rsidP="001F4D20">
            <w:pPr>
              <w:pStyle w:val="ListParagraph"/>
              <w:ind w:left="0"/>
            </w:pPr>
          </w:p>
        </w:tc>
        <w:tc>
          <w:tcPr>
            <w:tcW w:w="1170" w:type="dxa"/>
          </w:tcPr>
          <w:p w:rsidR="001F4D20" w:rsidRDefault="001F4D20" w:rsidP="001F4D20">
            <w:pPr>
              <w:pStyle w:val="ListParagraph"/>
              <w:ind w:left="0"/>
            </w:pPr>
          </w:p>
        </w:tc>
        <w:tc>
          <w:tcPr>
            <w:tcW w:w="1170" w:type="dxa"/>
          </w:tcPr>
          <w:p w:rsidR="001F4D20" w:rsidRDefault="007133DF" w:rsidP="001F4D20">
            <w:pPr>
              <w:pStyle w:val="ListParagraph"/>
              <w:ind w:left="0"/>
            </w:pPr>
            <w:r>
              <w:t>12,000</w:t>
            </w:r>
          </w:p>
        </w:tc>
      </w:tr>
      <w:tr w:rsidR="001F4D20" w:rsidTr="007133DF">
        <w:tc>
          <w:tcPr>
            <w:tcW w:w="4698" w:type="dxa"/>
          </w:tcPr>
          <w:p w:rsidR="001F4D20" w:rsidRPr="003F02F7" w:rsidRDefault="001F4D20" w:rsidP="001F4D20">
            <w:pPr>
              <w:pStyle w:val="ListParagraph"/>
              <w:ind w:left="0"/>
              <w:rPr>
                <w:highlight w:val="yellow"/>
              </w:rPr>
            </w:pPr>
            <w:r w:rsidRPr="003F02F7">
              <w:rPr>
                <w:highlight w:val="yellow"/>
              </w:rPr>
              <w:t>6% debentures</w:t>
            </w:r>
          </w:p>
        </w:tc>
        <w:tc>
          <w:tcPr>
            <w:tcW w:w="2250" w:type="dxa"/>
          </w:tcPr>
          <w:p w:rsidR="001F4D20" w:rsidRDefault="001F4D20" w:rsidP="001F4D20">
            <w:pPr>
              <w:pStyle w:val="ListParagraph"/>
              <w:ind w:left="0"/>
            </w:pPr>
          </w:p>
        </w:tc>
        <w:tc>
          <w:tcPr>
            <w:tcW w:w="1170" w:type="dxa"/>
          </w:tcPr>
          <w:p w:rsidR="001F4D20" w:rsidRDefault="001F4D20" w:rsidP="001F4D20">
            <w:pPr>
              <w:pStyle w:val="ListParagraph"/>
              <w:ind w:left="0"/>
            </w:pPr>
          </w:p>
        </w:tc>
        <w:tc>
          <w:tcPr>
            <w:tcW w:w="1170" w:type="dxa"/>
          </w:tcPr>
          <w:p w:rsidR="001F4D20" w:rsidRDefault="007133DF" w:rsidP="001F4D20">
            <w:pPr>
              <w:pStyle w:val="ListParagraph"/>
              <w:ind w:left="0"/>
            </w:pPr>
            <w:r>
              <w:t>10,000</w:t>
            </w:r>
          </w:p>
        </w:tc>
      </w:tr>
      <w:tr w:rsidR="001F4D20" w:rsidTr="007133DF">
        <w:tc>
          <w:tcPr>
            <w:tcW w:w="4698" w:type="dxa"/>
          </w:tcPr>
          <w:p w:rsidR="001F4D20" w:rsidRPr="003F02F7" w:rsidRDefault="001F4D20" w:rsidP="001F4D20">
            <w:pPr>
              <w:pStyle w:val="ListParagraph"/>
              <w:ind w:left="0"/>
              <w:rPr>
                <w:highlight w:val="yellow"/>
              </w:rPr>
            </w:pPr>
            <w:r w:rsidRPr="003F02F7">
              <w:rPr>
                <w:highlight w:val="yellow"/>
              </w:rPr>
              <w:t>Revaluation reserve</w:t>
            </w:r>
          </w:p>
        </w:tc>
        <w:tc>
          <w:tcPr>
            <w:tcW w:w="2250" w:type="dxa"/>
          </w:tcPr>
          <w:p w:rsidR="001F4D20" w:rsidRDefault="001F4D20" w:rsidP="001F4D20">
            <w:pPr>
              <w:pStyle w:val="ListParagraph"/>
              <w:ind w:left="0"/>
            </w:pPr>
          </w:p>
        </w:tc>
        <w:tc>
          <w:tcPr>
            <w:tcW w:w="1170" w:type="dxa"/>
          </w:tcPr>
          <w:p w:rsidR="001F4D20" w:rsidRDefault="001F4D20" w:rsidP="001F4D20">
            <w:pPr>
              <w:pStyle w:val="ListParagraph"/>
              <w:ind w:left="0"/>
            </w:pPr>
          </w:p>
        </w:tc>
        <w:tc>
          <w:tcPr>
            <w:tcW w:w="1170" w:type="dxa"/>
          </w:tcPr>
          <w:p w:rsidR="001F4D20" w:rsidRDefault="007133DF" w:rsidP="001F4D20">
            <w:pPr>
              <w:pStyle w:val="ListParagraph"/>
              <w:ind w:left="0"/>
            </w:pPr>
            <w:r>
              <w:t>3,400</w:t>
            </w:r>
          </w:p>
        </w:tc>
      </w:tr>
      <w:tr w:rsidR="001F4D20" w:rsidTr="007133DF">
        <w:tc>
          <w:tcPr>
            <w:tcW w:w="4698" w:type="dxa"/>
          </w:tcPr>
          <w:p w:rsidR="001F4D20" w:rsidRPr="003F02F7" w:rsidRDefault="001F4D20" w:rsidP="001F4D20">
            <w:pPr>
              <w:pStyle w:val="ListParagraph"/>
              <w:ind w:left="0"/>
              <w:rPr>
                <w:highlight w:val="yellow"/>
              </w:rPr>
            </w:pPr>
            <w:r w:rsidRPr="003F02F7">
              <w:rPr>
                <w:highlight w:val="yellow"/>
              </w:rPr>
              <w:t xml:space="preserve">Sales </w:t>
            </w:r>
          </w:p>
        </w:tc>
        <w:tc>
          <w:tcPr>
            <w:tcW w:w="2250" w:type="dxa"/>
          </w:tcPr>
          <w:p w:rsidR="001F4D20" w:rsidRDefault="001F4D20" w:rsidP="001F4D20">
            <w:pPr>
              <w:pStyle w:val="ListParagraph"/>
              <w:ind w:left="0"/>
            </w:pPr>
          </w:p>
        </w:tc>
        <w:tc>
          <w:tcPr>
            <w:tcW w:w="1170" w:type="dxa"/>
          </w:tcPr>
          <w:p w:rsidR="001F4D20" w:rsidRDefault="001F4D20" w:rsidP="001F4D20">
            <w:pPr>
              <w:pStyle w:val="ListParagraph"/>
              <w:ind w:left="0"/>
            </w:pPr>
          </w:p>
        </w:tc>
        <w:tc>
          <w:tcPr>
            <w:tcW w:w="1170" w:type="dxa"/>
          </w:tcPr>
          <w:p w:rsidR="001F4D20" w:rsidRDefault="001D6B7F" w:rsidP="001F4D20">
            <w:pPr>
              <w:pStyle w:val="ListParagraph"/>
              <w:ind w:left="0"/>
            </w:pPr>
            <w:r>
              <w:t>32</w:t>
            </w:r>
            <w:r w:rsidR="007133DF">
              <w:t>3,</w:t>
            </w:r>
            <w:r>
              <w:t>920</w:t>
            </w:r>
          </w:p>
        </w:tc>
      </w:tr>
      <w:tr w:rsidR="001F4D20" w:rsidTr="007133DF">
        <w:tc>
          <w:tcPr>
            <w:tcW w:w="4698" w:type="dxa"/>
          </w:tcPr>
          <w:p w:rsidR="001F4D20" w:rsidRPr="003F02F7" w:rsidRDefault="001F4D20" w:rsidP="001F4D20">
            <w:pPr>
              <w:pStyle w:val="ListParagraph"/>
              <w:ind w:left="0"/>
              <w:rPr>
                <w:highlight w:val="yellow"/>
              </w:rPr>
            </w:pPr>
            <w:r w:rsidRPr="003F02F7">
              <w:rPr>
                <w:highlight w:val="yellow"/>
              </w:rPr>
              <w:t>Inventory (As at January 1, 2009)</w:t>
            </w:r>
          </w:p>
        </w:tc>
        <w:tc>
          <w:tcPr>
            <w:tcW w:w="2250" w:type="dxa"/>
          </w:tcPr>
          <w:p w:rsidR="001F4D20" w:rsidRDefault="001F4D20" w:rsidP="001F4D20">
            <w:pPr>
              <w:pStyle w:val="ListParagraph"/>
              <w:ind w:left="0"/>
            </w:pPr>
          </w:p>
        </w:tc>
        <w:tc>
          <w:tcPr>
            <w:tcW w:w="1170" w:type="dxa"/>
          </w:tcPr>
          <w:p w:rsidR="001F4D20" w:rsidRDefault="007133DF" w:rsidP="001F4D20">
            <w:pPr>
              <w:pStyle w:val="ListParagraph"/>
              <w:ind w:left="0"/>
            </w:pPr>
            <w:r>
              <w:t>12400</w:t>
            </w:r>
          </w:p>
        </w:tc>
        <w:tc>
          <w:tcPr>
            <w:tcW w:w="1170" w:type="dxa"/>
          </w:tcPr>
          <w:p w:rsidR="001F4D20" w:rsidRDefault="001F4D20" w:rsidP="001F4D20">
            <w:pPr>
              <w:pStyle w:val="ListParagraph"/>
              <w:ind w:left="0"/>
            </w:pPr>
          </w:p>
        </w:tc>
      </w:tr>
      <w:tr w:rsidR="001F4D20" w:rsidTr="007133DF">
        <w:tc>
          <w:tcPr>
            <w:tcW w:w="4698" w:type="dxa"/>
          </w:tcPr>
          <w:p w:rsidR="001F4D20" w:rsidRPr="003F02F7" w:rsidRDefault="001F4D20" w:rsidP="001F4D20">
            <w:pPr>
              <w:pStyle w:val="ListParagraph"/>
              <w:ind w:left="0"/>
              <w:rPr>
                <w:highlight w:val="yellow"/>
              </w:rPr>
            </w:pPr>
            <w:r w:rsidRPr="003F02F7">
              <w:rPr>
                <w:highlight w:val="yellow"/>
              </w:rPr>
              <w:t>Purchases</w:t>
            </w:r>
          </w:p>
        </w:tc>
        <w:tc>
          <w:tcPr>
            <w:tcW w:w="2250" w:type="dxa"/>
          </w:tcPr>
          <w:p w:rsidR="001F4D20" w:rsidRDefault="001F4D20" w:rsidP="001F4D20">
            <w:pPr>
              <w:pStyle w:val="ListParagraph"/>
              <w:ind w:left="0"/>
            </w:pPr>
          </w:p>
        </w:tc>
        <w:tc>
          <w:tcPr>
            <w:tcW w:w="1170" w:type="dxa"/>
          </w:tcPr>
          <w:p w:rsidR="001F4D20" w:rsidRDefault="007133DF" w:rsidP="001F4D20">
            <w:pPr>
              <w:pStyle w:val="ListParagraph"/>
              <w:ind w:left="0"/>
            </w:pPr>
            <w:r>
              <w:t>147200</w:t>
            </w:r>
          </w:p>
        </w:tc>
        <w:tc>
          <w:tcPr>
            <w:tcW w:w="1170" w:type="dxa"/>
          </w:tcPr>
          <w:p w:rsidR="001F4D20" w:rsidRDefault="001F4D20" w:rsidP="001F4D20">
            <w:pPr>
              <w:pStyle w:val="ListParagraph"/>
              <w:ind w:left="0"/>
            </w:pPr>
          </w:p>
        </w:tc>
      </w:tr>
      <w:tr w:rsidR="001F4D20" w:rsidTr="007133DF">
        <w:tc>
          <w:tcPr>
            <w:tcW w:w="4698" w:type="dxa"/>
          </w:tcPr>
          <w:p w:rsidR="001F4D20" w:rsidRPr="003F02F7" w:rsidRDefault="001F4D20" w:rsidP="001F4D20">
            <w:pPr>
              <w:pStyle w:val="ListParagraph"/>
              <w:ind w:left="0"/>
              <w:rPr>
                <w:highlight w:val="yellow"/>
              </w:rPr>
            </w:pPr>
            <w:r w:rsidRPr="003F02F7">
              <w:rPr>
                <w:highlight w:val="yellow"/>
              </w:rPr>
              <w:t>Distribution costs</w:t>
            </w:r>
          </w:p>
        </w:tc>
        <w:tc>
          <w:tcPr>
            <w:tcW w:w="2250" w:type="dxa"/>
          </w:tcPr>
          <w:p w:rsidR="001F4D20" w:rsidRDefault="001F4D20" w:rsidP="001F4D20">
            <w:pPr>
              <w:pStyle w:val="ListParagraph"/>
              <w:ind w:left="0"/>
            </w:pPr>
          </w:p>
        </w:tc>
        <w:tc>
          <w:tcPr>
            <w:tcW w:w="1170" w:type="dxa"/>
          </w:tcPr>
          <w:p w:rsidR="001F4D20" w:rsidRDefault="007133DF" w:rsidP="001F4D20">
            <w:pPr>
              <w:pStyle w:val="ListParagraph"/>
              <w:ind w:left="0"/>
            </w:pPr>
            <w:r>
              <w:t>22,300</w:t>
            </w:r>
          </w:p>
        </w:tc>
        <w:tc>
          <w:tcPr>
            <w:tcW w:w="1170" w:type="dxa"/>
          </w:tcPr>
          <w:p w:rsidR="001F4D20" w:rsidRDefault="001F4D20" w:rsidP="001F4D20">
            <w:pPr>
              <w:pStyle w:val="ListParagraph"/>
              <w:ind w:left="0"/>
            </w:pPr>
          </w:p>
        </w:tc>
      </w:tr>
      <w:tr w:rsidR="001F4D20" w:rsidTr="007133DF">
        <w:tc>
          <w:tcPr>
            <w:tcW w:w="4698" w:type="dxa"/>
          </w:tcPr>
          <w:p w:rsidR="001F4D20" w:rsidRPr="003F02F7" w:rsidRDefault="001F4D20" w:rsidP="001F4D20">
            <w:pPr>
              <w:pStyle w:val="ListParagraph"/>
              <w:ind w:left="0"/>
              <w:rPr>
                <w:highlight w:val="yellow"/>
              </w:rPr>
            </w:pPr>
            <w:r w:rsidRPr="003F02F7">
              <w:rPr>
                <w:highlight w:val="yellow"/>
              </w:rPr>
              <w:t>Administrative expenses</w:t>
            </w:r>
          </w:p>
        </w:tc>
        <w:tc>
          <w:tcPr>
            <w:tcW w:w="2250" w:type="dxa"/>
          </w:tcPr>
          <w:p w:rsidR="001F4D20" w:rsidRDefault="001F4D20" w:rsidP="001F4D20">
            <w:pPr>
              <w:pStyle w:val="ListParagraph"/>
              <w:ind w:left="0"/>
            </w:pPr>
          </w:p>
        </w:tc>
        <w:tc>
          <w:tcPr>
            <w:tcW w:w="1170" w:type="dxa"/>
          </w:tcPr>
          <w:p w:rsidR="001F4D20" w:rsidRDefault="007133DF" w:rsidP="001F4D20">
            <w:pPr>
              <w:pStyle w:val="ListParagraph"/>
              <w:ind w:left="0"/>
            </w:pPr>
            <w:r>
              <w:t>34,440</w:t>
            </w:r>
          </w:p>
        </w:tc>
        <w:tc>
          <w:tcPr>
            <w:tcW w:w="1170" w:type="dxa"/>
          </w:tcPr>
          <w:p w:rsidR="001F4D20" w:rsidRDefault="001F4D20" w:rsidP="001F4D20">
            <w:pPr>
              <w:pStyle w:val="ListParagraph"/>
              <w:ind w:left="0"/>
            </w:pPr>
          </w:p>
        </w:tc>
      </w:tr>
      <w:tr w:rsidR="001F4D20" w:rsidTr="007133DF">
        <w:tc>
          <w:tcPr>
            <w:tcW w:w="4698" w:type="dxa"/>
          </w:tcPr>
          <w:p w:rsidR="001F4D20" w:rsidRPr="003F02F7" w:rsidRDefault="001F4D20" w:rsidP="001F4D20">
            <w:pPr>
              <w:pStyle w:val="ListParagraph"/>
              <w:ind w:left="0"/>
              <w:rPr>
                <w:highlight w:val="yellow"/>
              </w:rPr>
            </w:pPr>
            <w:r w:rsidRPr="003F02F7">
              <w:rPr>
                <w:highlight w:val="yellow"/>
              </w:rPr>
              <w:t>Interest paid on debentures</w:t>
            </w:r>
          </w:p>
        </w:tc>
        <w:tc>
          <w:tcPr>
            <w:tcW w:w="2250" w:type="dxa"/>
          </w:tcPr>
          <w:p w:rsidR="001F4D20" w:rsidRDefault="001F4D20" w:rsidP="001F4D20">
            <w:pPr>
              <w:pStyle w:val="ListParagraph"/>
              <w:ind w:left="0"/>
            </w:pPr>
          </w:p>
        </w:tc>
        <w:tc>
          <w:tcPr>
            <w:tcW w:w="1170" w:type="dxa"/>
          </w:tcPr>
          <w:p w:rsidR="001F4D20" w:rsidRDefault="007133DF" w:rsidP="001F4D20">
            <w:pPr>
              <w:pStyle w:val="ListParagraph"/>
              <w:ind w:left="0"/>
            </w:pPr>
            <w:r>
              <w:t>600</w:t>
            </w:r>
          </w:p>
        </w:tc>
        <w:tc>
          <w:tcPr>
            <w:tcW w:w="1170" w:type="dxa"/>
          </w:tcPr>
          <w:p w:rsidR="001F4D20" w:rsidRDefault="001F4D20" w:rsidP="001F4D20">
            <w:pPr>
              <w:pStyle w:val="ListParagraph"/>
              <w:ind w:left="0"/>
            </w:pPr>
          </w:p>
        </w:tc>
      </w:tr>
      <w:tr w:rsidR="001F4D20" w:rsidTr="007133DF">
        <w:tc>
          <w:tcPr>
            <w:tcW w:w="4698" w:type="dxa"/>
          </w:tcPr>
          <w:p w:rsidR="001F4D20" w:rsidRDefault="001F4D20" w:rsidP="001F4D20">
            <w:pPr>
              <w:pStyle w:val="ListParagraph"/>
              <w:ind w:left="0"/>
            </w:pPr>
            <w:r>
              <w:t>Interim dividends paid</w:t>
            </w:r>
          </w:p>
        </w:tc>
        <w:tc>
          <w:tcPr>
            <w:tcW w:w="2250" w:type="dxa"/>
          </w:tcPr>
          <w:p w:rsidR="001F4D20" w:rsidRDefault="001F4D20" w:rsidP="001F4D20">
            <w:pPr>
              <w:pStyle w:val="ListParagraph"/>
              <w:ind w:left="0"/>
            </w:pPr>
            <w:r>
              <w:t>Ordinary shares</w:t>
            </w:r>
          </w:p>
        </w:tc>
        <w:tc>
          <w:tcPr>
            <w:tcW w:w="1170" w:type="dxa"/>
          </w:tcPr>
          <w:p w:rsidR="001F4D20" w:rsidRDefault="007133DF" w:rsidP="001F4D20">
            <w:pPr>
              <w:pStyle w:val="ListParagraph"/>
              <w:ind w:left="0"/>
            </w:pPr>
            <w:r>
              <w:t>2,000</w:t>
            </w:r>
          </w:p>
        </w:tc>
        <w:tc>
          <w:tcPr>
            <w:tcW w:w="1170" w:type="dxa"/>
          </w:tcPr>
          <w:p w:rsidR="001F4D20" w:rsidRDefault="001F4D20" w:rsidP="001F4D20">
            <w:pPr>
              <w:pStyle w:val="ListParagraph"/>
              <w:ind w:left="0"/>
            </w:pPr>
          </w:p>
        </w:tc>
      </w:tr>
      <w:tr w:rsidR="001F4D20" w:rsidTr="007133DF">
        <w:tc>
          <w:tcPr>
            <w:tcW w:w="4698" w:type="dxa"/>
          </w:tcPr>
          <w:p w:rsidR="001F4D20" w:rsidRDefault="001F4D20" w:rsidP="001F4D20">
            <w:pPr>
              <w:pStyle w:val="ListParagraph"/>
              <w:ind w:left="0"/>
            </w:pPr>
          </w:p>
        </w:tc>
        <w:tc>
          <w:tcPr>
            <w:tcW w:w="2250" w:type="dxa"/>
          </w:tcPr>
          <w:p w:rsidR="001F4D20" w:rsidRDefault="001F4D20" w:rsidP="001F4D20">
            <w:pPr>
              <w:pStyle w:val="ListParagraph"/>
              <w:ind w:left="0"/>
            </w:pPr>
            <w:r>
              <w:t>Preference shares</w:t>
            </w:r>
          </w:p>
        </w:tc>
        <w:tc>
          <w:tcPr>
            <w:tcW w:w="1170" w:type="dxa"/>
          </w:tcPr>
          <w:p w:rsidR="001F4D20" w:rsidRDefault="007133DF" w:rsidP="001F4D20">
            <w:pPr>
              <w:pStyle w:val="ListParagraph"/>
              <w:ind w:left="0"/>
            </w:pPr>
            <w:r>
              <w:t>480</w:t>
            </w:r>
          </w:p>
        </w:tc>
        <w:tc>
          <w:tcPr>
            <w:tcW w:w="1170" w:type="dxa"/>
          </w:tcPr>
          <w:p w:rsidR="001F4D20" w:rsidRDefault="001F4D20" w:rsidP="001F4D20">
            <w:pPr>
              <w:pStyle w:val="ListParagraph"/>
              <w:ind w:left="0"/>
            </w:pPr>
          </w:p>
        </w:tc>
      </w:tr>
      <w:tr w:rsidR="001F4D20" w:rsidTr="007133DF">
        <w:tc>
          <w:tcPr>
            <w:tcW w:w="4698" w:type="dxa"/>
          </w:tcPr>
          <w:p w:rsidR="001F4D20" w:rsidRPr="003F02F7" w:rsidRDefault="001F4D20" w:rsidP="001F4D20">
            <w:pPr>
              <w:pStyle w:val="ListParagraph"/>
              <w:ind w:left="0"/>
              <w:rPr>
                <w:highlight w:val="yellow"/>
              </w:rPr>
            </w:pPr>
            <w:r w:rsidRPr="003F02F7">
              <w:rPr>
                <w:highlight w:val="yellow"/>
              </w:rPr>
              <w:t>Investment income</w:t>
            </w:r>
          </w:p>
        </w:tc>
        <w:tc>
          <w:tcPr>
            <w:tcW w:w="2250" w:type="dxa"/>
          </w:tcPr>
          <w:p w:rsidR="001F4D20" w:rsidRDefault="001F4D20" w:rsidP="001F4D20">
            <w:pPr>
              <w:pStyle w:val="ListParagraph"/>
              <w:ind w:left="0"/>
            </w:pPr>
          </w:p>
        </w:tc>
        <w:tc>
          <w:tcPr>
            <w:tcW w:w="1170" w:type="dxa"/>
          </w:tcPr>
          <w:p w:rsidR="001F4D20" w:rsidRDefault="001F4D20" w:rsidP="001F4D20">
            <w:pPr>
              <w:pStyle w:val="ListParagraph"/>
              <w:ind w:left="0"/>
            </w:pPr>
          </w:p>
        </w:tc>
        <w:tc>
          <w:tcPr>
            <w:tcW w:w="1170" w:type="dxa"/>
          </w:tcPr>
          <w:p w:rsidR="001F4D20" w:rsidRDefault="007133DF" w:rsidP="001F4D20">
            <w:pPr>
              <w:pStyle w:val="ListParagraph"/>
              <w:ind w:left="0"/>
            </w:pPr>
            <w:r>
              <w:t>1,500</w:t>
            </w:r>
          </w:p>
        </w:tc>
      </w:tr>
      <w:tr w:rsidR="001F4D20" w:rsidTr="007133DF">
        <w:tc>
          <w:tcPr>
            <w:tcW w:w="4698" w:type="dxa"/>
          </w:tcPr>
          <w:p w:rsidR="001F4D20" w:rsidRPr="003F02F7" w:rsidRDefault="001F4D20" w:rsidP="001F4D20">
            <w:pPr>
              <w:pStyle w:val="ListParagraph"/>
              <w:ind w:left="0"/>
              <w:rPr>
                <w:highlight w:val="yellow"/>
              </w:rPr>
            </w:pPr>
            <w:r w:rsidRPr="003F02F7">
              <w:rPr>
                <w:highlight w:val="yellow"/>
              </w:rPr>
              <w:t>Leasehold building</w:t>
            </w:r>
          </w:p>
        </w:tc>
        <w:tc>
          <w:tcPr>
            <w:tcW w:w="2250" w:type="dxa"/>
          </w:tcPr>
          <w:p w:rsidR="001F4D20" w:rsidRDefault="001F4D20" w:rsidP="001F4D20">
            <w:pPr>
              <w:pStyle w:val="ListParagraph"/>
              <w:ind w:left="0"/>
            </w:pPr>
          </w:p>
        </w:tc>
        <w:tc>
          <w:tcPr>
            <w:tcW w:w="1170" w:type="dxa"/>
          </w:tcPr>
          <w:p w:rsidR="001F4D20" w:rsidRDefault="007133DF" w:rsidP="001F4D20">
            <w:pPr>
              <w:pStyle w:val="ListParagraph"/>
              <w:ind w:left="0"/>
            </w:pPr>
            <w:r>
              <w:t>56,250</w:t>
            </w:r>
          </w:p>
        </w:tc>
        <w:tc>
          <w:tcPr>
            <w:tcW w:w="1170" w:type="dxa"/>
          </w:tcPr>
          <w:p w:rsidR="001F4D20" w:rsidRDefault="001F4D20" w:rsidP="001F4D20">
            <w:pPr>
              <w:pStyle w:val="ListParagraph"/>
              <w:ind w:left="0"/>
            </w:pPr>
          </w:p>
        </w:tc>
      </w:tr>
      <w:tr w:rsidR="001F4D20" w:rsidTr="007133DF">
        <w:tc>
          <w:tcPr>
            <w:tcW w:w="4698" w:type="dxa"/>
          </w:tcPr>
          <w:p w:rsidR="001F4D20" w:rsidRPr="003F02F7" w:rsidRDefault="007133DF" w:rsidP="001F4D20">
            <w:pPr>
              <w:pStyle w:val="ListParagraph"/>
              <w:ind w:left="0"/>
              <w:rPr>
                <w:highlight w:val="yellow"/>
              </w:rPr>
            </w:pPr>
            <w:r w:rsidRPr="003F02F7">
              <w:rPr>
                <w:highlight w:val="yellow"/>
              </w:rPr>
              <w:t>Plant and equipment at cost</w:t>
            </w:r>
          </w:p>
        </w:tc>
        <w:tc>
          <w:tcPr>
            <w:tcW w:w="2250" w:type="dxa"/>
          </w:tcPr>
          <w:p w:rsidR="001F4D20" w:rsidRDefault="001F4D20" w:rsidP="001F4D20">
            <w:pPr>
              <w:pStyle w:val="ListParagraph"/>
              <w:ind w:left="0"/>
            </w:pPr>
          </w:p>
        </w:tc>
        <w:tc>
          <w:tcPr>
            <w:tcW w:w="1170" w:type="dxa"/>
          </w:tcPr>
          <w:p w:rsidR="001F4D20" w:rsidRDefault="007133DF" w:rsidP="001F4D20">
            <w:pPr>
              <w:pStyle w:val="ListParagraph"/>
              <w:ind w:left="0"/>
            </w:pPr>
            <w:r>
              <w:t>55,000</w:t>
            </w:r>
          </w:p>
        </w:tc>
        <w:tc>
          <w:tcPr>
            <w:tcW w:w="1170" w:type="dxa"/>
          </w:tcPr>
          <w:p w:rsidR="001F4D20" w:rsidRDefault="001F4D20" w:rsidP="001F4D20">
            <w:pPr>
              <w:pStyle w:val="ListParagraph"/>
              <w:ind w:left="0"/>
            </w:pPr>
          </w:p>
        </w:tc>
      </w:tr>
      <w:tr w:rsidR="001F4D20" w:rsidTr="007133DF">
        <w:tc>
          <w:tcPr>
            <w:tcW w:w="4698" w:type="dxa"/>
          </w:tcPr>
          <w:p w:rsidR="001F4D20" w:rsidRPr="003F02F7" w:rsidRDefault="007133DF" w:rsidP="001F4D20">
            <w:pPr>
              <w:pStyle w:val="ListParagraph"/>
              <w:ind w:left="0"/>
              <w:rPr>
                <w:highlight w:val="yellow"/>
              </w:rPr>
            </w:pPr>
            <w:r w:rsidRPr="003F02F7">
              <w:rPr>
                <w:highlight w:val="yellow"/>
              </w:rPr>
              <w:t>Furniture and fittings at cost</w:t>
            </w:r>
          </w:p>
        </w:tc>
        <w:tc>
          <w:tcPr>
            <w:tcW w:w="2250" w:type="dxa"/>
          </w:tcPr>
          <w:p w:rsidR="001F4D20" w:rsidRDefault="001F4D20" w:rsidP="001F4D20">
            <w:pPr>
              <w:pStyle w:val="ListParagraph"/>
              <w:ind w:left="0"/>
            </w:pPr>
          </w:p>
        </w:tc>
        <w:tc>
          <w:tcPr>
            <w:tcW w:w="1170" w:type="dxa"/>
          </w:tcPr>
          <w:p w:rsidR="001F4D20" w:rsidRDefault="007133DF" w:rsidP="001F4D20">
            <w:pPr>
              <w:pStyle w:val="ListParagraph"/>
              <w:ind w:left="0"/>
            </w:pPr>
            <w:r>
              <w:t>35,000</w:t>
            </w:r>
          </w:p>
        </w:tc>
        <w:tc>
          <w:tcPr>
            <w:tcW w:w="1170" w:type="dxa"/>
          </w:tcPr>
          <w:p w:rsidR="001F4D20" w:rsidRDefault="001F4D20" w:rsidP="001F4D20">
            <w:pPr>
              <w:pStyle w:val="ListParagraph"/>
              <w:ind w:left="0"/>
            </w:pPr>
          </w:p>
        </w:tc>
      </w:tr>
      <w:tr w:rsidR="001F4D20" w:rsidTr="007133DF">
        <w:tc>
          <w:tcPr>
            <w:tcW w:w="4698" w:type="dxa"/>
          </w:tcPr>
          <w:p w:rsidR="001F4D20" w:rsidRDefault="007133DF" w:rsidP="001F4D20">
            <w:pPr>
              <w:pStyle w:val="ListParagraph"/>
              <w:ind w:left="0"/>
            </w:pPr>
            <w:r w:rsidRPr="003F02F7">
              <w:rPr>
                <w:highlight w:val="yellow"/>
              </w:rPr>
              <w:t>Investments</w:t>
            </w:r>
          </w:p>
        </w:tc>
        <w:tc>
          <w:tcPr>
            <w:tcW w:w="2250" w:type="dxa"/>
          </w:tcPr>
          <w:p w:rsidR="001F4D20" w:rsidRDefault="001F4D20" w:rsidP="001F4D20">
            <w:pPr>
              <w:pStyle w:val="ListParagraph"/>
              <w:ind w:left="0"/>
            </w:pPr>
          </w:p>
        </w:tc>
        <w:tc>
          <w:tcPr>
            <w:tcW w:w="1170" w:type="dxa"/>
          </w:tcPr>
          <w:p w:rsidR="001F4D20" w:rsidRDefault="007133DF" w:rsidP="001F4D20">
            <w:pPr>
              <w:pStyle w:val="ListParagraph"/>
              <w:ind w:left="0"/>
            </w:pPr>
            <w:r>
              <w:t>34,500</w:t>
            </w:r>
          </w:p>
        </w:tc>
        <w:tc>
          <w:tcPr>
            <w:tcW w:w="1170" w:type="dxa"/>
          </w:tcPr>
          <w:p w:rsidR="001F4D20" w:rsidRDefault="001F4D20" w:rsidP="001F4D20">
            <w:pPr>
              <w:pStyle w:val="ListParagraph"/>
              <w:ind w:left="0"/>
            </w:pPr>
          </w:p>
        </w:tc>
      </w:tr>
      <w:tr w:rsidR="001F4D20" w:rsidTr="007133DF">
        <w:tc>
          <w:tcPr>
            <w:tcW w:w="4698" w:type="dxa"/>
          </w:tcPr>
          <w:p w:rsidR="001F4D20" w:rsidRDefault="007133DF" w:rsidP="001F4D20">
            <w:pPr>
              <w:pStyle w:val="ListParagraph"/>
              <w:ind w:left="0"/>
            </w:pPr>
            <w:r>
              <w:t>Accumulated deppreciation</w:t>
            </w:r>
          </w:p>
        </w:tc>
        <w:tc>
          <w:tcPr>
            <w:tcW w:w="2250" w:type="dxa"/>
          </w:tcPr>
          <w:p w:rsidR="001F4D20" w:rsidRDefault="007133DF" w:rsidP="001F4D20">
            <w:pPr>
              <w:pStyle w:val="ListParagraph"/>
              <w:ind w:left="0"/>
            </w:pPr>
            <w:r>
              <w:t>Leasehold buldings</w:t>
            </w:r>
          </w:p>
        </w:tc>
        <w:tc>
          <w:tcPr>
            <w:tcW w:w="1170" w:type="dxa"/>
          </w:tcPr>
          <w:p w:rsidR="001F4D20" w:rsidRDefault="001F4D20" w:rsidP="001F4D20">
            <w:pPr>
              <w:pStyle w:val="ListParagraph"/>
              <w:ind w:left="0"/>
            </w:pPr>
          </w:p>
        </w:tc>
        <w:tc>
          <w:tcPr>
            <w:tcW w:w="1170" w:type="dxa"/>
          </w:tcPr>
          <w:p w:rsidR="001F4D20" w:rsidRDefault="007133DF" w:rsidP="001F4D20">
            <w:pPr>
              <w:pStyle w:val="ListParagraph"/>
              <w:ind w:left="0"/>
            </w:pPr>
            <w:r>
              <w:t>18,000</w:t>
            </w:r>
          </w:p>
        </w:tc>
      </w:tr>
      <w:tr w:rsidR="001F4D20" w:rsidTr="007133DF">
        <w:tc>
          <w:tcPr>
            <w:tcW w:w="4698" w:type="dxa"/>
          </w:tcPr>
          <w:p w:rsidR="001F4D20" w:rsidRDefault="001F4D20" w:rsidP="001F4D20">
            <w:pPr>
              <w:pStyle w:val="ListParagraph"/>
              <w:ind w:left="0"/>
            </w:pPr>
          </w:p>
        </w:tc>
        <w:tc>
          <w:tcPr>
            <w:tcW w:w="2250" w:type="dxa"/>
          </w:tcPr>
          <w:p w:rsidR="001F4D20" w:rsidRDefault="007133DF" w:rsidP="001F4D20">
            <w:pPr>
              <w:pStyle w:val="ListParagraph"/>
              <w:ind w:left="0"/>
            </w:pPr>
            <w:r>
              <w:t>Plant and equipment</w:t>
            </w:r>
          </w:p>
        </w:tc>
        <w:tc>
          <w:tcPr>
            <w:tcW w:w="1170" w:type="dxa"/>
          </w:tcPr>
          <w:p w:rsidR="001F4D20" w:rsidRDefault="001F4D20" w:rsidP="001F4D20">
            <w:pPr>
              <w:pStyle w:val="ListParagraph"/>
              <w:ind w:left="0"/>
            </w:pPr>
          </w:p>
        </w:tc>
        <w:tc>
          <w:tcPr>
            <w:tcW w:w="1170" w:type="dxa"/>
          </w:tcPr>
          <w:p w:rsidR="001F4D20" w:rsidRDefault="007133DF" w:rsidP="001F4D20">
            <w:pPr>
              <w:pStyle w:val="ListParagraph"/>
              <w:ind w:left="0"/>
            </w:pPr>
            <w:r>
              <w:t>12,800</w:t>
            </w:r>
          </w:p>
        </w:tc>
      </w:tr>
      <w:tr w:rsidR="001F4D20" w:rsidTr="007133DF">
        <w:tc>
          <w:tcPr>
            <w:tcW w:w="4698" w:type="dxa"/>
          </w:tcPr>
          <w:p w:rsidR="001F4D20" w:rsidRDefault="001F4D20" w:rsidP="001F4D20">
            <w:pPr>
              <w:pStyle w:val="ListParagraph"/>
              <w:ind w:left="0"/>
            </w:pPr>
          </w:p>
        </w:tc>
        <w:tc>
          <w:tcPr>
            <w:tcW w:w="2250" w:type="dxa"/>
          </w:tcPr>
          <w:p w:rsidR="001F4D20" w:rsidRDefault="007133DF" w:rsidP="001F4D20">
            <w:pPr>
              <w:pStyle w:val="ListParagraph"/>
              <w:ind w:left="0"/>
            </w:pPr>
            <w:r>
              <w:t>Furniture and fittings</w:t>
            </w:r>
          </w:p>
        </w:tc>
        <w:tc>
          <w:tcPr>
            <w:tcW w:w="1170" w:type="dxa"/>
          </w:tcPr>
          <w:p w:rsidR="001F4D20" w:rsidRDefault="001F4D20" w:rsidP="001F4D20">
            <w:pPr>
              <w:pStyle w:val="ListParagraph"/>
              <w:ind w:left="0"/>
            </w:pPr>
          </w:p>
        </w:tc>
        <w:tc>
          <w:tcPr>
            <w:tcW w:w="1170" w:type="dxa"/>
          </w:tcPr>
          <w:p w:rsidR="001F4D20" w:rsidRDefault="007133DF" w:rsidP="001F4D20">
            <w:pPr>
              <w:pStyle w:val="ListParagraph"/>
              <w:ind w:left="0"/>
            </w:pPr>
            <w:r>
              <w:t>9,600</w:t>
            </w:r>
          </w:p>
        </w:tc>
      </w:tr>
      <w:tr w:rsidR="001F4D20" w:rsidTr="007133DF">
        <w:tc>
          <w:tcPr>
            <w:tcW w:w="4698" w:type="dxa"/>
          </w:tcPr>
          <w:p w:rsidR="001F4D20" w:rsidRDefault="007133DF" w:rsidP="001F4D20">
            <w:pPr>
              <w:pStyle w:val="ListParagraph"/>
              <w:ind w:left="0"/>
            </w:pPr>
            <w:r w:rsidRPr="003F02F7">
              <w:rPr>
                <w:highlight w:val="yellow"/>
              </w:rPr>
              <w:t>Accounts recievable</w:t>
            </w:r>
          </w:p>
        </w:tc>
        <w:tc>
          <w:tcPr>
            <w:tcW w:w="2250" w:type="dxa"/>
          </w:tcPr>
          <w:p w:rsidR="001F4D20" w:rsidRDefault="001F4D20" w:rsidP="001F4D20">
            <w:pPr>
              <w:pStyle w:val="ListParagraph"/>
              <w:ind w:left="0"/>
            </w:pPr>
          </w:p>
        </w:tc>
        <w:tc>
          <w:tcPr>
            <w:tcW w:w="1170" w:type="dxa"/>
          </w:tcPr>
          <w:p w:rsidR="001F4D20" w:rsidRDefault="007133DF" w:rsidP="001F4D20">
            <w:pPr>
              <w:pStyle w:val="ListParagraph"/>
              <w:ind w:left="0"/>
            </w:pPr>
            <w:r>
              <w:t>35,700</w:t>
            </w:r>
          </w:p>
        </w:tc>
        <w:tc>
          <w:tcPr>
            <w:tcW w:w="1170" w:type="dxa"/>
          </w:tcPr>
          <w:p w:rsidR="001F4D20" w:rsidRDefault="001F4D20" w:rsidP="001F4D20">
            <w:pPr>
              <w:pStyle w:val="ListParagraph"/>
              <w:ind w:left="0"/>
            </w:pPr>
          </w:p>
        </w:tc>
      </w:tr>
      <w:tr w:rsidR="001F4D20" w:rsidTr="007133DF">
        <w:tc>
          <w:tcPr>
            <w:tcW w:w="4698" w:type="dxa"/>
          </w:tcPr>
          <w:p w:rsidR="001F4D20" w:rsidRPr="003F02F7" w:rsidRDefault="007133DF" w:rsidP="001F4D20">
            <w:pPr>
              <w:pStyle w:val="ListParagraph"/>
              <w:ind w:left="0"/>
              <w:rPr>
                <w:highlight w:val="yellow"/>
              </w:rPr>
            </w:pPr>
            <w:r w:rsidRPr="003F02F7">
              <w:rPr>
                <w:highlight w:val="yellow"/>
              </w:rPr>
              <w:t>Bank overdraft</w:t>
            </w:r>
          </w:p>
        </w:tc>
        <w:tc>
          <w:tcPr>
            <w:tcW w:w="2250" w:type="dxa"/>
          </w:tcPr>
          <w:p w:rsidR="001F4D20" w:rsidRDefault="001F4D20" w:rsidP="001F4D20">
            <w:pPr>
              <w:pStyle w:val="ListParagraph"/>
              <w:ind w:left="0"/>
            </w:pPr>
          </w:p>
        </w:tc>
        <w:tc>
          <w:tcPr>
            <w:tcW w:w="1170" w:type="dxa"/>
          </w:tcPr>
          <w:p w:rsidR="001F4D20" w:rsidRDefault="001F4D20" w:rsidP="001F4D20">
            <w:pPr>
              <w:pStyle w:val="ListParagraph"/>
              <w:ind w:left="0"/>
            </w:pPr>
          </w:p>
        </w:tc>
        <w:tc>
          <w:tcPr>
            <w:tcW w:w="1170" w:type="dxa"/>
          </w:tcPr>
          <w:p w:rsidR="001F4D20" w:rsidRDefault="007133DF" w:rsidP="001F4D20">
            <w:pPr>
              <w:pStyle w:val="ListParagraph"/>
              <w:ind w:left="0"/>
            </w:pPr>
            <w:r>
              <w:t>1,680</w:t>
            </w:r>
          </w:p>
        </w:tc>
      </w:tr>
      <w:tr w:rsidR="001F4D20" w:rsidTr="007133DF">
        <w:tc>
          <w:tcPr>
            <w:tcW w:w="4698" w:type="dxa"/>
          </w:tcPr>
          <w:p w:rsidR="001F4D20" w:rsidRPr="003F02F7" w:rsidRDefault="007133DF" w:rsidP="001F4D20">
            <w:pPr>
              <w:pStyle w:val="ListParagraph"/>
              <w:ind w:left="0"/>
              <w:rPr>
                <w:highlight w:val="yellow"/>
              </w:rPr>
            </w:pPr>
            <w:r w:rsidRPr="003F02F7">
              <w:rPr>
                <w:highlight w:val="yellow"/>
              </w:rPr>
              <w:lastRenderedPageBreak/>
              <w:t>Accounts payable</w:t>
            </w:r>
          </w:p>
        </w:tc>
        <w:tc>
          <w:tcPr>
            <w:tcW w:w="2250" w:type="dxa"/>
          </w:tcPr>
          <w:p w:rsidR="001F4D20" w:rsidRDefault="001F4D20" w:rsidP="001F4D20">
            <w:pPr>
              <w:pStyle w:val="ListParagraph"/>
              <w:ind w:left="0"/>
            </w:pPr>
          </w:p>
        </w:tc>
        <w:tc>
          <w:tcPr>
            <w:tcW w:w="1170" w:type="dxa"/>
          </w:tcPr>
          <w:p w:rsidR="001F4D20" w:rsidRDefault="001F4D20" w:rsidP="001F4D20">
            <w:pPr>
              <w:pStyle w:val="ListParagraph"/>
              <w:ind w:left="0"/>
            </w:pPr>
          </w:p>
        </w:tc>
        <w:tc>
          <w:tcPr>
            <w:tcW w:w="1170" w:type="dxa"/>
          </w:tcPr>
          <w:p w:rsidR="001F4D20" w:rsidRDefault="007133DF" w:rsidP="001F4D20">
            <w:pPr>
              <w:pStyle w:val="ListParagraph"/>
              <w:ind w:left="0"/>
            </w:pPr>
            <w:r>
              <w:t>17,770</w:t>
            </w:r>
          </w:p>
        </w:tc>
      </w:tr>
      <w:tr w:rsidR="007133DF" w:rsidTr="007133DF">
        <w:tc>
          <w:tcPr>
            <w:tcW w:w="4698" w:type="dxa"/>
          </w:tcPr>
          <w:p w:rsidR="007133DF" w:rsidRPr="003F02F7" w:rsidRDefault="007133DF" w:rsidP="001F4D20">
            <w:pPr>
              <w:pStyle w:val="ListParagraph"/>
              <w:ind w:left="0"/>
              <w:rPr>
                <w:highlight w:val="yellow"/>
              </w:rPr>
            </w:pPr>
            <w:r w:rsidRPr="003F02F7">
              <w:rPr>
                <w:highlight w:val="yellow"/>
              </w:rPr>
              <w:t>Deffered tax</w:t>
            </w:r>
          </w:p>
        </w:tc>
        <w:tc>
          <w:tcPr>
            <w:tcW w:w="2250" w:type="dxa"/>
          </w:tcPr>
          <w:p w:rsidR="007133DF" w:rsidRDefault="007133DF" w:rsidP="001F4D20">
            <w:pPr>
              <w:pStyle w:val="ListParagraph"/>
              <w:ind w:left="0"/>
            </w:pPr>
          </w:p>
        </w:tc>
        <w:tc>
          <w:tcPr>
            <w:tcW w:w="1170" w:type="dxa"/>
          </w:tcPr>
          <w:p w:rsidR="007133DF" w:rsidRDefault="007133DF" w:rsidP="001F4D20">
            <w:pPr>
              <w:pStyle w:val="ListParagraph"/>
              <w:ind w:left="0"/>
            </w:pPr>
          </w:p>
        </w:tc>
        <w:tc>
          <w:tcPr>
            <w:tcW w:w="1170" w:type="dxa"/>
          </w:tcPr>
          <w:p w:rsidR="007133DF" w:rsidRDefault="007133DF" w:rsidP="001F4D20">
            <w:pPr>
              <w:pStyle w:val="ListParagraph"/>
              <w:ind w:left="0"/>
            </w:pPr>
            <w:r>
              <w:t>5,200</w:t>
            </w:r>
          </w:p>
        </w:tc>
      </w:tr>
      <w:tr w:rsidR="007133DF" w:rsidTr="007133DF">
        <w:tc>
          <w:tcPr>
            <w:tcW w:w="4698" w:type="dxa"/>
          </w:tcPr>
          <w:p w:rsidR="007133DF" w:rsidRDefault="007133DF" w:rsidP="001F4D20">
            <w:pPr>
              <w:pStyle w:val="ListParagraph"/>
              <w:ind w:left="0"/>
            </w:pPr>
          </w:p>
        </w:tc>
        <w:tc>
          <w:tcPr>
            <w:tcW w:w="2250" w:type="dxa"/>
          </w:tcPr>
          <w:p w:rsidR="007133DF" w:rsidRDefault="007133DF" w:rsidP="001F4D20">
            <w:pPr>
              <w:pStyle w:val="ListParagraph"/>
              <w:ind w:left="0"/>
            </w:pPr>
          </w:p>
        </w:tc>
        <w:tc>
          <w:tcPr>
            <w:tcW w:w="1170" w:type="dxa"/>
          </w:tcPr>
          <w:p w:rsidR="007133DF" w:rsidRDefault="007133DF" w:rsidP="001F4D20">
            <w:pPr>
              <w:pStyle w:val="ListParagraph"/>
              <w:ind w:left="0"/>
            </w:pPr>
          </w:p>
        </w:tc>
        <w:tc>
          <w:tcPr>
            <w:tcW w:w="1170" w:type="dxa"/>
          </w:tcPr>
          <w:p w:rsidR="007133DF" w:rsidRDefault="007133DF" w:rsidP="001F4D20">
            <w:pPr>
              <w:pStyle w:val="ListParagraph"/>
              <w:ind w:left="0"/>
            </w:pPr>
          </w:p>
        </w:tc>
      </w:tr>
      <w:tr w:rsidR="007133DF" w:rsidRPr="00A34D8A" w:rsidTr="007133DF">
        <w:tc>
          <w:tcPr>
            <w:tcW w:w="4698" w:type="dxa"/>
          </w:tcPr>
          <w:p w:rsidR="007133DF" w:rsidRPr="00A34D8A" w:rsidRDefault="007133DF" w:rsidP="001F4D20">
            <w:pPr>
              <w:pStyle w:val="ListParagraph"/>
              <w:ind w:left="0"/>
              <w:rPr>
                <w:b/>
              </w:rPr>
            </w:pPr>
          </w:p>
        </w:tc>
        <w:tc>
          <w:tcPr>
            <w:tcW w:w="2250" w:type="dxa"/>
          </w:tcPr>
          <w:p w:rsidR="007133DF" w:rsidRPr="00A34D8A" w:rsidRDefault="007133DF" w:rsidP="001F4D20">
            <w:pPr>
              <w:pStyle w:val="ListParagraph"/>
              <w:ind w:left="0"/>
              <w:rPr>
                <w:b/>
              </w:rPr>
            </w:pPr>
          </w:p>
        </w:tc>
        <w:tc>
          <w:tcPr>
            <w:tcW w:w="1170" w:type="dxa"/>
          </w:tcPr>
          <w:p w:rsidR="007133DF" w:rsidRPr="00A34D8A" w:rsidRDefault="00A34D8A" w:rsidP="001F4D20">
            <w:pPr>
              <w:pStyle w:val="ListParagraph"/>
              <w:ind w:left="0"/>
              <w:rPr>
                <w:b/>
              </w:rPr>
            </w:pPr>
            <w:r w:rsidRPr="00A34D8A">
              <w:rPr>
                <w:b/>
              </w:rPr>
              <w:t>435,870</w:t>
            </w:r>
          </w:p>
        </w:tc>
        <w:tc>
          <w:tcPr>
            <w:tcW w:w="1170" w:type="dxa"/>
          </w:tcPr>
          <w:p w:rsidR="007133DF" w:rsidRPr="00A34D8A" w:rsidRDefault="00A34D8A" w:rsidP="001F4D20">
            <w:pPr>
              <w:pStyle w:val="ListParagraph"/>
              <w:ind w:left="0"/>
              <w:rPr>
                <w:b/>
              </w:rPr>
            </w:pPr>
            <w:r w:rsidRPr="00A34D8A">
              <w:rPr>
                <w:b/>
              </w:rPr>
              <w:t>435,870</w:t>
            </w:r>
          </w:p>
        </w:tc>
      </w:tr>
    </w:tbl>
    <w:p w:rsidR="00A34D8A" w:rsidRDefault="00A34D8A" w:rsidP="001F4D20">
      <w:pPr>
        <w:pStyle w:val="ListParagraph"/>
        <w:ind w:left="0"/>
        <w:rPr>
          <w:u w:val="single"/>
        </w:rPr>
      </w:pPr>
      <w:r w:rsidRPr="00A34D8A">
        <w:rPr>
          <w:u w:val="single"/>
        </w:rPr>
        <w:t>Additional information:</w:t>
      </w:r>
    </w:p>
    <w:p w:rsidR="00A34D8A" w:rsidRDefault="00A34D8A" w:rsidP="008E2768">
      <w:pPr>
        <w:pStyle w:val="ListParagraph"/>
        <w:numPr>
          <w:ilvl w:val="0"/>
          <w:numId w:val="4"/>
        </w:numPr>
      </w:pPr>
      <w:r>
        <w:t>The company’s inventory taken on January 2, 2010 was valued at Ksh. 16 million.</w:t>
      </w:r>
    </w:p>
    <w:p w:rsidR="00A34D8A" w:rsidRDefault="00A34D8A" w:rsidP="008E2768">
      <w:pPr>
        <w:pStyle w:val="ListParagraph"/>
        <w:numPr>
          <w:ilvl w:val="0"/>
          <w:numId w:val="4"/>
        </w:numPr>
      </w:pPr>
      <w:r>
        <w:t>The policy of the company in relation to deppreciation of its fixed assets is as follows:</w:t>
      </w:r>
    </w:p>
    <w:p w:rsidR="00A34D8A" w:rsidRDefault="00A34D8A" w:rsidP="008E2768">
      <w:pPr>
        <w:pStyle w:val="ListParagraph"/>
        <w:ind w:left="0"/>
      </w:pPr>
    </w:p>
    <w:p w:rsidR="00A34D8A" w:rsidRDefault="00A34D8A" w:rsidP="008E2768">
      <w:pPr>
        <w:pStyle w:val="ListParagraph"/>
        <w:ind w:left="0"/>
        <w:rPr>
          <w:u w:val="single"/>
        </w:rPr>
      </w:pPr>
      <w:r w:rsidRPr="00A34D8A">
        <w:rPr>
          <w:u w:val="single"/>
        </w:rPr>
        <w:t xml:space="preserve">        ASSET                                                                                                  RATE</w:t>
      </w:r>
    </w:p>
    <w:p w:rsidR="00A34D8A" w:rsidRDefault="00A34D8A" w:rsidP="008E2768">
      <w:pPr>
        <w:pStyle w:val="ListParagraph"/>
        <w:ind w:left="0"/>
      </w:pPr>
      <w:r>
        <w:t>Leasehold building                                               4% per annum on straight line basis</w:t>
      </w:r>
    </w:p>
    <w:p w:rsidR="00A34D8A" w:rsidRDefault="00A34D8A" w:rsidP="008E2768">
      <w:pPr>
        <w:pStyle w:val="ListParagraph"/>
        <w:ind w:left="0"/>
      </w:pPr>
      <w:r>
        <w:t>Plant and equipment                                          20% per annum on straight line basis</w:t>
      </w:r>
    </w:p>
    <w:p w:rsidR="00A34D8A" w:rsidRDefault="00A34D8A" w:rsidP="008E2768">
      <w:pPr>
        <w:pStyle w:val="ListParagraph"/>
        <w:ind w:left="0"/>
      </w:pPr>
      <w:r>
        <w:t>Furniture and fittings                                          40% per annum on reducing balance basis</w:t>
      </w:r>
    </w:p>
    <w:p w:rsidR="00F8700D" w:rsidRDefault="00F8700D" w:rsidP="008E2768">
      <w:pPr>
        <w:pStyle w:val="ListParagraph"/>
        <w:ind w:left="0"/>
      </w:pPr>
    </w:p>
    <w:p w:rsidR="00A34D8A" w:rsidRDefault="00A34D8A" w:rsidP="008E2768">
      <w:pPr>
        <w:pStyle w:val="ListParagraph"/>
        <w:numPr>
          <w:ilvl w:val="0"/>
          <w:numId w:val="5"/>
        </w:numPr>
      </w:pPr>
      <w:r>
        <w:t>Deppreciation is classified as a cost of sales item except for deppreciation on furniture and fittings</w:t>
      </w:r>
      <w:r w:rsidR="00793C68">
        <w:t xml:space="preserve"> which is classified as an administrative expense.</w:t>
      </w:r>
    </w:p>
    <w:p w:rsidR="00793C68" w:rsidRDefault="00793C68" w:rsidP="008E2768">
      <w:pPr>
        <w:pStyle w:val="ListParagraph"/>
        <w:numPr>
          <w:ilvl w:val="0"/>
          <w:numId w:val="5"/>
        </w:numPr>
      </w:pPr>
      <w:r>
        <w:t>A provision for corporation tax of Ksh. 23.4 million is required for the year.</w:t>
      </w:r>
    </w:p>
    <w:p w:rsidR="00793C68" w:rsidRDefault="00793C68" w:rsidP="008E2768">
      <w:pPr>
        <w:pStyle w:val="ListParagraph"/>
        <w:numPr>
          <w:ilvl w:val="0"/>
          <w:numId w:val="5"/>
        </w:numPr>
      </w:pPr>
      <w:r>
        <w:t>The deffered tax liability is to be increased by Ksh. 2.2 million.</w:t>
      </w:r>
    </w:p>
    <w:p w:rsidR="00793C68" w:rsidRDefault="00793C68" w:rsidP="008E2768">
      <w:pPr>
        <w:pStyle w:val="ListParagraph"/>
        <w:numPr>
          <w:ilvl w:val="0"/>
          <w:numId w:val="5"/>
        </w:numPr>
      </w:pPr>
      <w:r>
        <w:t>The directors proposed to pay a final ordinary dividend of 10%.</w:t>
      </w:r>
    </w:p>
    <w:p w:rsidR="00793C68" w:rsidRDefault="00793C68" w:rsidP="00793C68">
      <w:pPr>
        <w:pStyle w:val="ListParagraph"/>
        <w:ind w:left="0"/>
      </w:pPr>
    </w:p>
    <w:p w:rsidR="00793C68" w:rsidRDefault="00793C68" w:rsidP="00793C68">
      <w:pPr>
        <w:pStyle w:val="ListParagraph"/>
        <w:ind w:left="0"/>
        <w:rPr>
          <w:u w:val="single"/>
        </w:rPr>
      </w:pPr>
      <w:r w:rsidRPr="00793C68">
        <w:rPr>
          <w:u w:val="single"/>
        </w:rPr>
        <w:t>REQUIRED</w:t>
      </w:r>
    </w:p>
    <w:p w:rsidR="00793C68" w:rsidRDefault="00793C68" w:rsidP="00793C68">
      <w:pPr>
        <w:pStyle w:val="ListParagraph"/>
        <w:ind w:left="0"/>
      </w:pPr>
      <w:r>
        <w:t>Prepare the following accounts in accordance with the international financial reporting standards</w:t>
      </w:r>
    </w:p>
    <w:p w:rsidR="00793C68" w:rsidRPr="00793C68" w:rsidRDefault="00793C68" w:rsidP="00793C68">
      <w:pPr>
        <w:pStyle w:val="ListParagraph"/>
        <w:numPr>
          <w:ilvl w:val="7"/>
          <w:numId w:val="3"/>
        </w:numPr>
        <w:ind w:left="0" w:firstLine="0"/>
      </w:pPr>
      <w:r>
        <w:t>Income statement for the year ended 31 December 2009.</w:t>
      </w:r>
      <w:r w:rsidR="00476CCF">
        <w:t xml:space="preserve"> (8 marks)</w:t>
      </w:r>
    </w:p>
    <w:p w:rsidR="00793C68" w:rsidRPr="00793C68" w:rsidRDefault="00793C68" w:rsidP="00793C68">
      <w:pPr>
        <w:pStyle w:val="ListParagraph"/>
        <w:numPr>
          <w:ilvl w:val="7"/>
          <w:numId w:val="3"/>
        </w:numPr>
        <w:ind w:left="0" w:firstLine="0"/>
      </w:pPr>
      <w:r>
        <w:t>Statement of changes in equity for the year ended 31 December 2009.</w:t>
      </w:r>
      <w:r w:rsidR="00476CCF">
        <w:t xml:space="preserve"> (7.5 marks)</w:t>
      </w:r>
    </w:p>
    <w:p w:rsidR="00793C68" w:rsidRPr="00793C68" w:rsidRDefault="00793C68" w:rsidP="00793C68">
      <w:pPr>
        <w:pStyle w:val="ListParagraph"/>
        <w:numPr>
          <w:ilvl w:val="7"/>
          <w:numId w:val="3"/>
        </w:numPr>
        <w:ind w:left="0" w:firstLine="0"/>
      </w:pPr>
      <w:r>
        <w:t>Balance sheet for the year ended 31 December 2009.</w:t>
      </w:r>
      <w:r w:rsidR="00476CCF">
        <w:t xml:space="preserve"> (8 marks)</w:t>
      </w:r>
    </w:p>
    <w:p w:rsidR="008B476E" w:rsidRDefault="008B476E"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695CAF" w:rsidRPr="00EB4DDC" w:rsidRDefault="00695CAF" w:rsidP="00EB4DDC">
      <w:pPr>
        <w:autoSpaceDE w:val="0"/>
        <w:autoSpaceDN w:val="0"/>
        <w:adjustRightInd w:val="0"/>
        <w:spacing w:after="0" w:line="240" w:lineRule="auto"/>
        <w:rPr>
          <w:rFonts w:ascii="NewsGothicBT-Bold" w:hAnsi="NewsGothicBT-Bold" w:cs="NewsGothicBT-Bold"/>
          <w:b/>
          <w:bCs/>
          <w:sz w:val="20"/>
          <w:szCs w:val="20"/>
        </w:rPr>
      </w:pPr>
    </w:p>
    <w:p w:rsidR="008B476E" w:rsidRDefault="008B476E" w:rsidP="000F072E">
      <w:pPr>
        <w:autoSpaceDE w:val="0"/>
        <w:autoSpaceDN w:val="0"/>
        <w:adjustRightInd w:val="0"/>
        <w:spacing w:after="0" w:line="240" w:lineRule="auto"/>
        <w:rPr>
          <w:rFonts w:ascii="NewsGothicBT-Bold" w:hAnsi="NewsGothicBT-Bold" w:cs="NewsGothicBT-Bold"/>
          <w:b/>
          <w:bCs/>
          <w:sz w:val="20"/>
          <w:szCs w:val="20"/>
        </w:rPr>
      </w:pPr>
    </w:p>
    <w:p w:rsidR="00B7143E" w:rsidRPr="008813FC" w:rsidRDefault="00B7143E" w:rsidP="008813FC">
      <w:pPr>
        <w:pStyle w:val="ListParagraph"/>
        <w:numPr>
          <w:ilvl w:val="0"/>
          <w:numId w:val="1"/>
        </w:numPr>
        <w:autoSpaceDE w:val="0"/>
        <w:autoSpaceDN w:val="0"/>
        <w:adjustRightInd w:val="0"/>
        <w:spacing w:after="0" w:line="240" w:lineRule="auto"/>
        <w:ind w:left="0" w:firstLine="0"/>
        <w:rPr>
          <w:rFonts w:ascii="NewsGothicBT-Light" w:hAnsi="NewsGothicBT-Light" w:cs="NewsGothicBT-Light"/>
          <w:sz w:val="20"/>
          <w:szCs w:val="20"/>
        </w:rPr>
      </w:pPr>
      <w:r w:rsidRPr="008813FC">
        <w:rPr>
          <w:rFonts w:ascii="NewsGothicBT-Light" w:hAnsi="NewsGothicBT-Light" w:cs="NewsGothicBT-Light"/>
          <w:sz w:val="20"/>
          <w:szCs w:val="20"/>
        </w:rPr>
        <w:lastRenderedPageBreak/>
        <w:t>Shown below are the recently issued (summarised) financial statements of Harbin, a listed company, for the year ended 30 September 2009</w:t>
      </w:r>
    </w:p>
    <w:p w:rsidR="00B7143E" w:rsidRPr="00B7143E" w:rsidRDefault="00B7143E" w:rsidP="00B7143E">
      <w:pPr>
        <w:autoSpaceDE w:val="0"/>
        <w:autoSpaceDN w:val="0"/>
        <w:adjustRightInd w:val="0"/>
        <w:spacing w:after="0" w:line="240" w:lineRule="auto"/>
        <w:rPr>
          <w:rFonts w:ascii="NewsGothicBT-Light" w:hAnsi="NewsGothicBT-Light" w:cs="NewsGothicBT-Light"/>
          <w:sz w:val="20"/>
          <w:szCs w:val="20"/>
        </w:rPr>
      </w:pPr>
    </w:p>
    <w:p w:rsidR="000F072E" w:rsidRDefault="00B7143E" w:rsidP="000F072E">
      <w:pPr>
        <w:autoSpaceDE w:val="0"/>
        <w:autoSpaceDN w:val="0"/>
        <w:adjustRightInd w:val="0"/>
        <w:spacing w:after="0" w:line="240" w:lineRule="auto"/>
      </w:pPr>
      <w:r>
        <w:t xml:space="preserve">                                                                </w:t>
      </w:r>
      <w:r w:rsidR="000F072E" w:rsidRPr="00852DA6">
        <w:t>Balance sheet</w:t>
      </w:r>
    </w:p>
    <w:p w:rsidR="0003517E" w:rsidRPr="00852DA6" w:rsidRDefault="0003517E" w:rsidP="000F072E">
      <w:pPr>
        <w:autoSpaceDE w:val="0"/>
        <w:autoSpaceDN w:val="0"/>
        <w:adjustRightInd w:val="0"/>
        <w:spacing w:after="0" w:line="240" w:lineRule="auto"/>
      </w:pPr>
      <w:r>
        <w:t xml:space="preserve">                                                                                                                    Ksh’ 000</w:t>
      </w:r>
    </w:p>
    <w:p w:rsidR="000F072E" w:rsidRPr="006F141C" w:rsidRDefault="000F072E" w:rsidP="000F072E">
      <w:pPr>
        <w:autoSpaceDE w:val="0"/>
        <w:autoSpaceDN w:val="0"/>
        <w:adjustRightInd w:val="0"/>
        <w:spacing w:after="0" w:line="240" w:lineRule="auto"/>
        <w:rPr>
          <w:u w:val="single"/>
        </w:rPr>
      </w:pPr>
      <w:r w:rsidRPr="006F141C">
        <w:rPr>
          <w:u w:val="single"/>
        </w:rPr>
        <w:t>Non-current assets</w:t>
      </w:r>
    </w:p>
    <w:p w:rsidR="000F072E" w:rsidRPr="00852DA6" w:rsidRDefault="000F072E" w:rsidP="000F072E">
      <w:pPr>
        <w:autoSpaceDE w:val="0"/>
        <w:autoSpaceDN w:val="0"/>
        <w:adjustRightInd w:val="0"/>
        <w:spacing w:after="0" w:line="240" w:lineRule="auto"/>
      </w:pPr>
      <w:r w:rsidRPr="00852DA6">
        <w:t xml:space="preserve">Property, plant and equipment                                                             </w:t>
      </w:r>
      <w:r w:rsidR="00D81031">
        <w:t>20</w:t>
      </w:r>
      <w:r w:rsidRPr="00852DA6">
        <w:t xml:space="preserve">0,000 </w:t>
      </w:r>
    </w:p>
    <w:p w:rsidR="000F072E" w:rsidRPr="00852DA6" w:rsidRDefault="000F072E" w:rsidP="000F072E">
      <w:pPr>
        <w:autoSpaceDE w:val="0"/>
        <w:autoSpaceDN w:val="0"/>
        <w:adjustRightInd w:val="0"/>
        <w:spacing w:after="0" w:line="240" w:lineRule="auto"/>
      </w:pPr>
      <w:r w:rsidRPr="00852DA6">
        <w:t xml:space="preserve">Goodwill                                                                                                 </w:t>
      </w:r>
      <w:r w:rsidR="00852DA6">
        <w:t xml:space="preserve">      </w:t>
      </w:r>
      <w:r w:rsidRPr="00852DA6">
        <w:t>10,000</w:t>
      </w:r>
    </w:p>
    <w:p w:rsidR="000F072E" w:rsidRPr="00852DA6" w:rsidRDefault="000F072E" w:rsidP="000F072E">
      <w:pPr>
        <w:autoSpaceDE w:val="0"/>
        <w:autoSpaceDN w:val="0"/>
        <w:adjustRightInd w:val="0"/>
        <w:spacing w:after="0" w:line="240" w:lineRule="auto"/>
      </w:pPr>
      <w:r w:rsidRPr="00852DA6">
        <w:t xml:space="preserve">                                                                                                           </w:t>
      </w:r>
      <w:r w:rsidR="00852DA6">
        <w:t xml:space="preserve">         </w:t>
      </w:r>
      <w:r w:rsidRPr="00852DA6">
        <w:t xml:space="preserve"> ––––––––</w:t>
      </w:r>
    </w:p>
    <w:p w:rsidR="000F072E" w:rsidRPr="00852DA6" w:rsidRDefault="000F072E" w:rsidP="000F072E">
      <w:pPr>
        <w:autoSpaceDE w:val="0"/>
        <w:autoSpaceDN w:val="0"/>
        <w:adjustRightInd w:val="0"/>
        <w:spacing w:after="0" w:line="240" w:lineRule="auto"/>
      </w:pPr>
      <w:r w:rsidRPr="00852DA6">
        <w:t xml:space="preserve">                                                                                                              </w:t>
      </w:r>
      <w:r w:rsidR="00852DA6">
        <w:t xml:space="preserve">         </w:t>
      </w:r>
      <w:r w:rsidR="00D81031">
        <w:t>21</w:t>
      </w:r>
      <w:r w:rsidRPr="00852DA6">
        <w:t>0,000</w:t>
      </w:r>
    </w:p>
    <w:p w:rsidR="000F072E" w:rsidRPr="00852DA6" w:rsidRDefault="00852DA6" w:rsidP="000F072E">
      <w:pPr>
        <w:autoSpaceDE w:val="0"/>
        <w:autoSpaceDN w:val="0"/>
        <w:adjustRightInd w:val="0"/>
        <w:spacing w:after="0" w:line="240" w:lineRule="auto"/>
      </w:pPr>
      <w:r w:rsidRPr="00852DA6">
        <w:t xml:space="preserve">                                                                                                          </w:t>
      </w:r>
      <w:r>
        <w:t xml:space="preserve">          </w:t>
      </w:r>
      <w:r w:rsidRPr="00852DA6">
        <w:t xml:space="preserve">  </w:t>
      </w:r>
      <w:r w:rsidR="000F072E" w:rsidRPr="00852DA6">
        <w:t>––––––––</w:t>
      </w:r>
    </w:p>
    <w:p w:rsidR="000F072E" w:rsidRPr="006F141C" w:rsidRDefault="000F072E" w:rsidP="000F072E">
      <w:pPr>
        <w:autoSpaceDE w:val="0"/>
        <w:autoSpaceDN w:val="0"/>
        <w:adjustRightInd w:val="0"/>
        <w:spacing w:after="0" w:line="240" w:lineRule="auto"/>
        <w:rPr>
          <w:u w:val="single"/>
        </w:rPr>
      </w:pPr>
      <w:r w:rsidRPr="006F141C">
        <w:rPr>
          <w:u w:val="single"/>
        </w:rPr>
        <w:t>Current assets</w:t>
      </w:r>
    </w:p>
    <w:p w:rsidR="000F072E" w:rsidRPr="00852DA6" w:rsidRDefault="000F072E" w:rsidP="000F072E">
      <w:pPr>
        <w:autoSpaceDE w:val="0"/>
        <w:autoSpaceDN w:val="0"/>
        <w:adjustRightInd w:val="0"/>
        <w:spacing w:after="0" w:line="240" w:lineRule="auto"/>
      </w:pPr>
      <w:r w:rsidRPr="00852DA6">
        <w:t xml:space="preserve">Inventory </w:t>
      </w:r>
      <w:r w:rsidR="00852DA6" w:rsidRPr="00852DA6">
        <w:t xml:space="preserve">                                                                                               </w:t>
      </w:r>
      <w:r w:rsidR="006F141C">
        <w:t xml:space="preserve">       </w:t>
      </w:r>
      <w:r w:rsidR="00B7143E">
        <w:t xml:space="preserve"> </w:t>
      </w:r>
      <w:r w:rsidRPr="00852DA6">
        <w:t xml:space="preserve">5,000 </w:t>
      </w:r>
    </w:p>
    <w:p w:rsidR="00852DA6" w:rsidRPr="00852DA6" w:rsidRDefault="000F072E" w:rsidP="000F072E">
      <w:pPr>
        <w:autoSpaceDE w:val="0"/>
        <w:autoSpaceDN w:val="0"/>
        <w:adjustRightInd w:val="0"/>
        <w:spacing w:after="0" w:line="240" w:lineRule="auto"/>
      </w:pPr>
      <w:r w:rsidRPr="00852DA6">
        <w:t xml:space="preserve">Trade receivables </w:t>
      </w:r>
      <w:r w:rsidR="00852DA6" w:rsidRPr="00852DA6">
        <w:t xml:space="preserve">                                                                                </w:t>
      </w:r>
      <w:r w:rsidR="00B7143E">
        <w:t xml:space="preserve">       </w:t>
      </w:r>
      <w:r w:rsidR="00D81031">
        <w:t>11</w:t>
      </w:r>
      <w:r w:rsidRPr="00852DA6">
        <w:t xml:space="preserve">,000 </w:t>
      </w:r>
    </w:p>
    <w:p w:rsidR="00852DA6" w:rsidRPr="00852DA6" w:rsidRDefault="000F072E" w:rsidP="000F072E">
      <w:pPr>
        <w:autoSpaceDE w:val="0"/>
        <w:autoSpaceDN w:val="0"/>
        <w:adjustRightInd w:val="0"/>
        <w:spacing w:after="0" w:line="240" w:lineRule="auto"/>
      </w:pPr>
      <w:r w:rsidRPr="00852DA6">
        <w:t xml:space="preserve">Bank </w:t>
      </w:r>
      <w:r w:rsidR="00852DA6" w:rsidRPr="00852DA6">
        <w:t xml:space="preserve">                                                                                                        </w:t>
      </w:r>
      <w:r w:rsidR="00B7143E">
        <w:t xml:space="preserve">          </w:t>
      </w:r>
      <w:r w:rsidRPr="00852DA6">
        <w:t>nil</w:t>
      </w:r>
    </w:p>
    <w:p w:rsidR="000F072E" w:rsidRPr="00852DA6" w:rsidRDefault="00852DA6" w:rsidP="000F072E">
      <w:pPr>
        <w:autoSpaceDE w:val="0"/>
        <w:autoSpaceDN w:val="0"/>
        <w:adjustRightInd w:val="0"/>
        <w:spacing w:after="0" w:line="240" w:lineRule="auto"/>
      </w:pPr>
      <w:r w:rsidRPr="00852DA6">
        <w:t xml:space="preserve">                                                                                                           </w:t>
      </w:r>
      <w:r w:rsidR="006F141C">
        <w:t xml:space="preserve">            </w:t>
      </w:r>
      <w:r w:rsidRPr="00852DA6">
        <w:t xml:space="preserve"> </w:t>
      </w:r>
      <w:r w:rsidR="000F072E" w:rsidRPr="00852DA6">
        <w:t>––––––––</w:t>
      </w:r>
    </w:p>
    <w:p w:rsidR="000F072E" w:rsidRPr="00852DA6" w:rsidRDefault="00852DA6" w:rsidP="000F072E">
      <w:pPr>
        <w:autoSpaceDE w:val="0"/>
        <w:autoSpaceDN w:val="0"/>
        <w:adjustRightInd w:val="0"/>
        <w:spacing w:after="0" w:line="240" w:lineRule="auto"/>
      </w:pPr>
      <w:r w:rsidRPr="00852DA6">
        <w:t xml:space="preserve">                                                                                                              </w:t>
      </w:r>
      <w:r w:rsidR="006F141C">
        <w:t xml:space="preserve">          </w:t>
      </w:r>
      <w:r w:rsidR="00D81031">
        <w:t>16</w:t>
      </w:r>
      <w:r w:rsidRPr="00852DA6">
        <w:t xml:space="preserve">,000 </w:t>
      </w:r>
    </w:p>
    <w:p w:rsidR="000F072E" w:rsidRPr="00852DA6" w:rsidRDefault="00852DA6" w:rsidP="000F072E">
      <w:pPr>
        <w:autoSpaceDE w:val="0"/>
        <w:autoSpaceDN w:val="0"/>
        <w:adjustRightInd w:val="0"/>
        <w:spacing w:after="0" w:line="240" w:lineRule="auto"/>
      </w:pPr>
      <w:r w:rsidRPr="00852DA6">
        <w:t xml:space="preserve">                                                                                                            </w:t>
      </w:r>
      <w:r w:rsidR="006F141C">
        <w:t xml:space="preserve">           </w:t>
      </w:r>
      <w:r w:rsidRPr="00852DA6">
        <w:t xml:space="preserve"> </w:t>
      </w:r>
      <w:r w:rsidR="000F072E" w:rsidRPr="00852DA6">
        <w:t>––––––––</w:t>
      </w:r>
    </w:p>
    <w:p w:rsidR="00852DA6" w:rsidRPr="006F141C" w:rsidRDefault="00852DA6" w:rsidP="000F072E">
      <w:pPr>
        <w:autoSpaceDE w:val="0"/>
        <w:autoSpaceDN w:val="0"/>
        <w:adjustRightInd w:val="0"/>
        <w:spacing w:after="0" w:line="240" w:lineRule="auto"/>
        <w:rPr>
          <w:b/>
        </w:rPr>
      </w:pPr>
      <w:r w:rsidRPr="006F141C">
        <w:rPr>
          <w:b/>
        </w:rPr>
        <w:t xml:space="preserve">Total assets                                                                                          </w:t>
      </w:r>
      <w:r w:rsidR="00B7143E">
        <w:rPr>
          <w:b/>
        </w:rPr>
        <w:t xml:space="preserve">         </w:t>
      </w:r>
      <w:r w:rsidR="00D81031">
        <w:rPr>
          <w:b/>
        </w:rPr>
        <w:t>226</w:t>
      </w:r>
      <w:r w:rsidRPr="006F141C">
        <w:rPr>
          <w:b/>
        </w:rPr>
        <w:t>,00</w:t>
      </w:r>
      <w:r w:rsidR="006F141C">
        <w:rPr>
          <w:b/>
        </w:rPr>
        <w:t>0</w:t>
      </w:r>
    </w:p>
    <w:p w:rsidR="000F072E" w:rsidRPr="00852DA6" w:rsidRDefault="00852DA6" w:rsidP="000F072E">
      <w:pPr>
        <w:autoSpaceDE w:val="0"/>
        <w:autoSpaceDN w:val="0"/>
        <w:adjustRightInd w:val="0"/>
        <w:spacing w:after="0" w:line="240" w:lineRule="auto"/>
      </w:pPr>
      <w:r w:rsidRPr="00852DA6">
        <w:t xml:space="preserve">                                                                                                           </w:t>
      </w:r>
      <w:r w:rsidR="006F141C">
        <w:t xml:space="preserve">           </w:t>
      </w:r>
      <w:r w:rsidRPr="00852DA6">
        <w:t xml:space="preserve">  </w:t>
      </w:r>
      <w:r w:rsidR="000F072E" w:rsidRPr="00852DA6">
        <w:t>––––––––</w:t>
      </w:r>
    </w:p>
    <w:p w:rsidR="00852DA6" w:rsidRPr="00852DA6" w:rsidRDefault="00852DA6" w:rsidP="000F072E">
      <w:pPr>
        <w:autoSpaceDE w:val="0"/>
        <w:autoSpaceDN w:val="0"/>
        <w:adjustRightInd w:val="0"/>
        <w:spacing w:after="0" w:line="240" w:lineRule="auto"/>
      </w:pPr>
    </w:p>
    <w:p w:rsidR="000F072E" w:rsidRPr="006F141C" w:rsidRDefault="000F072E" w:rsidP="000F072E">
      <w:pPr>
        <w:autoSpaceDE w:val="0"/>
        <w:autoSpaceDN w:val="0"/>
        <w:adjustRightInd w:val="0"/>
        <w:spacing w:after="0" w:line="240" w:lineRule="auto"/>
        <w:rPr>
          <w:u w:val="single"/>
        </w:rPr>
      </w:pPr>
      <w:r w:rsidRPr="006F141C">
        <w:rPr>
          <w:u w:val="single"/>
        </w:rPr>
        <w:t>Equity and liabilities</w:t>
      </w:r>
    </w:p>
    <w:p w:rsidR="000F072E" w:rsidRPr="00852DA6" w:rsidRDefault="00182C9E" w:rsidP="000F072E">
      <w:pPr>
        <w:autoSpaceDE w:val="0"/>
        <w:autoSpaceDN w:val="0"/>
        <w:adjustRightInd w:val="0"/>
        <w:spacing w:after="0" w:line="240" w:lineRule="auto"/>
      </w:pPr>
      <w:r>
        <w:t xml:space="preserve">Ordinary </w:t>
      </w:r>
      <w:r w:rsidR="000F072E" w:rsidRPr="00852DA6">
        <w:t xml:space="preserve">shares of </w:t>
      </w:r>
      <w:r w:rsidR="00852DA6" w:rsidRPr="00852DA6">
        <w:t xml:space="preserve">Ksh. 1 each                                                             </w:t>
      </w:r>
      <w:r w:rsidR="00A93ED5">
        <w:t xml:space="preserve">    </w:t>
      </w:r>
      <w:r w:rsidR="00852DA6" w:rsidRPr="00852DA6">
        <w:t xml:space="preserve">100,000 </w:t>
      </w:r>
    </w:p>
    <w:p w:rsidR="00852DA6" w:rsidRPr="00852DA6" w:rsidRDefault="00852DA6" w:rsidP="000F072E">
      <w:pPr>
        <w:autoSpaceDE w:val="0"/>
        <w:autoSpaceDN w:val="0"/>
        <w:adjustRightInd w:val="0"/>
        <w:spacing w:after="0" w:line="240" w:lineRule="auto"/>
      </w:pPr>
      <w:r w:rsidRPr="00852DA6">
        <w:t xml:space="preserve">Retained earnings                                                                                 </w:t>
      </w:r>
      <w:r w:rsidR="00A93ED5">
        <w:t xml:space="preserve">      </w:t>
      </w:r>
      <w:r w:rsidR="00B7143E">
        <w:t xml:space="preserve"> </w:t>
      </w:r>
      <w:r w:rsidR="006F141C">
        <w:t>(</w:t>
      </w:r>
      <w:r w:rsidRPr="00852DA6">
        <w:t>14,000</w:t>
      </w:r>
      <w:r w:rsidR="006F141C">
        <w:t>)</w:t>
      </w:r>
    </w:p>
    <w:p w:rsidR="000F072E" w:rsidRPr="00852DA6" w:rsidRDefault="00852DA6" w:rsidP="000F072E">
      <w:pPr>
        <w:autoSpaceDE w:val="0"/>
        <w:autoSpaceDN w:val="0"/>
        <w:adjustRightInd w:val="0"/>
        <w:spacing w:after="0" w:line="240" w:lineRule="auto"/>
      </w:pPr>
      <w:r w:rsidRPr="00852DA6">
        <w:t xml:space="preserve">                                                                                                            </w:t>
      </w:r>
      <w:r w:rsidR="00A93ED5">
        <w:t xml:space="preserve">         </w:t>
      </w:r>
      <w:r w:rsidR="006F141C">
        <w:t xml:space="preserve"> </w:t>
      </w:r>
      <w:r w:rsidRPr="00852DA6">
        <w:t xml:space="preserve"> </w:t>
      </w:r>
      <w:r w:rsidR="000F072E" w:rsidRPr="00852DA6">
        <w:t>––––––––</w:t>
      </w:r>
    </w:p>
    <w:p w:rsidR="000F072E" w:rsidRPr="00852DA6" w:rsidRDefault="00852DA6" w:rsidP="000F072E">
      <w:pPr>
        <w:autoSpaceDE w:val="0"/>
        <w:autoSpaceDN w:val="0"/>
        <w:adjustRightInd w:val="0"/>
        <w:spacing w:after="0" w:line="240" w:lineRule="auto"/>
      </w:pPr>
      <w:r w:rsidRPr="00852DA6">
        <w:t xml:space="preserve">                                                                                                            </w:t>
      </w:r>
      <w:r w:rsidR="006F141C">
        <w:t xml:space="preserve">          </w:t>
      </w:r>
      <w:r w:rsidR="00A93ED5">
        <w:t xml:space="preserve">   </w:t>
      </w:r>
      <w:r w:rsidR="006F141C">
        <w:t>86</w:t>
      </w:r>
      <w:r w:rsidRPr="00852DA6">
        <w:t>,000</w:t>
      </w:r>
    </w:p>
    <w:p w:rsidR="000F072E" w:rsidRPr="00852DA6" w:rsidRDefault="00852DA6" w:rsidP="000F072E">
      <w:pPr>
        <w:autoSpaceDE w:val="0"/>
        <w:autoSpaceDN w:val="0"/>
        <w:adjustRightInd w:val="0"/>
        <w:spacing w:after="0" w:line="240" w:lineRule="auto"/>
      </w:pPr>
      <w:r w:rsidRPr="00852DA6">
        <w:t xml:space="preserve">                                                                                                            </w:t>
      </w:r>
      <w:r w:rsidR="00A93ED5">
        <w:t xml:space="preserve">         </w:t>
      </w:r>
      <w:r w:rsidRPr="00852DA6">
        <w:t xml:space="preserve"> </w:t>
      </w:r>
      <w:r w:rsidR="000F072E" w:rsidRPr="00852DA6">
        <w:t xml:space="preserve">–––––––– </w:t>
      </w:r>
    </w:p>
    <w:p w:rsidR="000F072E" w:rsidRPr="006F141C" w:rsidRDefault="000F072E" w:rsidP="000F072E">
      <w:pPr>
        <w:autoSpaceDE w:val="0"/>
        <w:autoSpaceDN w:val="0"/>
        <w:adjustRightInd w:val="0"/>
        <w:spacing w:after="0" w:line="240" w:lineRule="auto"/>
        <w:rPr>
          <w:u w:val="single"/>
        </w:rPr>
      </w:pPr>
      <w:r w:rsidRPr="006F141C">
        <w:rPr>
          <w:u w:val="single"/>
        </w:rPr>
        <w:t>Non-current liabilities</w:t>
      </w:r>
    </w:p>
    <w:p w:rsidR="000F072E" w:rsidRPr="006F141C" w:rsidRDefault="00852DA6" w:rsidP="000F072E">
      <w:pPr>
        <w:autoSpaceDE w:val="0"/>
        <w:autoSpaceDN w:val="0"/>
        <w:adjustRightInd w:val="0"/>
        <w:spacing w:after="0" w:line="240" w:lineRule="auto"/>
        <w:rPr>
          <w:u w:val="single"/>
        </w:rPr>
      </w:pPr>
      <w:r w:rsidRPr="00852DA6">
        <w:t xml:space="preserve">8% loan notes                                                                                      </w:t>
      </w:r>
      <w:r w:rsidR="00A93ED5">
        <w:t xml:space="preserve">        </w:t>
      </w:r>
      <w:r w:rsidRPr="006F141C">
        <w:rPr>
          <w:u w:val="single"/>
        </w:rPr>
        <w:t>100,000</w:t>
      </w:r>
    </w:p>
    <w:p w:rsidR="00852DA6" w:rsidRPr="00852DA6" w:rsidRDefault="00852DA6" w:rsidP="000F072E">
      <w:pPr>
        <w:autoSpaceDE w:val="0"/>
        <w:autoSpaceDN w:val="0"/>
        <w:adjustRightInd w:val="0"/>
        <w:spacing w:after="0" w:line="240" w:lineRule="auto"/>
      </w:pPr>
    </w:p>
    <w:p w:rsidR="000F072E" w:rsidRPr="006F141C" w:rsidRDefault="000F072E" w:rsidP="000F072E">
      <w:pPr>
        <w:autoSpaceDE w:val="0"/>
        <w:autoSpaceDN w:val="0"/>
        <w:adjustRightInd w:val="0"/>
        <w:spacing w:after="0" w:line="240" w:lineRule="auto"/>
        <w:rPr>
          <w:u w:val="single"/>
        </w:rPr>
      </w:pPr>
      <w:r w:rsidRPr="006F141C">
        <w:rPr>
          <w:u w:val="single"/>
        </w:rPr>
        <w:t>Current liabilities</w:t>
      </w:r>
    </w:p>
    <w:p w:rsidR="000F072E" w:rsidRPr="00852DA6" w:rsidRDefault="00852DA6" w:rsidP="000F072E">
      <w:pPr>
        <w:autoSpaceDE w:val="0"/>
        <w:autoSpaceDN w:val="0"/>
        <w:adjustRightInd w:val="0"/>
        <w:spacing w:after="0" w:line="240" w:lineRule="auto"/>
      </w:pPr>
      <w:r w:rsidRPr="00852DA6">
        <w:t xml:space="preserve">Bank overdraft                                                                                        </w:t>
      </w:r>
      <w:r w:rsidR="00A93ED5">
        <w:t xml:space="preserve">     </w:t>
      </w:r>
      <w:r w:rsidRPr="00852DA6">
        <w:t>17,000</w:t>
      </w:r>
    </w:p>
    <w:p w:rsidR="000F072E" w:rsidRPr="00852DA6" w:rsidRDefault="00852DA6" w:rsidP="000F072E">
      <w:pPr>
        <w:autoSpaceDE w:val="0"/>
        <w:autoSpaceDN w:val="0"/>
        <w:adjustRightInd w:val="0"/>
        <w:spacing w:after="0" w:line="240" w:lineRule="auto"/>
      </w:pPr>
      <w:r w:rsidRPr="00852DA6">
        <w:t xml:space="preserve">Trade payables                                                                                       </w:t>
      </w:r>
      <w:r w:rsidR="00A93ED5">
        <w:t xml:space="preserve">      </w:t>
      </w:r>
      <w:r w:rsidRPr="00852DA6">
        <w:t>23,000</w:t>
      </w:r>
    </w:p>
    <w:p w:rsidR="000F072E" w:rsidRPr="00852DA6" w:rsidRDefault="00852DA6" w:rsidP="000F072E">
      <w:pPr>
        <w:autoSpaceDE w:val="0"/>
        <w:autoSpaceDN w:val="0"/>
        <w:adjustRightInd w:val="0"/>
        <w:spacing w:after="0" w:line="240" w:lineRule="auto"/>
      </w:pPr>
      <w:r>
        <w:t xml:space="preserve">                                                                                                                  </w:t>
      </w:r>
      <w:r w:rsidR="00A93ED5">
        <w:t xml:space="preserve">    </w:t>
      </w:r>
      <w:r w:rsidR="006F141C">
        <w:t xml:space="preserve"> </w:t>
      </w:r>
      <w:r w:rsidR="000F072E" w:rsidRPr="00852DA6">
        <w:t>––––––––</w:t>
      </w:r>
    </w:p>
    <w:p w:rsidR="000F072E" w:rsidRPr="00852DA6" w:rsidRDefault="00852DA6" w:rsidP="000F072E">
      <w:pPr>
        <w:autoSpaceDE w:val="0"/>
        <w:autoSpaceDN w:val="0"/>
        <w:adjustRightInd w:val="0"/>
        <w:spacing w:after="0" w:line="240" w:lineRule="auto"/>
      </w:pPr>
      <w:r>
        <w:t xml:space="preserve">                                                                                                                   </w:t>
      </w:r>
      <w:r w:rsidR="00A93ED5">
        <w:t xml:space="preserve">     </w:t>
      </w:r>
      <w:r w:rsidR="00D81031">
        <w:t>40</w:t>
      </w:r>
      <w:r w:rsidRPr="00852DA6">
        <w:t>,000</w:t>
      </w:r>
    </w:p>
    <w:p w:rsidR="000F072E" w:rsidRPr="00852DA6" w:rsidRDefault="00852DA6" w:rsidP="000F072E">
      <w:pPr>
        <w:autoSpaceDE w:val="0"/>
        <w:autoSpaceDN w:val="0"/>
        <w:adjustRightInd w:val="0"/>
        <w:spacing w:after="0" w:line="240" w:lineRule="auto"/>
      </w:pPr>
      <w:r>
        <w:t xml:space="preserve">                                                                                                                 </w:t>
      </w:r>
      <w:r w:rsidR="00A93ED5">
        <w:t xml:space="preserve">     </w:t>
      </w:r>
      <w:r>
        <w:t xml:space="preserve"> </w:t>
      </w:r>
      <w:r w:rsidR="000F072E" w:rsidRPr="00852DA6">
        <w:t>––––––––</w:t>
      </w:r>
    </w:p>
    <w:p w:rsidR="000F072E" w:rsidRPr="006F141C" w:rsidRDefault="000F072E" w:rsidP="000F072E">
      <w:pPr>
        <w:autoSpaceDE w:val="0"/>
        <w:autoSpaceDN w:val="0"/>
        <w:adjustRightInd w:val="0"/>
        <w:spacing w:after="0" w:line="240" w:lineRule="auto"/>
        <w:rPr>
          <w:b/>
        </w:rPr>
      </w:pPr>
      <w:r w:rsidRPr="006F141C">
        <w:rPr>
          <w:b/>
        </w:rPr>
        <w:t>Total equity</w:t>
      </w:r>
      <w:r w:rsidR="00852DA6" w:rsidRPr="006F141C">
        <w:rPr>
          <w:b/>
        </w:rPr>
        <w:t xml:space="preserve"> and liabilities                                                                    </w:t>
      </w:r>
      <w:r w:rsidR="00A93ED5">
        <w:rPr>
          <w:b/>
        </w:rPr>
        <w:t xml:space="preserve">    </w:t>
      </w:r>
      <w:r w:rsidR="006F141C">
        <w:rPr>
          <w:b/>
        </w:rPr>
        <w:t>226</w:t>
      </w:r>
      <w:r w:rsidR="00852DA6" w:rsidRPr="006F141C">
        <w:rPr>
          <w:b/>
        </w:rPr>
        <w:t xml:space="preserve">,000 </w:t>
      </w:r>
    </w:p>
    <w:p w:rsidR="000F072E" w:rsidRDefault="00852DA6" w:rsidP="000F072E">
      <w:pPr>
        <w:autoSpaceDE w:val="0"/>
        <w:autoSpaceDN w:val="0"/>
        <w:adjustRightInd w:val="0"/>
        <w:spacing w:after="0" w:line="240" w:lineRule="auto"/>
      </w:pPr>
      <w:r>
        <w:t xml:space="preserve">                                                                                                                 </w:t>
      </w:r>
      <w:r w:rsidR="00A93ED5">
        <w:t xml:space="preserve">    </w:t>
      </w:r>
      <w:r>
        <w:t xml:space="preserve"> </w:t>
      </w:r>
      <w:r w:rsidR="000F072E" w:rsidRPr="00852DA6">
        <w:t>––––––––</w:t>
      </w:r>
    </w:p>
    <w:p w:rsidR="008813FC" w:rsidRDefault="008813FC" w:rsidP="000F072E">
      <w:pPr>
        <w:autoSpaceDE w:val="0"/>
        <w:autoSpaceDN w:val="0"/>
        <w:adjustRightInd w:val="0"/>
        <w:spacing w:after="0" w:line="240" w:lineRule="auto"/>
      </w:pPr>
    </w:p>
    <w:p w:rsidR="008813FC" w:rsidRDefault="008813FC" w:rsidP="000F072E">
      <w:pPr>
        <w:autoSpaceDE w:val="0"/>
        <w:autoSpaceDN w:val="0"/>
        <w:adjustRightInd w:val="0"/>
        <w:spacing w:after="0" w:line="240" w:lineRule="auto"/>
      </w:pPr>
      <w:r>
        <w:t>The management of Harbin LTD decided to undertake a capital reorganization. The following were the steps agreed upon.</w:t>
      </w:r>
    </w:p>
    <w:p w:rsidR="008813FC" w:rsidRDefault="008813FC" w:rsidP="008813FC">
      <w:pPr>
        <w:pStyle w:val="ListParagraph"/>
        <w:numPr>
          <w:ilvl w:val="0"/>
          <w:numId w:val="6"/>
        </w:numPr>
        <w:autoSpaceDE w:val="0"/>
        <w:autoSpaceDN w:val="0"/>
        <w:adjustRightInd w:val="0"/>
        <w:spacing w:after="0" w:line="240" w:lineRule="auto"/>
      </w:pPr>
      <w:r>
        <w:t>The property, plant and equipment to be written down to Ksh. 50 million.</w:t>
      </w:r>
    </w:p>
    <w:p w:rsidR="008813FC" w:rsidRDefault="008813FC" w:rsidP="008813FC">
      <w:pPr>
        <w:pStyle w:val="ListParagraph"/>
        <w:numPr>
          <w:ilvl w:val="0"/>
          <w:numId w:val="6"/>
        </w:numPr>
        <w:autoSpaceDE w:val="0"/>
        <w:autoSpaceDN w:val="0"/>
        <w:adjustRightInd w:val="0"/>
        <w:spacing w:after="0" w:line="240" w:lineRule="auto"/>
      </w:pPr>
      <w:r>
        <w:t>Goodwill is to be written off from the books.</w:t>
      </w:r>
    </w:p>
    <w:p w:rsidR="008813FC" w:rsidRDefault="008813FC" w:rsidP="008813FC">
      <w:pPr>
        <w:pStyle w:val="ListParagraph"/>
        <w:numPr>
          <w:ilvl w:val="0"/>
          <w:numId w:val="6"/>
        </w:numPr>
        <w:autoSpaceDE w:val="0"/>
        <w:autoSpaceDN w:val="0"/>
        <w:adjustRightInd w:val="0"/>
        <w:spacing w:after="0" w:line="240" w:lineRule="auto"/>
      </w:pPr>
      <w:r>
        <w:t>All current assets are to be written off.</w:t>
      </w:r>
    </w:p>
    <w:p w:rsidR="008813FC" w:rsidRDefault="008813FC" w:rsidP="008813FC">
      <w:pPr>
        <w:pStyle w:val="ListParagraph"/>
        <w:numPr>
          <w:ilvl w:val="0"/>
          <w:numId w:val="6"/>
        </w:numPr>
        <w:autoSpaceDE w:val="0"/>
        <w:autoSpaceDN w:val="0"/>
        <w:adjustRightInd w:val="0"/>
        <w:spacing w:after="0" w:line="240" w:lineRule="auto"/>
      </w:pPr>
      <w:r>
        <w:t>Liabilities (Both current and non- current) are to be settled by issuing ordinary shares.</w:t>
      </w:r>
    </w:p>
    <w:p w:rsidR="008813FC" w:rsidRDefault="008813FC" w:rsidP="008813FC">
      <w:pPr>
        <w:pStyle w:val="ListParagraph"/>
        <w:numPr>
          <w:ilvl w:val="0"/>
          <w:numId w:val="6"/>
        </w:numPr>
        <w:autoSpaceDE w:val="0"/>
        <w:autoSpaceDN w:val="0"/>
        <w:adjustRightInd w:val="0"/>
        <w:spacing w:after="0" w:line="240" w:lineRule="auto"/>
      </w:pPr>
      <w:r>
        <w:t>The company is to raise more capital by issuing</w:t>
      </w:r>
      <w:r w:rsidR="0003517E">
        <w:t xml:space="preserve"> 100 million ordinary shares of Ksh. 1 each.</w:t>
      </w:r>
    </w:p>
    <w:p w:rsidR="0003517E" w:rsidRDefault="0003517E" w:rsidP="0003517E">
      <w:pPr>
        <w:autoSpaceDE w:val="0"/>
        <w:autoSpaceDN w:val="0"/>
        <w:adjustRightInd w:val="0"/>
        <w:spacing w:after="0" w:line="240" w:lineRule="auto"/>
      </w:pPr>
    </w:p>
    <w:p w:rsidR="0003517E" w:rsidRDefault="0003517E" w:rsidP="0003517E">
      <w:pPr>
        <w:autoSpaceDE w:val="0"/>
        <w:autoSpaceDN w:val="0"/>
        <w:adjustRightInd w:val="0"/>
        <w:spacing w:after="0" w:line="240" w:lineRule="auto"/>
      </w:pPr>
      <w:r>
        <w:t>Required:</w:t>
      </w:r>
    </w:p>
    <w:p w:rsidR="0003517E" w:rsidRDefault="0003517E" w:rsidP="0003517E">
      <w:pPr>
        <w:pStyle w:val="ListParagraph"/>
        <w:numPr>
          <w:ilvl w:val="0"/>
          <w:numId w:val="7"/>
        </w:numPr>
        <w:autoSpaceDE w:val="0"/>
        <w:autoSpaceDN w:val="0"/>
        <w:adjustRightInd w:val="0"/>
        <w:spacing w:after="0" w:line="240" w:lineRule="auto"/>
      </w:pPr>
      <w:r>
        <w:t>Ledger accounts in</w:t>
      </w:r>
      <w:r w:rsidR="002B735C">
        <w:t xml:space="preserve"> the books of Harbin LTD</w:t>
      </w:r>
      <w:r>
        <w:t>. (15 marks).</w:t>
      </w:r>
    </w:p>
    <w:p w:rsidR="0003517E" w:rsidRPr="00852DA6" w:rsidRDefault="0003517E" w:rsidP="0003517E">
      <w:pPr>
        <w:pStyle w:val="ListParagraph"/>
        <w:numPr>
          <w:ilvl w:val="0"/>
          <w:numId w:val="7"/>
        </w:numPr>
        <w:autoSpaceDE w:val="0"/>
        <w:autoSpaceDN w:val="0"/>
        <w:adjustRightInd w:val="0"/>
        <w:spacing w:after="0" w:line="240" w:lineRule="auto"/>
      </w:pPr>
      <w:r>
        <w:t xml:space="preserve">A balance sheet for harbin LTD immadiately after the </w:t>
      </w:r>
      <w:r w:rsidR="00E40F46">
        <w:t>capital reorganization</w:t>
      </w:r>
      <w:r>
        <w:t>. (8.5 marks).</w:t>
      </w:r>
    </w:p>
    <w:p w:rsidR="008B476E" w:rsidRDefault="008B476E"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EB4DDC" w:rsidRDefault="00EB4DDC"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EB4DDC" w:rsidRPr="00EB4DDC" w:rsidRDefault="00EB4DDC" w:rsidP="008B476E">
      <w:pPr>
        <w:pStyle w:val="ListParagraph"/>
        <w:autoSpaceDE w:val="0"/>
        <w:autoSpaceDN w:val="0"/>
        <w:adjustRightInd w:val="0"/>
        <w:spacing w:after="0" w:line="240" w:lineRule="auto"/>
        <w:ind w:left="360"/>
        <w:rPr>
          <w:rFonts w:ascii="NewsGothicBT-Bold" w:hAnsi="NewsGothicBT-Bold" w:cs="NewsGothicBT-Bold"/>
          <w:b/>
          <w:bCs/>
          <w:sz w:val="20"/>
          <w:szCs w:val="20"/>
          <w:u w:val="single"/>
        </w:rPr>
      </w:pPr>
      <w:r w:rsidRPr="00EB4DDC">
        <w:rPr>
          <w:rFonts w:ascii="NewsGothicBT-Bold" w:hAnsi="NewsGothicBT-Bold" w:cs="NewsGothicBT-Bold"/>
          <w:b/>
          <w:bCs/>
          <w:sz w:val="20"/>
          <w:szCs w:val="20"/>
          <w:u w:val="single"/>
        </w:rPr>
        <w:lastRenderedPageBreak/>
        <w:t>SECTION B</w:t>
      </w:r>
    </w:p>
    <w:p w:rsidR="00695CAF" w:rsidRDefault="00695CAF" w:rsidP="008B476E">
      <w:pPr>
        <w:pStyle w:val="ListParagraph"/>
        <w:autoSpaceDE w:val="0"/>
        <w:autoSpaceDN w:val="0"/>
        <w:adjustRightInd w:val="0"/>
        <w:spacing w:after="0" w:line="240" w:lineRule="auto"/>
        <w:ind w:left="360"/>
        <w:rPr>
          <w:rFonts w:ascii="NewsGothicBT-Bold" w:hAnsi="NewsGothicBT-Bold" w:cs="NewsGothicBT-Bold"/>
          <w:b/>
          <w:bCs/>
          <w:sz w:val="20"/>
          <w:szCs w:val="20"/>
        </w:rPr>
      </w:pPr>
    </w:p>
    <w:p w:rsidR="008B476E" w:rsidRPr="00C57C80" w:rsidRDefault="008B476E" w:rsidP="008B476E">
      <w:pPr>
        <w:pStyle w:val="ListParagraph"/>
        <w:numPr>
          <w:ilvl w:val="0"/>
          <w:numId w:val="1"/>
        </w:numPr>
        <w:autoSpaceDE w:val="0"/>
        <w:autoSpaceDN w:val="0"/>
        <w:adjustRightInd w:val="0"/>
        <w:spacing w:after="0" w:line="240" w:lineRule="auto"/>
        <w:ind w:left="0" w:firstLine="0"/>
      </w:pPr>
      <w:r w:rsidRPr="00C57C80">
        <w:t>An important requirement of the IASB’s Framework for the Preparation and Presentation of Financial Statements (Framework) is that in order to be reliable, an entity’s financial statements should represent faithfully the transactions and events that it has undertaken</w:t>
      </w:r>
      <w:r>
        <w:t xml:space="preserve"> and observe consistency in the presentation of financial statements</w:t>
      </w:r>
      <w:r w:rsidRPr="00C57C80">
        <w:t>.</w:t>
      </w:r>
    </w:p>
    <w:p w:rsidR="008B476E" w:rsidRPr="00C57C80" w:rsidRDefault="008B476E" w:rsidP="008B476E">
      <w:pPr>
        <w:autoSpaceDE w:val="0"/>
        <w:autoSpaceDN w:val="0"/>
        <w:adjustRightInd w:val="0"/>
        <w:spacing w:after="0" w:line="240" w:lineRule="auto"/>
      </w:pPr>
    </w:p>
    <w:p w:rsidR="008B476E" w:rsidRDefault="008B476E" w:rsidP="008B476E">
      <w:pPr>
        <w:rPr>
          <w:b/>
          <w:u w:val="single"/>
        </w:rPr>
      </w:pPr>
      <w:r>
        <w:rPr>
          <w:b/>
          <w:u w:val="single"/>
        </w:rPr>
        <w:t>REQUIRED</w:t>
      </w:r>
      <w:r w:rsidRPr="00C57C80">
        <w:rPr>
          <w:b/>
          <w:u w:val="single"/>
        </w:rPr>
        <w:t>:</w:t>
      </w:r>
    </w:p>
    <w:p w:rsidR="008B476E" w:rsidRPr="004C3530" w:rsidRDefault="003023D1" w:rsidP="008813FC">
      <w:pPr>
        <w:pStyle w:val="ListParagraph"/>
        <w:numPr>
          <w:ilvl w:val="8"/>
          <w:numId w:val="1"/>
        </w:numPr>
        <w:ind w:left="0" w:firstLine="0"/>
      </w:pPr>
      <w:r>
        <w:t>List SIX</w:t>
      </w:r>
      <w:r w:rsidR="008B476E">
        <w:t xml:space="preserve"> components that comprise a complete set of financial </w:t>
      </w:r>
      <w:r>
        <w:t>statements (6</w:t>
      </w:r>
      <w:r w:rsidR="008B476E">
        <w:t xml:space="preserve"> marks).</w:t>
      </w:r>
    </w:p>
    <w:p w:rsidR="008B476E" w:rsidRDefault="008B476E" w:rsidP="008813FC">
      <w:pPr>
        <w:pStyle w:val="ListParagraph"/>
        <w:numPr>
          <w:ilvl w:val="8"/>
          <w:numId w:val="1"/>
        </w:numPr>
        <w:ind w:left="0" w:firstLine="0"/>
      </w:pPr>
      <w:r w:rsidRPr="00C57C80">
        <w:t>Explain what is meant by faithful representation and</w:t>
      </w:r>
      <w:r w:rsidR="003023D1">
        <w:t xml:space="preserve"> how it enhances reliability. (6</w:t>
      </w:r>
      <w:r w:rsidRPr="00C57C80">
        <w:t xml:space="preserve"> marks)</w:t>
      </w:r>
    </w:p>
    <w:p w:rsidR="008B476E" w:rsidRDefault="008B476E" w:rsidP="008813FC">
      <w:pPr>
        <w:pStyle w:val="ListParagraph"/>
        <w:numPr>
          <w:ilvl w:val="8"/>
          <w:numId w:val="1"/>
        </w:numPr>
        <w:ind w:left="0" w:firstLine="0"/>
      </w:pPr>
      <w:r>
        <w:t>Discuss what is meant by consistency of presentation, and conditions under which the     classification and representation of items in financial statements may be changed</w:t>
      </w:r>
      <w:r w:rsidR="003023D1">
        <w:t>. (8</w:t>
      </w:r>
      <w:r>
        <w:t xml:space="preserve"> marks).</w:t>
      </w:r>
    </w:p>
    <w:p w:rsidR="003C0A2F" w:rsidRDefault="003C0A2F" w:rsidP="008813FC">
      <w:pPr>
        <w:pStyle w:val="ListParagraph"/>
        <w:numPr>
          <w:ilvl w:val="8"/>
          <w:numId w:val="1"/>
        </w:numPr>
        <w:ind w:left="0" w:firstLine="0"/>
      </w:pPr>
      <w:r>
        <w:t>Discuss briefly the position of international financial reporting standards in regards to offsetting of assets/ liabilities and income/ expenses. (</w:t>
      </w:r>
      <w:r w:rsidR="00ED5D85">
        <w:t>3.5</w:t>
      </w:r>
      <w:r>
        <w:t xml:space="preserve"> marks)</w:t>
      </w:r>
    </w:p>
    <w:p w:rsidR="008B476E" w:rsidRDefault="008B476E" w:rsidP="00A22CE3">
      <w:pPr>
        <w:pStyle w:val="ListParagraph"/>
        <w:ind w:left="0"/>
      </w:pPr>
    </w:p>
    <w:p w:rsidR="00A97EC9" w:rsidRDefault="00A97EC9" w:rsidP="00A22CE3">
      <w:pPr>
        <w:pStyle w:val="ListParagraph"/>
        <w:ind w:left="0"/>
      </w:pPr>
    </w:p>
    <w:p w:rsidR="00E65C93" w:rsidRDefault="00E65C93" w:rsidP="00E65C93">
      <w:pPr>
        <w:pStyle w:val="ListParagraph"/>
        <w:numPr>
          <w:ilvl w:val="0"/>
          <w:numId w:val="1"/>
        </w:numPr>
      </w:pPr>
      <w:r>
        <w:t>i       Write short notes on the following:</w:t>
      </w:r>
    </w:p>
    <w:p w:rsidR="00E65C93" w:rsidRDefault="00E65C93" w:rsidP="00E65C93">
      <w:pPr>
        <w:pStyle w:val="ListParagraph"/>
        <w:numPr>
          <w:ilvl w:val="1"/>
          <w:numId w:val="1"/>
        </w:numPr>
      </w:pPr>
      <w:r>
        <w:t>Cumulative Vs non- cumulative preffered stock (4 marks).</w:t>
      </w:r>
    </w:p>
    <w:p w:rsidR="00E65C93" w:rsidRDefault="00E65C93" w:rsidP="00E65C93">
      <w:pPr>
        <w:pStyle w:val="ListParagraph"/>
        <w:numPr>
          <w:ilvl w:val="1"/>
          <w:numId w:val="1"/>
        </w:numPr>
      </w:pPr>
      <w:r>
        <w:t>Convertible Vs non- convertible preffered stock (4 marks).</w:t>
      </w:r>
    </w:p>
    <w:p w:rsidR="00E65C93" w:rsidRDefault="00E65C93" w:rsidP="00E65C93">
      <w:pPr>
        <w:pStyle w:val="ListParagraph"/>
        <w:numPr>
          <w:ilvl w:val="1"/>
          <w:numId w:val="1"/>
        </w:numPr>
      </w:pPr>
      <w:r>
        <w:t>Participating vs non- participating preffered stock (4 marks)</w:t>
      </w:r>
    </w:p>
    <w:p w:rsidR="00E65C93" w:rsidRDefault="00E65C93" w:rsidP="00E65C93">
      <w:r>
        <w:t xml:space="preserve">                 ii. </w:t>
      </w:r>
      <w:r w:rsidR="00AC076E">
        <w:t>State and briefly discuss 2 types of debentures (4 marks).</w:t>
      </w:r>
    </w:p>
    <w:p w:rsidR="00AC076E" w:rsidRDefault="00AC076E" w:rsidP="00E65C93">
      <w:r>
        <w:t xml:space="preserve">                iii.  Discuss the accounting treatment in regards to: </w:t>
      </w:r>
    </w:p>
    <w:p w:rsidR="00AC076E" w:rsidRDefault="00AC076E" w:rsidP="00AC076E">
      <w:pPr>
        <w:pStyle w:val="ListParagraph"/>
        <w:numPr>
          <w:ilvl w:val="0"/>
          <w:numId w:val="8"/>
        </w:numPr>
      </w:pPr>
      <w:r>
        <w:t>changes in accounting policies (4 marks)</w:t>
      </w:r>
    </w:p>
    <w:p w:rsidR="00AC076E" w:rsidRPr="00275544" w:rsidRDefault="00AC076E" w:rsidP="00AC076E">
      <w:pPr>
        <w:pStyle w:val="ListParagraph"/>
        <w:numPr>
          <w:ilvl w:val="0"/>
          <w:numId w:val="8"/>
        </w:numPr>
      </w:pPr>
      <w:r>
        <w:t>Changes in accounting estimates (3.5 marks).</w:t>
      </w:r>
    </w:p>
    <w:p w:rsidR="00D70155" w:rsidRDefault="00D70155"/>
    <w:sectPr w:rsidR="00D70155" w:rsidSect="005B05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NewsGothicBT-Bold">
    <w:panose1 w:val="00000000000000000000"/>
    <w:charset w:val="00"/>
    <w:family w:val="swiss"/>
    <w:notTrueType/>
    <w:pitch w:val="default"/>
    <w:sig w:usb0="00000003" w:usb1="00000000" w:usb2="00000000" w:usb3="00000000" w:csb0="00000001" w:csb1="00000000"/>
  </w:font>
  <w:font w:name="NewsGothicBT-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C6B30"/>
    <w:multiLevelType w:val="hybridMultilevel"/>
    <w:tmpl w:val="3432DC82"/>
    <w:lvl w:ilvl="0" w:tplc="04410019">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
    <w:nsid w:val="20B034B4"/>
    <w:multiLevelType w:val="hybridMultilevel"/>
    <w:tmpl w:val="3ED61B1A"/>
    <w:lvl w:ilvl="0" w:tplc="04410001">
      <w:start w:val="1"/>
      <w:numFmt w:val="bullet"/>
      <w:lvlText w:val=""/>
      <w:lvlJc w:val="left"/>
      <w:pPr>
        <w:ind w:left="1776" w:hanging="360"/>
      </w:pPr>
      <w:rPr>
        <w:rFonts w:ascii="Symbol" w:hAnsi="Symbol" w:hint="default"/>
      </w:rPr>
    </w:lvl>
    <w:lvl w:ilvl="1" w:tplc="04410003" w:tentative="1">
      <w:start w:val="1"/>
      <w:numFmt w:val="bullet"/>
      <w:lvlText w:val="o"/>
      <w:lvlJc w:val="left"/>
      <w:pPr>
        <w:ind w:left="2496" w:hanging="360"/>
      </w:pPr>
      <w:rPr>
        <w:rFonts w:ascii="Courier New" w:hAnsi="Courier New" w:cs="Courier New" w:hint="default"/>
      </w:rPr>
    </w:lvl>
    <w:lvl w:ilvl="2" w:tplc="04410005" w:tentative="1">
      <w:start w:val="1"/>
      <w:numFmt w:val="bullet"/>
      <w:lvlText w:val=""/>
      <w:lvlJc w:val="left"/>
      <w:pPr>
        <w:ind w:left="3216" w:hanging="360"/>
      </w:pPr>
      <w:rPr>
        <w:rFonts w:ascii="Wingdings" w:hAnsi="Wingdings" w:hint="default"/>
      </w:rPr>
    </w:lvl>
    <w:lvl w:ilvl="3" w:tplc="04410001" w:tentative="1">
      <w:start w:val="1"/>
      <w:numFmt w:val="bullet"/>
      <w:lvlText w:val=""/>
      <w:lvlJc w:val="left"/>
      <w:pPr>
        <w:ind w:left="3936" w:hanging="360"/>
      </w:pPr>
      <w:rPr>
        <w:rFonts w:ascii="Symbol" w:hAnsi="Symbol" w:hint="default"/>
      </w:rPr>
    </w:lvl>
    <w:lvl w:ilvl="4" w:tplc="04410003" w:tentative="1">
      <w:start w:val="1"/>
      <w:numFmt w:val="bullet"/>
      <w:lvlText w:val="o"/>
      <w:lvlJc w:val="left"/>
      <w:pPr>
        <w:ind w:left="4656" w:hanging="360"/>
      </w:pPr>
      <w:rPr>
        <w:rFonts w:ascii="Courier New" w:hAnsi="Courier New" w:cs="Courier New" w:hint="default"/>
      </w:rPr>
    </w:lvl>
    <w:lvl w:ilvl="5" w:tplc="04410005" w:tentative="1">
      <w:start w:val="1"/>
      <w:numFmt w:val="bullet"/>
      <w:lvlText w:val=""/>
      <w:lvlJc w:val="left"/>
      <w:pPr>
        <w:ind w:left="5376" w:hanging="360"/>
      </w:pPr>
      <w:rPr>
        <w:rFonts w:ascii="Wingdings" w:hAnsi="Wingdings" w:hint="default"/>
      </w:rPr>
    </w:lvl>
    <w:lvl w:ilvl="6" w:tplc="04410001" w:tentative="1">
      <w:start w:val="1"/>
      <w:numFmt w:val="bullet"/>
      <w:lvlText w:val=""/>
      <w:lvlJc w:val="left"/>
      <w:pPr>
        <w:ind w:left="6096" w:hanging="360"/>
      </w:pPr>
      <w:rPr>
        <w:rFonts w:ascii="Symbol" w:hAnsi="Symbol" w:hint="default"/>
      </w:rPr>
    </w:lvl>
    <w:lvl w:ilvl="7" w:tplc="04410003" w:tentative="1">
      <w:start w:val="1"/>
      <w:numFmt w:val="bullet"/>
      <w:lvlText w:val="o"/>
      <w:lvlJc w:val="left"/>
      <w:pPr>
        <w:ind w:left="6816" w:hanging="360"/>
      </w:pPr>
      <w:rPr>
        <w:rFonts w:ascii="Courier New" w:hAnsi="Courier New" w:cs="Courier New" w:hint="default"/>
      </w:rPr>
    </w:lvl>
    <w:lvl w:ilvl="8" w:tplc="04410005" w:tentative="1">
      <w:start w:val="1"/>
      <w:numFmt w:val="bullet"/>
      <w:lvlText w:val=""/>
      <w:lvlJc w:val="left"/>
      <w:pPr>
        <w:ind w:left="7536" w:hanging="360"/>
      </w:pPr>
      <w:rPr>
        <w:rFonts w:ascii="Wingdings" w:hAnsi="Wingdings" w:hint="default"/>
      </w:rPr>
    </w:lvl>
  </w:abstractNum>
  <w:abstractNum w:abstractNumId="2">
    <w:nsid w:val="4E6A7E9A"/>
    <w:multiLevelType w:val="hybridMultilevel"/>
    <w:tmpl w:val="AAE236FE"/>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3">
    <w:nsid w:val="4FFA7DAC"/>
    <w:multiLevelType w:val="hybridMultilevel"/>
    <w:tmpl w:val="17C41E54"/>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4">
    <w:nsid w:val="580032E8"/>
    <w:multiLevelType w:val="hybridMultilevel"/>
    <w:tmpl w:val="FA785C2C"/>
    <w:lvl w:ilvl="0" w:tplc="0441000F">
      <w:start w:val="1"/>
      <w:numFmt w:val="decimal"/>
      <w:lvlText w:val="%1."/>
      <w:lvlJc w:val="left"/>
      <w:pPr>
        <w:ind w:left="720" w:hanging="360"/>
      </w:pPr>
      <w:rPr>
        <w:rFonts w:hint="default"/>
      </w:rPr>
    </w:lvl>
    <w:lvl w:ilvl="1" w:tplc="04410019">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start w:val="1"/>
      <w:numFmt w:val="lowerRoman"/>
      <w:lvlText w:val="%9."/>
      <w:lvlJc w:val="right"/>
      <w:pPr>
        <w:ind w:left="6480" w:hanging="180"/>
      </w:pPr>
    </w:lvl>
  </w:abstractNum>
  <w:abstractNum w:abstractNumId="5">
    <w:nsid w:val="596C5F59"/>
    <w:multiLevelType w:val="hybridMultilevel"/>
    <w:tmpl w:val="3380FD82"/>
    <w:lvl w:ilvl="0" w:tplc="04410001">
      <w:start w:val="1"/>
      <w:numFmt w:val="bullet"/>
      <w:lvlText w:val=""/>
      <w:lvlJc w:val="left"/>
      <w:pPr>
        <w:ind w:left="1440" w:hanging="360"/>
      </w:pPr>
      <w:rPr>
        <w:rFonts w:ascii="Symbol" w:hAnsi="Symbol" w:hint="default"/>
      </w:rPr>
    </w:lvl>
    <w:lvl w:ilvl="1" w:tplc="04410003" w:tentative="1">
      <w:start w:val="1"/>
      <w:numFmt w:val="bullet"/>
      <w:lvlText w:val="o"/>
      <w:lvlJc w:val="left"/>
      <w:pPr>
        <w:ind w:left="2160" w:hanging="360"/>
      </w:pPr>
      <w:rPr>
        <w:rFonts w:ascii="Courier New" w:hAnsi="Courier New" w:cs="Courier New" w:hint="default"/>
      </w:rPr>
    </w:lvl>
    <w:lvl w:ilvl="2" w:tplc="04410005" w:tentative="1">
      <w:start w:val="1"/>
      <w:numFmt w:val="bullet"/>
      <w:lvlText w:val=""/>
      <w:lvlJc w:val="left"/>
      <w:pPr>
        <w:ind w:left="2880" w:hanging="360"/>
      </w:pPr>
      <w:rPr>
        <w:rFonts w:ascii="Wingdings" w:hAnsi="Wingdings" w:hint="default"/>
      </w:rPr>
    </w:lvl>
    <w:lvl w:ilvl="3" w:tplc="04410001" w:tentative="1">
      <w:start w:val="1"/>
      <w:numFmt w:val="bullet"/>
      <w:lvlText w:val=""/>
      <w:lvlJc w:val="left"/>
      <w:pPr>
        <w:ind w:left="3600" w:hanging="360"/>
      </w:pPr>
      <w:rPr>
        <w:rFonts w:ascii="Symbol" w:hAnsi="Symbol" w:hint="default"/>
      </w:rPr>
    </w:lvl>
    <w:lvl w:ilvl="4" w:tplc="04410003" w:tentative="1">
      <w:start w:val="1"/>
      <w:numFmt w:val="bullet"/>
      <w:lvlText w:val="o"/>
      <w:lvlJc w:val="left"/>
      <w:pPr>
        <w:ind w:left="4320" w:hanging="360"/>
      </w:pPr>
      <w:rPr>
        <w:rFonts w:ascii="Courier New" w:hAnsi="Courier New" w:cs="Courier New" w:hint="default"/>
      </w:rPr>
    </w:lvl>
    <w:lvl w:ilvl="5" w:tplc="04410005" w:tentative="1">
      <w:start w:val="1"/>
      <w:numFmt w:val="bullet"/>
      <w:lvlText w:val=""/>
      <w:lvlJc w:val="left"/>
      <w:pPr>
        <w:ind w:left="5040" w:hanging="360"/>
      </w:pPr>
      <w:rPr>
        <w:rFonts w:ascii="Wingdings" w:hAnsi="Wingdings" w:hint="default"/>
      </w:rPr>
    </w:lvl>
    <w:lvl w:ilvl="6" w:tplc="04410001" w:tentative="1">
      <w:start w:val="1"/>
      <w:numFmt w:val="bullet"/>
      <w:lvlText w:val=""/>
      <w:lvlJc w:val="left"/>
      <w:pPr>
        <w:ind w:left="5760" w:hanging="360"/>
      </w:pPr>
      <w:rPr>
        <w:rFonts w:ascii="Symbol" w:hAnsi="Symbol" w:hint="default"/>
      </w:rPr>
    </w:lvl>
    <w:lvl w:ilvl="7" w:tplc="04410003" w:tentative="1">
      <w:start w:val="1"/>
      <w:numFmt w:val="bullet"/>
      <w:lvlText w:val="o"/>
      <w:lvlJc w:val="left"/>
      <w:pPr>
        <w:ind w:left="6480" w:hanging="360"/>
      </w:pPr>
      <w:rPr>
        <w:rFonts w:ascii="Courier New" w:hAnsi="Courier New" w:cs="Courier New" w:hint="default"/>
      </w:rPr>
    </w:lvl>
    <w:lvl w:ilvl="8" w:tplc="04410005" w:tentative="1">
      <w:start w:val="1"/>
      <w:numFmt w:val="bullet"/>
      <w:lvlText w:val=""/>
      <w:lvlJc w:val="left"/>
      <w:pPr>
        <w:ind w:left="7200" w:hanging="360"/>
      </w:pPr>
      <w:rPr>
        <w:rFonts w:ascii="Wingdings" w:hAnsi="Wingdings" w:hint="default"/>
      </w:rPr>
    </w:lvl>
  </w:abstractNum>
  <w:abstractNum w:abstractNumId="6">
    <w:nsid w:val="62BE54D2"/>
    <w:multiLevelType w:val="multilevel"/>
    <w:tmpl w:val="83F6E798"/>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EAB334B"/>
    <w:multiLevelType w:val="hybridMultilevel"/>
    <w:tmpl w:val="886C01C8"/>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2"/>
  </w:num>
  <w:num w:numId="6">
    <w:abstractNumId w:val="3"/>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useFELayout/>
  </w:compat>
  <w:rsids>
    <w:rsidRoot w:val="008B476E"/>
    <w:rsid w:val="0003517E"/>
    <w:rsid w:val="000F072E"/>
    <w:rsid w:val="00182C9E"/>
    <w:rsid w:val="001D6B7F"/>
    <w:rsid w:val="001F4D20"/>
    <w:rsid w:val="002B735C"/>
    <w:rsid w:val="003023D1"/>
    <w:rsid w:val="003164A1"/>
    <w:rsid w:val="00391058"/>
    <w:rsid w:val="003C0A2F"/>
    <w:rsid w:val="003F02F7"/>
    <w:rsid w:val="00476CCF"/>
    <w:rsid w:val="00695CAF"/>
    <w:rsid w:val="006F141C"/>
    <w:rsid w:val="007133DF"/>
    <w:rsid w:val="00793C68"/>
    <w:rsid w:val="007E41FD"/>
    <w:rsid w:val="00852DA6"/>
    <w:rsid w:val="008813FC"/>
    <w:rsid w:val="00891BC5"/>
    <w:rsid w:val="008B476E"/>
    <w:rsid w:val="008E2768"/>
    <w:rsid w:val="00935D96"/>
    <w:rsid w:val="009949BD"/>
    <w:rsid w:val="009A394C"/>
    <w:rsid w:val="00A22CE3"/>
    <w:rsid w:val="00A34D8A"/>
    <w:rsid w:val="00A93ED5"/>
    <w:rsid w:val="00A97EC9"/>
    <w:rsid w:val="00AA3003"/>
    <w:rsid w:val="00AC076E"/>
    <w:rsid w:val="00B7143E"/>
    <w:rsid w:val="00CE2207"/>
    <w:rsid w:val="00D70155"/>
    <w:rsid w:val="00D81031"/>
    <w:rsid w:val="00E26521"/>
    <w:rsid w:val="00E40F46"/>
    <w:rsid w:val="00E55B54"/>
    <w:rsid w:val="00E65C93"/>
    <w:rsid w:val="00EB4DDC"/>
    <w:rsid w:val="00ED5D85"/>
    <w:rsid w:val="00F54A54"/>
    <w:rsid w:val="00F8700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w-KE" w:eastAsia="sw-K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4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76E"/>
    <w:pPr>
      <w:ind w:left="720"/>
      <w:contextualSpacing/>
    </w:pPr>
  </w:style>
  <w:style w:type="table" w:styleId="TableGrid">
    <w:name w:val="Table Grid"/>
    <w:basedOn w:val="TableNormal"/>
    <w:uiPriority w:val="59"/>
    <w:rsid w:val="001F4D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616</TotalTime>
  <Pages>1</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29</cp:revision>
  <dcterms:created xsi:type="dcterms:W3CDTF">2010-07-04T18:11:00Z</dcterms:created>
  <dcterms:modified xsi:type="dcterms:W3CDTF">2010-10-20T15:25:00Z</dcterms:modified>
</cp:coreProperties>
</file>