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6A6" w:rsidRDefault="00F966A6" w:rsidP="00F966A6">
      <w:pPr>
        <w:pStyle w:val="Subtitle"/>
      </w:pPr>
      <w:r>
        <w:t>SECTION B</w:t>
      </w:r>
    </w:p>
    <w:p w:rsidR="000222B8" w:rsidRPr="00FE0B18" w:rsidRDefault="000222B8" w:rsidP="000222B8">
      <w:pPr>
        <w:pStyle w:val="ListParagraph"/>
        <w:numPr>
          <w:ilvl w:val="8"/>
          <w:numId w:val="1"/>
        </w:numPr>
        <w:ind w:left="0" w:firstLine="0"/>
        <w:rPr>
          <w:rFonts w:ascii="Arial" w:hAnsi="Arial" w:cs="Arial"/>
          <w:sz w:val="20"/>
          <w:szCs w:val="20"/>
        </w:rPr>
      </w:pPr>
      <w:r w:rsidRPr="00FE0B18">
        <w:rPr>
          <w:rFonts w:ascii="Arial" w:hAnsi="Arial" w:cs="Arial"/>
          <w:sz w:val="20"/>
          <w:szCs w:val="20"/>
        </w:rPr>
        <w:t>List SIX components that comprise a complete set of financial statements (6 marks).</w:t>
      </w:r>
    </w:p>
    <w:p w:rsidR="000222B8" w:rsidRPr="00FE0B18" w:rsidRDefault="000222B8" w:rsidP="000222B8">
      <w:pPr>
        <w:pStyle w:val="ListParagraph"/>
        <w:ind w:left="0"/>
        <w:rPr>
          <w:rFonts w:ascii="Arial" w:hAnsi="Arial" w:cs="Arial"/>
          <w:sz w:val="20"/>
          <w:szCs w:val="20"/>
        </w:rPr>
      </w:pPr>
    </w:p>
    <w:p w:rsidR="000222B8" w:rsidRPr="00FE0B18" w:rsidRDefault="000222B8" w:rsidP="000222B8">
      <w:pPr>
        <w:pStyle w:val="ListParagraph"/>
        <w:autoSpaceDE w:val="0"/>
        <w:autoSpaceDN w:val="0"/>
        <w:adjustRightInd w:val="0"/>
        <w:spacing w:after="0" w:line="240" w:lineRule="auto"/>
        <w:jc w:val="both"/>
        <w:rPr>
          <w:rFonts w:ascii="Arial" w:hAnsi="Arial" w:cs="Arial"/>
          <w:b/>
          <w:i/>
          <w:color w:val="000000" w:themeColor="text1"/>
          <w:sz w:val="20"/>
          <w:szCs w:val="20"/>
        </w:rPr>
      </w:pPr>
      <w:r w:rsidRPr="00FE0B18">
        <w:rPr>
          <w:rFonts w:ascii="Arial" w:hAnsi="Arial" w:cs="Arial"/>
          <w:b/>
          <w:color w:val="000000" w:themeColor="text1"/>
          <w:sz w:val="20"/>
          <w:szCs w:val="20"/>
        </w:rPr>
        <w:t>a)</w:t>
      </w:r>
      <w:r w:rsidRPr="00FE0B18">
        <w:rPr>
          <w:rFonts w:ascii="Arial" w:hAnsi="Arial" w:cs="Arial"/>
          <w:color w:val="000000" w:themeColor="text1"/>
          <w:sz w:val="20"/>
          <w:szCs w:val="20"/>
        </w:rPr>
        <w:t xml:space="preserve"> </w:t>
      </w:r>
      <w:r w:rsidRPr="00FE0B18">
        <w:rPr>
          <w:rFonts w:ascii="Arial" w:hAnsi="Arial" w:cs="Arial"/>
          <w:b/>
          <w:i/>
          <w:color w:val="000000" w:themeColor="text1"/>
          <w:sz w:val="20"/>
          <w:szCs w:val="20"/>
        </w:rPr>
        <w:t>statement of financial position as at the end of the period; (Formerly, the BALANCE SHEET)</w:t>
      </w:r>
    </w:p>
    <w:p w:rsidR="000222B8" w:rsidRPr="00FE0B18" w:rsidRDefault="000222B8" w:rsidP="000222B8">
      <w:pPr>
        <w:pStyle w:val="ListParagraph"/>
        <w:autoSpaceDE w:val="0"/>
        <w:autoSpaceDN w:val="0"/>
        <w:adjustRightInd w:val="0"/>
        <w:spacing w:after="0" w:line="240" w:lineRule="auto"/>
        <w:jc w:val="both"/>
        <w:rPr>
          <w:rFonts w:ascii="Arial" w:hAnsi="Arial" w:cs="Arial"/>
          <w:b/>
          <w:i/>
          <w:color w:val="000000" w:themeColor="text1"/>
          <w:sz w:val="20"/>
          <w:szCs w:val="20"/>
        </w:rPr>
      </w:pPr>
    </w:p>
    <w:p w:rsidR="000222B8" w:rsidRPr="00FE0B18" w:rsidRDefault="000222B8" w:rsidP="000222B8">
      <w:pPr>
        <w:pStyle w:val="ListParagraph"/>
        <w:autoSpaceDE w:val="0"/>
        <w:autoSpaceDN w:val="0"/>
        <w:adjustRightInd w:val="0"/>
        <w:spacing w:after="0" w:line="240" w:lineRule="auto"/>
        <w:jc w:val="both"/>
        <w:rPr>
          <w:rFonts w:ascii="Arial" w:hAnsi="Arial" w:cs="Arial"/>
          <w:b/>
          <w:i/>
          <w:color w:val="000000" w:themeColor="text1"/>
          <w:sz w:val="20"/>
          <w:szCs w:val="20"/>
        </w:rPr>
      </w:pPr>
      <w:r w:rsidRPr="00FE0B18">
        <w:rPr>
          <w:rFonts w:ascii="Arial" w:hAnsi="Arial" w:cs="Arial"/>
          <w:b/>
          <w:i/>
          <w:color w:val="000000" w:themeColor="text1"/>
          <w:sz w:val="20"/>
          <w:szCs w:val="20"/>
        </w:rPr>
        <w:t>b) a statement of comprehensive income for the period;</w:t>
      </w:r>
    </w:p>
    <w:p w:rsidR="000222B8" w:rsidRPr="00FE0B18" w:rsidRDefault="000222B8" w:rsidP="000222B8">
      <w:pPr>
        <w:pStyle w:val="ListParagraph"/>
        <w:autoSpaceDE w:val="0"/>
        <w:autoSpaceDN w:val="0"/>
        <w:adjustRightInd w:val="0"/>
        <w:spacing w:after="0" w:line="240" w:lineRule="auto"/>
        <w:jc w:val="both"/>
        <w:rPr>
          <w:rFonts w:ascii="Arial" w:hAnsi="Arial" w:cs="Arial"/>
          <w:b/>
          <w:i/>
          <w:color w:val="000000" w:themeColor="text1"/>
          <w:sz w:val="20"/>
          <w:szCs w:val="20"/>
        </w:rPr>
      </w:pPr>
    </w:p>
    <w:p w:rsidR="000222B8" w:rsidRPr="00FE0B18" w:rsidRDefault="000222B8" w:rsidP="000222B8">
      <w:pPr>
        <w:pStyle w:val="ListParagraph"/>
        <w:autoSpaceDE w:val="0"/>
        <w:autoSpaceDN w:val="0"/>
        <w:adjustRightInd w:val="0"/>
        <w:spacing w:after="0" w:line="240" w:lineRule="auto"/>
        <w:jc w:val="both"/>
        <w:rPr>
          <w:rFonts w:ascii="Arial" w:hAnsi="Arial" w:cs="Arial"/>
          <w:b/>
          <w:i/>
          <w:color w:val="000000" w:themeColor="text1"/>
          <w:sz w:val="20"/>
          <w:szCs w:val="20"/>
        </w:rPr>
      </w:pPr>
      <w:r w:rsidRPr="00FE0B18">
        <w:rPr>
          <w:rFonts w:ascii="Arial" w:hAnsi="Arial" w:cs="Arial"/>
          <w:b/>
          <w:i/>
          <w:color w:val="000000" w:themeColor="text1"/>
          <w:sz w:val="20"/>
          <w:szCs w:val="20"/>
        </w:rPr>
        <w:t>c) a statement of changes in equity for the period:</w:t>
      </w:r>
    </w:p>
    <w:p w:rsidR="000222B8" w:rsidRPr="00FE0B18" w:rsidRDefault="000222B8" w:rsidP="000222B8">
      <w:pPr>
        <w:pStyle w:val="ListParagraph"/>
        <w:autoSpaceDE w:val="0"/>
        <w:autoSpaceDN w:val="0"/>
        <w:adjustRightInd w:val="0"/>
        <w:spacing w:after="0" w:line="240" w:lineRule="auto"/>
        <w:jc w:val="both"/>
        <w:rPr>
          <w:rFonts w:ascii="Arial" w:hAnsi="Arial" w:cs="Arial"/>
          <w:b/>
          <w:i/>
          <w:color w:val="000000" w:themeColor="text1"/>
          <w:sz w:val="20"/>
          <w:szCs w:val="20"/>
        </w:rPr>
      </w:pPr>
    </w:p>
    <w:p w:rsidR="000222B8" w:rsidRPr="00FE0B18" w:rsidRDefault="000222B8" w:rsidP="000222B8">
      <w:pPr>
        <w:pStyle w:val="ListParagraph"/>
        <w:autoSpaceDE w:val="0"/>
        <w:autoSpaceDN w:val="0"/>
        <w:adjustRightInd w:val="0"/>
        <w:spacing w:after="0" w:line="240" w:lineRule="auto"/>
        <w:jc w:val="both"/>
        <w:rPr>
          <w:rFonts w:ascii="Arial" w:hAnsi="Arial" w:cs="Arial"/>
          <w:b/>
          <w:i/>
          <w:color w:val="000000" w:themeColor="text1"/>
          <w:sz w:val="20"/>
          <w:szCs w:val="20"/>
        </w:rPr>
      </w:pPr>
      <w:r w:rsidRPr="00FE0B18">
        <w:rPr>
          <w:rFonts w:ascii="Arial" w:hAnsi="Arial" w:cs="Arial"/>
          <w:b/>
          <w:i/>
          <w:color w:val="000000" w:themeColor="text1"/>
          <w:sz w:val="20"/>
          <w:szCs w:val="20"/>
        </w:rPr>
        <w:t>d) a statement of cash flows for the period;</w:t>
      </w:r>
    </w:p>
    <w:p w:rsidR="000222B8" w:rsidRPr="00FE0B18" w:rsidRDefault="000222B8" w:rsidP="000222B8">
      <w:pPr>
        <w:pStyle w:val="ListParagraph"/>
        <w:autoSpaceDE w:val="0"/>
        <w:autoSpaceDN w:val="0"/>
        <w:adjustRightInd w:val="0"/>
        <w:spacing w:after="0" w:line="240" w:lineRule="auto"/>
        <w:jc w:val="both"/>
        <w:rPr>
          <w:rFonts w:ascii="Arial" w:hAnsi="Arial" w:cs="Arial"/>
          <w:b/>
          <w:i/>
          <w:color w:val="000000" w:themeColor="text1"/>
          <w:sz w:val="20"/>
          <w:szCs w:val="20"/>
        </w:rPr>
      </w:pPr>
    </w:p>
    <w:p w:rsidR="000222B8" w:rsidRPr="00FE0B18" w:rsidRDefault="000222B8" w:rsidP="000222B8">
      <w:pPr>
        <w:pStyle w:val="ListParagraph"/>
        <w:autoSpaceDE w:val="0"/>
        <w:autoSpaceDN w:val="0"/>
        <w:adjustRightInd w:val="0"/>
        <w:spacing w:after="0" w:line="240" w:lineRule="auto"/>
        <w:jc w:val="both"/>
        <w:rPr>
          <w:rFonts w:ascii="Arial" w:hAnsi="Arial" w:cs="Arial"/>
          <w:b/>
          <w:i/>
          <w:color w:val="000000" w:themeColor="text1"/>
          <w:sz w:val="20"/>
          <w:szCs w:val="20"/>
        </w:rPr>
      </w:pPr>
      <w:r w:rsidRPr="00FE0B18">
        <w:rPr>
          <w:rFonts w:ascii="Arial" w:hAnsi="Arial" w:cs="Arial"/>
          <w:b/>
          <w:i/>
          <w:color w:val="000000" w:themeColor="text1"/>
          <w:sz w:val="20"/>
          <w:szCs w:val="20"/>
        </w:rPr>
        <w:t>e) notes, comprising a summary of significant accounting policies and other explanatory information; and</w:t>
      </w:r>
    </w:p>
    <w:p w:rsidR="000222B8" w:rsidRPr="00FE0B18" w:rsidRDefault="000222B8" w:rsidP="000222B8">
      <w:pPr>
        <w:pStyle w:val="ListParagraph"/>
        <w:autoSpaceDE w:val="0"/>
        <w:autoSpaceDN w:val="0"/>
        <w:adjustRightInd w:val="0"/>
        <w:spacing w:after="0" w:line="240" w:lineRule="auto"/>
        <w:jc w:val="both"/>
        <w:rPr>
          <w:rFonts w:ascii="Arial" w:hAnsi="Arial" w:cs="Arial"/>
          <w:b/>
          <w:i/>
          <w:color w:val="000000" w:themeColor="text1"/>
          <w:sz w:val="20"/>
          <w:szCs w:val="20"/>
        </w:rPr>
      </w:pPr>
    </w:p>
    <w:p w:rsidR="000222B8" w:rsidRPr="00FE0B18" w:rsidRDefault="000222B8" w:rsidP="000222B8">
      <w:pPr>
        <w:pStyle w:val="ListParagraph"/>
        <w:autoSpaceDE w:val="0"/>
        <w:autoSpaceDN w:val="0"/>
        <w:adjustRightInd w:val="0"/>
        <w:spacing w:after="0" w:line="240" w:lineRule="auto"/>
        <w:jc w:val="both"/>
        <w:rPr>
          <w:rFonts w:ascii="Arial" w:hAnsi="Arial" w:cs="Arial"/>
          <w:b/>
          <w:i/>
          <w:color w:val="000000" w:themeColor="text1"/>
          <w:sz w:val="20"/>
          <w:szCs w:val="20"/>
        </w:rPr>
      </w:pPr>
      <w:r w:rsidRPr="00FE0B18">
        <w:rPr>
          <w:rFonts w:ascii="Arial" w:hAnsi="Arial" w:cs="Arial"/>
          <w:b/>
          <w:i/>
          <w:color w:val="000000" w:themeColor="text1"/>
          <w:sz w:val="20"/>
          <w:szCs w:val="20"/>
        </w:rPr>
        <w:t>f) a statement of financial position as at the beginning of the earliest comparative period when an entity applies an accounting policy retrospectively or makes a retrospective restatement of items in its financial statements, or when it reclassifies items in its financial statements.</w:t>
      </w:r>
    </w:p>
    <w:p w:rsidR="000222B8" w:rsidRPr="00FE0B18" w:rsidRDefault="000222B8" w:rsidP="000222B8">
      <w:pPr>
        <w:pStyle w:val="ListParagraph"/>
        <w:autoSpaceDE w:val="0"/>
        <w:autoSpaceDN w:val="0"/>
        <w:adjustRightInd w:val="0"/>
        <w:spacing w:after="0" w:line="240" w:lineRule="auto"/>
        <w:jc w:val="both"/>
        <w:rPr>
          <w:rFonts w:ascii="Arial" w:hAnsi="Arial" w:cs="Arial"/>
          <w:color w:val="000000" w:themeColor="text1"/>
          <w:sz w:val="20"/>
          <w:szCs w:val="20"/>
        </w:rPr>
      </w:pPr>
    </w:p>
    <w:p w:rsidR="000222B8" w:rsidRPr="00FE0B18" w:rsidRDefault="000222B8" w:rsidP="000222B8">
      <w:pPr>
        <w:pStyle w:val="ListParagraph"/>
        <w:numPr>
          <w:ilvl w:val="8"/>
          <w:numId w:val="1"/>
        </w:numPr>
        <w:ind w:left="0" w:firstLine="0"/>
        <w:rPr>
          <w:rFonts w:ascii="Arial" w:hAnsi="Arial" w:cs="Arial"/>
          <w:sz w:val="20"/>
          <w:szCs w:val="20"/>
        </w:rPr>
      </w:pPr>
      <w:r w:rsidRPr="00FE0B18">
        <w:rPr>
          <w:rFonts w:ascii="Arial" w:hAnsi="Arial" w:cs="Arial"/>
          <w:sz w:val="20"/>
          <w:szCs w:val="20"/>
        </w:rPr>
        <w:t>Explain what is meant by faithful representation and how it enhances reliability. (6 marks)</w:t>
      </w:r>
    </w:p>
    <w:p w:rsidR="00F11C2A" w:rsidRPr="00FE0B18" w:rsidRDefault="00F11C2A" w:rsidP="00F11C2A">
      <w:pPr>
        <w:pStyle w:val="ListParagraph"/>
        <w:autoSpaceDE w:val="0"/>
        <w:autoSpaceDN w:val="0"/>
        <w:adjustRightInd w:val="0"/>
        <w:spacing w:after="0" w:line="240" w:lineRule="auto"/>
        <w:jc w:val="both"/>
        <w:rPr>
          <w:rFonts w:ascii="Arial" w:hAnsi="Arial" w:cs="Arial"/>
          <w:color w:val="000000" w:themeColor="text1"/>
          <w:sz w:val="20"/>
          <w:szCs w:val="20"/>
        </w:rPr>
      </w:pPr>
      <w:r w:rsidRPr="00FE0B18">
        <w:rPr>
          <w:rFonts w:ascii="Arial" w:hAnsi="Arial" w:cs="Arial"/>
          <w:color w:val="000000" w:themeColor="text1"/>
          <w:sz w:val="20"/>
          <w:szCs w:val="20"/>
        </w:rPr>
        <w:t>The financial statements shall present fairly the financial position, financial performance and cash flows of the entity.</w:t>
      </w:r>
    </w:p>
    <w:p w:rsidR="00F11C2A" w:rsidRPr="00FE0B18" w:rsidRDefault="00F11C2A" w:rsidP="00F11C2A">
      <w:pPr>
        <w:pStyle w:val="ListParagraph"/>
        <w:autoSpaceDE w:val="0"/>
        <w:autoSpaceDN w:val="0"/>
        <w:adjustRightInd w:val="0"/>
        <w:spacing w:after="0" w:line="240" w:lineRule="auto"/>
        <w:jc w:val="both"/>
        <w:rPr>
          <w:rFonts w:ascii="Arial" w:hAnsi="Arial" w:cs="Arial"/>
          <w:iCs/>
          <w:color w:val="000000" w:themeColor="text1"/>
          <w:sz w:val="20"/>
          <w:szCs w:val="20"/>
        </w:rPr>
      </w:pPr>
    </w:p>
    <w:p w:rsidR="00F11C2A" w:rsidRPr="00FE0B18" w:rsidRDefault="00F11C2A" w:rsidP="00F11C2A">
      <w:pPr>
        <w:pStyle w:val="ListParagraph"/>
        <w:autoSpaceDE w:val="0"/>
        <w:autoSpaceDN w:val="0"/>
        <w:adjustRightInd w:val="0"/>
        <w:spacing w:after="0" w:line="240" w:lineRule="auto"/>
        <w:jc w:val="both"/>
        <w:rPr>
          <w:rFonts w:ascii="Arial" w:hAnsi="Arial" w:cs="Arial"/>
          <w:b/>
          <w:i/>
          <w:color w:val="000000" w:themeColor="text1"/>
          <w:sz w:val="20"/>
          <w:szCs w:val="20"/>
        </w:rPr>
      </w:pPr>
      <w:r w:rsidRPr="00FE0B18">
        <w:rPr>
          <w:rFonts w:ascii="Arial" w:hAnsi="Arial" w:cs="Arial"/>
          <w:b/>
          <w:i/>
          <w:color w:val="000000" w:themeColor="text1"/>
          <w:sz w:val="20"/>
          <w:szCs w:val="20"/>
        </w:rPr>
        <w:t>Fair presentation requires the faithful representation of the effects of transactions, other events and conditions, in accordance with the definitions and recognition criteria for assets, liabilities, income and expenses set out in the Framework for the Preparation and Presentation of Financial Statements (the Framework). The application of IFRSs, with additional disclosure when necessary, is presumed to result in financial statements that achieve a fair presentation.</w:t>
      </w:r>
    </w:p>
    <w:p w:rsidR="00F11C2A" w:rsidRPr="00FE0B18" w:rsidRDefault="00F11C2A" w:rsidP="00F11C2A">
      <w:pPr>
        <w:pStyle w:val="ListParagraph"/>
        <w:autoSpaceDE w:val="0"/>
        <w:autoSpaceDN w:val="0"/>
        <w:adjustRightInd w:val="0"/>
        <w:spacing w:after="0" w:line="240" w:lineRule="auto"/>
        <w:jc w:val="both"/>
        <w:rPr>
          <w:rFonts w:ascii="Arial" w:hAnsi="Arial" w:cs="Arial"/>
          <w:b/>
          <w:i/>
          <w:color w:val="000000" w:themeColor="text1"/>
          <w:sz w:val="20"/>
          <w:szCs w:val="20"/>
        </w:rPr>
      </w:pPr>
      <w:r w:rsidRPr="00FE0B18">
        <w:rPr>
          <w:rFonts w:ascii="Arial" w:hAnsi="Arial" w:cs="Arial"/>
          <w:b/>
          <w:i/>
          <w:color w:val="000000" w:themeColor="text1"/>
          <w:sz w:val="20"/>
          <w:szCs w:val="20"/>
        </w:rPr>
        <w:t xml:space="preserve">In virtually all circumstances, an entity achieves a fair presentation by compliance with applicable IFRSs. </w:t>
      </w:r>
    </w:p>
    <w:p w:rsidR="00F11C2A" w:rsidRPr="00FE0B18" w:rsidRDefault="00F11C2A" w:rsidP="00F11C2A">
      <w:pPr>
        <w:pStyle w:val="ListParagraph"/>
        <w:autoSpaceDE w:val="0"/>
        <w:autoSpaceDN w:val="0"/>
        <w:adjustRightInd w:val="0"/>
        <w:spacing w:after="0" w:line="240" w:lineRule="auto"/>
        <w:jc w:val="both"/>
        <w:rPr>
          <w:rFonts w:ascii="Arial" w:hAnsi="Arial" w:cs="Arial"/>
          <w:b/>
          <w:i/>
          <w:color w:val="000000" w:themeColor="text1"/>
          <w:sz w:val="20"/>
          <w:szCs w:val="20"/>
        </w:rPr>
      </w:pPr>
    </w:p>
    <w:p w:rsidR="00F11C2A" w:rsidRPr="00FE0B18" w:rsidRDefault="00F11C2A" w:rsidP="00F11C2A">
      <w:pPr>
        <w:pStyle w:val="ListParagraph"/>
        <w:autoSpaceDE w:val="0"/>
        <w:autoSpaceDN w:val="0"/>
        <w:adjustRightInd w:val="0"/>
        <w:spacing w:after="0" w:line="240" w:lineRule="auto"/>
        <w:jc w:val="both"/>
        <w:rPr>
          <w:rFonts w:ascii="Arial" w:hAnsi="Arial" w:cs="Arial"/>
          <w:b/>
          <w:i/>
          <w:color w:val="000000" w:themeColor="text1"/>
          <w:sz w:val="20"/>
          <w:szCs w:val="20"/>
        </w:rPr>
      </w:pPr>
      <w:r w:rsidRPr="00FE0B18">
        <w:rPr>
          <w:rFonts w:ascii="Arial" w:hAnsi="Arial" w:cs="Arial"/>
          <w:b/>
          <w:i/>
          <w:color w:val="000000" w:themeColor="text1"/>
          <w:sz w:val="20"/>
          <w:szCs w:val="20"/>
        </w:rPr>
        <w:t>A fair presentation also requires an entity:</w:t>
      </w:r>
    </w:p>
    <w:p w:rsidR="00F11C2A" w:rsidRPr="00FE0B18" w:rsidRDefault="00F11C2A" w:rsidP="00F11C2A">
      <w:pPr>
        <w:pStyle w:val="ListParagraph"/>
        <w:autoSpaceDE w:val="0"/>
        <w:autoSpaceDN w:val="0"/>
        <w:adjustRightInd w:val="0"/>
        <w:spacing w:after="0" w:line="240" w:lineRule="auto"/>
        <w:jc w:val="both"/>
        <w:rPr>
          <w:rFonts w:ascii="Arial" w:hAnsi="Arial" w:cs="Arial"/>
          <w:b/>
          <w:i/>
          <w:color w:val="000000" w:themeColor="text1"/>
          <w:sz w:val="20"/>
          <w:szCs w:val="20"/>
        </w:rPr>
      </w:pPr>
      <w:r w:rsidRPr="00FE0B18">
        <w:rPr>
          <w:rFonts w:ascii="Arial" w:hAnsi="Arial" w:cs="Arial"/>
          <w:b/>
          <w:i/>
          <w:color w:val="000000" w:themeColor="text1"/>
          <w:sz w:val="20"/>
          <w:szCs w:val="20"/>
        </w:rPr>
        <w:t>• to select and apply accounting policies in accordance with IAS 8, Accounting Policies, Changes in Accounting Estimates and Errors, which sets out a hierarchy of authoritative guidance that management considers in the absence of an IFRS that specifically applies to an item;</w:t>
      </w:r>
    </w:p>
    <w:p w:rsidR="00F11C2A" w:rsidRPr="00FE0B18" w:rsidRDefault="00F11C2A" w:rsidP="00F11C2A">
      <w:pPr>
        <w:pStyle w:val="ListParagraph"/>
        <w:autoSpaceDE w:val="0"/>
        <w:autoSpaceDN w:val="0"/>
        <w:adjustRightInd w:val="0"/>
        <w:spacing w:after="0" w:line="240" w:lineRule="auto"/>
        <w:jc w:val="both"/>
        <w:rPr>
          <w:rFonts w:ascii="Arial" w:hAnsi="Arial" w:cs="Arial"/>
          <w:b/>
          <w:i/>
          <w:color w:val="000000" w:themeColor="text1"/>
          <w:sz w:val="20"/>
          <w:szCs w:val="20"/>
        </w:rPr>
      </w:pPr>
      <w:r w:rsidRPr="00FE0B18">
        <w:rPr>
          <w:rFonts w:ascii="Arial" w:hAnsi="Arial" w:cs="Arial"/>
          <w:b/>
          <w:i/>
          <w:color w:val="000000" w:themeColor="text1"/>
          <w:sz w:val="20"/>
          <w:szCs w:val="20"/>
        </w:rPr>
        <w:t>• to present information, including accounting policies, in a manner that provides relevant, reliable, comparable and understandable information; and</w:t>
      </w:r>
    </w:p>
    <w:p w:rsidR="00F11C2A" w:rsidRPr="00FE0B18" w:rsidRDefault="00F11C2A" w:rsidP="00F11C2A">
      <w:pPr>
        <w:pStyle w:val="ListParagraph"/>
        <w:autoSpaceDE w:val="0"/>
        <w:autoSpaceDN w:val="0"/>
        <w:adjustRightInd w:val="0"/>
        <w:spacing w:after="0" w:line="240" w:lineRule="auto"/>
        <w:jc w:val="both"/>
        <w:rPr>
          <w:rFonts w:ascii="Arial" w:hAnsi="Arial" w:cs="Arial"/>
          <w:b/>
          <w:i/>
          <w:color w:val="000000" w:themeColor="text1"/>
          <w:sz w:val="20"/>
          <w:szCs w:val="20"/>
        </w:rPr>
      </w:pPr>
      <w:r w:rsidRPr="00FE0B18">
        <w:rPr>
          <w:rFonts w:ascii="Arial" w:hAnsi="Arial" w:cs="Arial"/>
          <w:b/>
          <w:i/>
          <w:color w:val="000000" w:themeColor="text1"/>
          <w:sz w:val="20"/>
          <w:szCs w:val="20"/>
        </w:rPr>
        <w:t>• to provide additional disclosures when compliance with the specific requirements in IFRSs is insufficient to enable users to understand the impact of particular transactions, other events and conditions on the entity’s financial position and financial performance.</w:t>
      </w:r>
    </w:p>
    <w:p w:rsidR="00F11C2A" w:rsidRPr="00FE0B18" w:rsidRDefault="00F11C2A" w:rsidP="00F11C2A">
      <w:pPr>
        <w:pStyle w:val="ListParagraph"/>
        <w:ind w:left="0"/>
        <w:rPr>
          <w:rFonts w:ascii="Arial" w:hAnsi="Arial" w:cs="Arial"/>
          <w:sz w:val="20"/>
          <w:szCs w:val="20"/>
        </w:rPr>
      </w:pPr>
    </w:p>
    <w:p w:rsidR="000222B8" w:rsidRPr="00FE0B18" w:rsidRDefault="000222B8" w:rsidP="000222B8">
      <w:pPr>
        <w:pStyle w:val="ListParagraph"/>
        <w:numPr>
          <w:ilvl w:val="8"/>
          <w:numId w:val="1"/>
        </w:numPr>
        <w:ind w:left="0" w:firstLine="0"/>
        <w:rPr>
          <w:rFonts w:ascii="Arial" w:hAnsi="Arial" w:cs="Arial"/>
          <w:sz w:val="20"/>
          <w:szCs w:val="20"/>
        </w:rPr>
      </w:pPr>
      <w:r w:rsidRPr="00FE0B18">
        <w:rPr>
          <w:rFonts w:ascii="Arial" w:hAnsi="Arial" w:cs="Arial"/>
          <w:sz w:val="20"/>
          <w:szCs w:val="20"/>
        </w:rPr>
        <w:t>Discuss what is meant by consistency of presentation, and conditions under which the     classification and representation of items in financial statements may be changed. (8 marks).</w:t>
      </w:r>
    </w:p>
    <w:p w:rsidR="00947DFD" w:rsidRPr="00FE0B18" w:rsidRDefault="00947DFD" w:rsidP="00947DFD">
      <w:pPr>
        <w:pStyle w:val="ListParagraph"/>
        <w:autoSpaceDE w:val="0"/>
        <w:autoSpaceDN w:val="0"/>
        <w:adjustRightInd w:val="0"/>
        <w:spacing w:after="0" w:line="240" w:lineRule="auto"/>
        <w:jc w:val="both"/>
        <w:rPr>
          <w:rFonts w:ascii="Arial" w:hAnsi="Arial" w:cs="Arial"/>
          <w:b/>
          <w:i/>
          <w:color w:val="000000" w:themeColor="text1"/>
          <w:sz w:val="20"/>
          <w:szCs w:val="20"/>
        </w:rPr>
      </w:pPr>
      <w:r w:rsidRPr="00FE0B18">
        <w:rPr>
          <w:rFonts w:ascii="Arial" w:hAnsi="Arial" w:cs="Arial"/>
          <w:b/>
          <w:i/>
          <w:color w:val="000000" w:themeColor="text1"/>
          <w:sz w:val="20"/>
          <w:szCs w:val="20"/>
        </w:rPr>
        <w:t>An entity shall retain the presentation and classification of items in the financial statements from one period to the next, unless:</w:t>
      </w:r>
    </w:p>
    <w:p w:rsidR="00947DFD" w:rsidRPr="00FE0B18" w:rsidRDefault="00947DFD" w:rsidP="00947DFD">
      <w:pPr>
        <w:pStyle w:val="ListParagraph"/>
        <w:autoSpaceDE w:val="0"/>
        <w:autoSpaceDN w:val="0"/>
        <w:adjustRightInd w:val="0"/>
        <w:spacing w:after="0" w:line="240" w:lineRule="auto"/>
        <w:jc w:val="both"/>
        <w:rPr>
          <w:rFonts w:ascii="Arial" w:hAnsi="Arial" w:cs="Arial"/>
          <w:b/>
          <w:i/>
          <w:color w:val="000000" w:themeColor="text1"/>
          <w:sz w:val="20"/>
          <w:szCs w:val="20"/>
        </w:rPr>
      </w:pPr>
    </w:p>
    <w:p w:rsidR="00947DFD" w:rsidRPr="00FE0B18" w:rsidRDefault="00947DFD" w:rsidP="00947DFD">
      <w:pPr>
        <w:pStyle w:val="ListParagraph"/>
        <w:autoSpaceDE w:val="0"/>
        <w:autoSpaceDN w:val="0"/>
        <w:adjustRightInd w:val="0"/>
        <w:spacing w:after="0" w:line="240" w:lineRule="auto"/>
        <w:jc w:val="both"/>
        <w:rPr>
          <w:rFonts w:ascii="Arial" w:hAnsi="Arial" w:cs="Arial"/>
          <w:b/>
          <w:i/>
          <w:color w:val="000000" w:themeColor="text1"/>
          <w:sz w:val="20"/>
          <w:szCs w:val="20"/>
        </w:rPr>
      </w:pPr>
      <w:r w:rsidRPr="00FE0B18">
        <w:rPr>
          <w:rFonts w:ascii="Arial" w:hAnsi="Arial" w:cs="Arial"/>
          <w:b/>
          <w:i/>
          <w:color w:val="000000" w:themeColor="text1"/>
          <w:sz w:val="20"/>
          <w:szCs w:val="20"/>
        </w:rPr>
        <w:t>a) it is apparent, following a significant change in the nature of the entity’s operations or a review of its financial statements, that another presentation or classification would be more appropriate having regard to the criteria for the selection and application of accounting policies in IAS 8 Accounting Policies, Changes in Accounting Estimates and Errors; or</w:t>
      </w:r>
    </w:p>
    <w:p w:rsidR="00947DFD" w:rsidRPr="00FE0B18" w:rsidRDefault="00947DFD" w:rsidP="00947DFD">
      <w:pPr>
        <w:pStyle w:val="ListParagraph"/>
        <w:autoSpaceDE w:val="0"/>
        <w:autoSpaceDN w:val="0"/>
        <w:adjustRightInd w:val="0"/>
        <w:spacing w:after="0" w:line="240" w:lineRule="auto"/>
        <w:jc w:val="both"/>
        <w:rPr>
          <w:rFonts w:ascii="Arial" w:hAnsi="Arial" w:cs="Arial"/>
          <w:b/>
          <w:i/>
          <w:color w:val="000000" w:themeColor="text1"/>
          <w:sz w:val="20"/>
          <w:szCs w:val="20"/>
        </w:rPr>
      </w:pPr>
    </w:p>
    <w:p w:rsidR="00947DFD" w:rsidRPr="00FE0B18" w:rsidRDefault="00947DFD" w:rsidP="00947DFD">
      <w:pPr>
        <w:pStyle w:val="ListParagraph"/>
        <w:autoSpaceDE w:val="0"/>
        <w:autoSpaceDN w:val="0"/>
        <w:adjustRightInd w:val="0"/>
        <w:spacing w:after="0" w:line="240" w:lineRule="auto"/>
        <w:jc w:val="both"/>
        <w:rPr>
          <w:rFonts w:ascii="Arial" w:hAnsi="Arial" w:cs="Arial"/>
          <w:b/>
          <w:i/>
          <w:color w:val="000000" w:themeColor="text1"/>
          <w:sz w:val="20"/>
          <w:szCs w:val="20"/>
        </w:rPr>
      </w:pPr>
      <w:r w:rsidRPr="00FE0B18">
        <w:rPr>
          <w:rFonts w:ascii="Arial" w:hAnsi="Arial" w:cs="Arial"/>
          <w:b/>
          <w:i/>
          <w:color w:val="000000" w:themeColor="text1"/>
          <w:sz w:val="20"/>
          <w:szCs w:val="20"/>
        </w:rPr>
        <w:t>b) an IFRS requires a change in presentation.</w:t>
      </w:r>
    </w:p>
    <w:p w:rsidR="00947DFD" w:rsidRPr="00FE0B18" w:rsidRDefault="00947DFD" w:rsidP="00947DFD">
      <w:pPr>
        <w:pStyle w:val="ListParagraph"/>
        <w:ind w:left="0"/>
        <w:rPr>
          <w:rFonts w:ascii="Arial" w:hAnsi="Arial" w:cs="Arial"/>
          <w:sz w:val="20"/>
          <w:szCs w:val="20"/>
        </w:rPr>
      </w:pPr>
    </w:p>
    <w:p w:rsidR="00947DFD" w:rsidRPr="00FE0B18" w:rsidRDefault="00947DFD" w:rsidP="00947DFD">
      <w:pPr>
        <w:pStyle w:val="ListParagraph"/>
        <w:ind w:left="0"/>
        <w:rPr>
          <w:rFonts w:ascii="Arial" w:hAnsi="Arial" w:cs="Arial"/>
          <w:sz w:val="20"/>
          <w:szCs w:val="20"/>
        </w:rPr>
      </w:pPr>
    </w:p>
    <w:p w:rsidR="000222B8" w:rsidRPr="00FE0B18" w:rsidRDefault="000222B8" w:rsidP="000222B8">
      <w:pPr>
        <w:pStyle w:val="ListParagraph"/>
        <w:numPr>
          <w:ilvl w:val="8"/>
          <w:numId w:val="1"/>
        </w:numPr>
        <w:ind w:left="0" w:firstLine="0"/>
        <w:rPr>
          <w:rFonts w:ascii="Arial" w:hAnsi="Arial" w:cs="Arial"/>
          <w:sz w:val="20"/>
          <w:szCs w:val="20"/>
        </w:rPr>
      </w:pPr>
      <w:r w:rsidRPr="00FE0B18">
        <w:rPr>
          <w:rFonts w:ascii="Arial" w:hAnsi="Arial" w:cs="Arial"/>
          <w:sz w:val="20"/>
          <w:szCs w:val="20"/>
        </w:rPr>
        <w:t>Discuss briefly the position of international financial reporting standards in regards to offsetting of assets/ liabilities and income/ expenses. (3.5 marks)</w:t>
      </w:r>
    </w:p>
    <w:p w:rsidR="007E77B0" w:rsidRPr="00FE0B18" w:rsidRDefault="007E77B0" w:rsidP="007E77B0">
      <w:pPr>
        <w:pStyle w:val="ListParagraph"/>
        <w:autoSpaceDE w:val="0"/>
        <w:autoSpaceDN w:val="0"/>
        <w:adjustRightInd w:val="0"/>
        <w:spacing w:after="0" w:line="240" w:lineRule="auto"/>
        <w:jc w:val="both"/>
        <w:rPr>
          <w:rFonts w:ascii="Arial" w:hAnsi="Arial" w:cs="Arial"/>
          <w:b/>
          <w:i/>
          <w:color w:val="000000" w:themeColor="text1"/>
          <w:sz w:val="20"/>
          <w:szCs w:val="20"/>
        </w:rPr>
      </w:pPr>
      <w:r w:rsidRPr="00FE0B18">
        <w:rPr>
          <w:rFonts w:ascii="Arial" w:hAnsi="Arial" w:cs="Arial"/>
          <w:b/>
          <w:i/>
          <w:color w:val="000000" w:themeColor="text1"/>
          <w:sz w:val="20"/>
          <w:szCs w:val="20"/>
        </w:rPr>
        <w:t>An entity shall not offset assets and liabilities unless required or permitted by an IFRS.</w:t>
      </w:r>
    </w:p>
    <w:p w:rsidR="007E77B0" w:rsidRPr="00FE0B18" w:rsidRDefault="007E77B0" w:rsidP="007E77B0">
      <w:pPr>
        <w:pStyle w:val="ListParagraph"/>
        <w:autoSpaceDE w:val="0"/>
        <w:autoSpaceDN w:val="0"/>
        <w:adjustRightInd w:val="0"/>
        <w:spacing w:after="0" w:line="240" w:lineRule="auto"/>
        <w:jc w:val="both"/>
        <w:rPr>
          <w:rFonts w:ascii="Arial" w:hAnsi="Arial" w:cs="Arial"/>
          <w:b/>
          <w:i/>
          <w:color w:val="000000" w:themeColor="text1"/>
          <w:sz w:val="20"/>
          <w:szCs w:val="20"/>
        </w:rPr>
      </w:pPr>
    </w:p>
    <w:p w:rsidR="007E77B0" w:rsidRPr="00FE0B18" w:rsidRDefault="007E77B0" w:rsidP="007E77B0">
      <w:pPr>
        <w:pStyle w:val="ListParagraph"/>
        <w:autoSpaceDE w:val="0"/>
        <w:autoSpaceDN w:val="0"/>
        <w:adjustRightInd w:val="0"/>
        <w:spacing w:after="0" w:line="240" w:lineRule="auto"/>
        <w:jc w:val="both"/>
        <w:rPr>
          <w:rFonts w:ascii="Arial" w:hAnsi="Arial" w:cs="Arial"/>
          <w:b/>
          <w:i/>
          <w:color w:val="000000" w:themeColor="text1"/>
          <w:sz w:val="20"/>
          <w:szCs w:val="20"/>
        </w:rPr>
      </w:pPr>
      <w:r w:rsidRPr="00FE0B18">
        <w:rPr>
          <w:rFonts w:ascii="Arial" w:hAnsi="Arial" w:cs="Arial"/>
          <w:b/>
          <w:i/>
          <w:color w:val="000000" w:themeColor="text1"/>
          <w:sz w:val="20"/>
          <w:szCs w:val="20"/>
        </w:rPr>
        <w:t>Note: Measuring assets net of valuation allowances (e.g. obsolescence allowances on inventories and doubtful allowances on receivables) is not offsetting.</w:t>
      </w:r>
    </w:p>
    <w:p w:rsidR="007E77B0" w:rsidRPr="00FE0B18" w:rsidRDefault="007E77B0" w:rsidP="007E77B0">
      <w:pPr>
        <w:pStyle w:val="ListParagraph"/>
        <w:autoSpaceDE w:val="0"/>
        <w:autoSpaceDN w:val="0"/>
        <w:adjustRightInd w:val="0"/>
        <w:spacing w:after="0" w:line="240" w:lineRule="auto"/>
        <w:jc w:val="both"/>
        <w:rPr>
          <w:rFonts w:ascii="Arial" w:hAnsi="Arial" w:cs="Arial"/>
          <w:b/>
          <w:i/>
          <w:color w:val="000000" w:themeColor="text1"/>
          <w:sz w:val="20"/>
          <w:szCs w:val="20"/>
        </w:rPr>
      </w:pPr>
    </w:p>
    <w:p w:rsidR="007E77B0" w:rsidRPr="00FE0B18" w:rsidRDefault="007E77B0" w:rsidP="007E77B0">
      <w:pPr>
        <w:pStyle w:val="ListParagraph"/>
        <w:autoSpaceDE w:val="0"/>
        <w:autoSpaceDN w:val="0"/>
        <w:adjustRightInd w:val="0"/>
        <w:spacing w:after="0" w:line="240" w:lineRule="auto"/>
        <w:jc w:val="both"/>
        <w:rPr>
          <w:rFonts w:ascii="Arial" w:hAnsi="Arial" w:cs="Arial"/>
          <w:b/>
          <w:i/>
          <w:color w:val="000000" w:themeColor="text1"/>
          <w:sz w:val="20"/>
          <w:szCs w:val="20"/>
        </w:rPr>
      </w:pPr>
      <w:r w:rsidRPr="00FE0B18">
        <w:rPr>
          <w:rFonts w:ascii="Arial" w:hAnsi="Arial" w:cs="Arial"/>
          <w:b/>
          <w:i/>
          <w:color w:val="000000" w:themeColor="text1"/>
          <w:sz w:val="20"/>
          <w:szCs w:val="20"/>
        </w:rPr>
        <w:t>An entity shall not offset income and expenses unless required or permitted by an IFRS.</w:t>
      </w:r>
    </w:p>
    <w:p w:rsidR="007E77B0" w:rsidRPr="00FE0B18" w:rsidRDefault="007E77B0" w:rsidP="007E77B0">
      <w:pPr>
        <w:pStyle w:val="ListParagraph"/>
        <w:autoSpaceDE w:val="0"/>
        <w:autoSpaceDN w:val="0"/>
        <w:adjustRightInd w:val="0"/>
        <w:spacing w:after="0" w:line="240" w:lineRule="auto"/>
        <w:jc w:val="both"/>
        <w:rPr>
          <w:rFonts w:ascii="Arial" w:hAnsi="Arial" w:cs="Arial"/>
          <w:b/>
          <w:i/>
          <w:color w:val="000000" w:themeColor="text1"/>
          <w:sz w:val="20"/>
          <w:szCs w:val="20"/>
        </w:rPr>
      </w:pPr>
    </w:p>
    <w:p w:rsidR="007E77B0" w:rsidRPr="00FE0B18" w:rsidRDefault="007E77B0" w:rsidP="007E77B0">
      <w:pPr>
        <w:pStyle w:val="ListParagraph"/>
        <w:autoSpaceDE w:val="0"/>
        <w:autoSpaceDN w:val="0"/>
        <w:adjustRightInd w:val="0"/>
        <w:spacing w:after="0" w:line="240" w:lineRule="auto"/>
        <w:jc w:val="both"/>
        <w:rPr>
          <w:rFonts w:ascii="Arial" w:hAnsi="Arial" w:cs="Arial"/>
          <w:b/>
          <w:i/>
          <w:color w:val="000000" w:themeColor="text1"/>
          <w:sz w:val="20"/>
          <w:szCs w:val="20"/>
        </w:rPr>
      </w:pPr>
      <w:r w:rsidRPr="00FE0B18">
        <w:rPr>
          <w:rFonts w:ascii="Arial" w:hAnsi="Arial" w:cs="Arial"/>
          <w:b/>
          <w:i/>
          <w:color w:val="000000" w:themeColor="text1"/>
          <w:sz w:val="20"/>
          <w:szCs w:val="20"/>
        </w:rPr>
        <w:t>Where an entity undertakes, in the course of its ordinary activities, transactions that do not generate revenue but that are incidental to its main revenue-generating activities, it presents the results of such transactions by netting any income with the related expenses arising on the same transaction, when such presentation reflects the substance of the transaction or other event.</w:t>
      </w:r>
    </w:p>
    <w:p w:rsidR="007E77B0" w:rsidRPr="00FE0B18" w:rsidRDefault="007E77B0" w:rsidP="007E77B0">
      <w:pPr>
        <w:autoSpaceDE w:val="0"/>
        <w:autoSpaceDN w:val="0"/>
        <w:adjustRightInd w:val="0"/>
        <w:spacing w:after="0" w:line="240" w:lineRule="auto"/>
        <w:ind w:left="360"/>
        <w:jc w:val="both"/>
        <w:rPr>
          <w:rFonts w:ascii="Arial" w:hAnsi="Arial" w:cs="Arial"/>
          <w:b/>
          <w:i/>
          <w:color w:val="000000" w:themeColor="text1"/>
          <w:sz w:val="20"/>
          <w:szCs w:val="20"/>
          <w:lang w:val="sw-KE" w:eastAsia="sw-KE"/>
        </w:rPr>
      </w:pPr>
    </w:p>
    <w:p w:rsidR="007E77B0" w:rsidRPr="00FE0B18" w:rsidRDefault="007E77B0" w:rsidP="007E77B0">
      <w:pPr>
        <w:pStyle w:val="ListParagraph"/>
        <w:autoSpaceDE w:val="0"/>
        <w:autoSpaceDN w:val="0"/>
        <w:adjustRightInd w:val="0"/>
        <w:spacing w:after="0" w:line="240" w:lineRule="auto"/>
        <w:jc w:val="both"/>
        <w:rPr>
          <w:rFonts w:ascii="Arial" w:hAnsi="Arial" w:cs="Arial"/>
          <w:b/>
          <w:i/>
          <w:color w:val="000000" w:themeColor="text1"/>
          <w:sz w:val="20"/>
          <w:szCs w:val="20"/>
        </w:rPr>
      </w:pPr>
      <w:r w:rsidRPr="00FE0B18">
        <w:rPr>
          <w:rFonts w:ascii="Arial" w:hAnsi="Arial" w:cs="Arial"/>
          <w:b/>
          <w:i/>
          <w:color w:val="000000" w:themeColor="text1"/>
          <w:sz w:val="20"/>
          <w:szCs w:val="20"/>
        </w:rPr>
        <w:t>An entity presents on a net basis gains and losses arising from a group of similar transactions (e.g. foreign exchange gains and losses, or gains and losses arising on financial instruments held for trading) unless the gains and losses are material, in which case they are reported separately.</w:t>
      </w:r>
    </w:p>
    <w:p w:rsidR="000222B8" w:rsidRPr="00FE0B18" w:rsidRDefault="000222B8" w:rsidP="000222B8">
      <w:pPr>
        <w:pStyle w:val="ListParagraph"/>
        <w:ind w:left="0"/>
        <w:rPr>
          <w:rFonts w:ascii="Arial" w:hAnsi="Arial" w:cs="Arial"/>
          <w:sz w:val="20"/>
          <w:szCs w:val="20"/>
        </w:rPr>
      </w:pPr>
    </w:p>
    <w:p w:rsidR="000222B8" w:rsidRPr="00FE0B18" w:rsidRDefault="000222B8" w:rsidP="000222B8">
      <w:pPr>
        <w:pStyle w:val="ListParagraph"/>
        <w:ind w:left="0"/>
        <w:rPr>
          <w:rFonts w:ascii="Arial" w:hAnsi="Arial" w:cs="Arial"/>
          <w:sz w:val="20"/>
          <w:szCs w:val="20"/>
        </w:rPr>
      </w:pPr>
    </w:p>
    <w:p w:rsidR="000222B8" w:rsidRPr="00FE0B18" w:rsidRDefault="000222B8" w:rsidP="000222B8">
      <w:pPr>
        <w:pStyle w:val="ListParagraph"/>
        <w:numPr>
          <w:ilvl w:val="0"/>
          <w:numId w:val="1"/>
        </w:numPr>
        <w:rPr>
          <w:rFonts w:ascii="Arial" w:hAnsi="Arial" w:cs="Arial"/>
          <w:sz w:val="20"/>
          <w:szCs w:val="20"/>
        </w:rPr>
      </w:pPr>
      <w:r w:rsidRPr="00FE0B18">
        <w:rPr>
          <w:rFonts w:ascii="Arial" w:hAnsi="Arial" w:cs="Arial"/>
          <w:sz w:val="20"/>
          <w:szCs w:val="20"/>
        </w:rPr>
        <w:t>i       Write short notes on the following:</w:t>
      </w:r>
    </w:p>
    <w:p w:rsidR="003345FC" w:rsidRPr="00FE0B18" w:rsidRDefault="003345FC" w:rsidP="003345FC">
      <w:pPr>
        <w:pStyle w:val="ListParagraph"/>
        <w:spacing w:before="100" w:beforeAutospacing="1" w:after="100" w:afterAutospacing="1" w:line="312" w:lineRule="auto"/>
        <w:outlineLvl w:val="2"/>
        <w:rPr>
          <w:rFonts w:ascii="Arial" w:hAnsi="Arial" w:cs="Arial"/>
          <w:b/>
          <w:i/>
          <w:color w:val="000000" w:themeColor="text1"/>
          <w:sz w:val="20"/>
          <w:szCs w:val="20"/>
          <w:u w:val="single"/>
        </w:rPr>
      </w:pPr>
      <w:r w:rsidRPr="00FE0B18">
        <w:rPr>
          <w:rFonts w:ascii="Arial" w:hAnsi="Arial" w:cs="Arial"/>
          <w:b/>
          <w:i/>
          <w:color w:val="000000" w:themeColor="text1"/>
          <w:sz w:val="20"/>
          <w:szCs w:val="20"/>
          <w:u w:val="single"/>
        </w:rPr>
        <w:t xml:space="preserve">Cumulative vs non-cumulative prefered stock. </w:t>
      </w:r>
    </w:p>
    <w:p w:rsidR="003345FC" w:rsidRPr="00FE0B18" w:rsidRDefault="003345FC" w:rsidP="003345FC">
      <w:pPr>
        <w:pStyle w:val="ListParagraph"/>
        <w:spacing w:before="100" w:beforeAutospacing="1" w:after="100" w:afterAutospacing="1" w:line="312" w:lineRule="auto"/>
        <w:outlineLvl w:val="2"/>
        <w:rPr>
          <w:rFonts w:ascii="Arial" w:hAnsi="Arial" w:cs="Arial"/>
          <w:b/>
          <w:i/>
          <w:color w:val="000000" w:themeColor="text1"/>
          <w:sz w:val="20"/>
          <w:szCs w:val="20"/>
        </w:rPr>
      </w:pPr>
      <w:r w:rsidRPr="00FE0B18">
        <w:rPr>
          <w:rFonts w:ascii="Arial" w:hAnsi="Arial" w:cs="Arial"/>
          <w:b/>
          <w:i/>
          <w:color w:val="000000" w:themeColor="text1"/>
          <w:sz w:val="20"/>
          <w:szCs w:val="20"/>
        </w:rPr>
        <w:t>Prefferd stock is cumulative if any undeclared dividends accumulate each year until paid. It is non-cumulative if the right to recieve dividend is forfeited in any year that dividends are not declared.</w:t>
      </w:r>
    </w:p>
    <w:p w:rsidR="003345FC" w:rsidRPr="00FE0B18" w:rsidRDefault="003345FC" w:rsidP="003345FC">
      <w:pPr>
        <w:pStyle w:val="ListParagraph"/>
        <w:spacing w:before="100" w:beforeAutospacing="1" w:after="100" w:afterAutospacing="1" w:line="312" w:lineRule="auto"/>
        <w:outlineLvl w:val="2"/>
        <w:rPr>
          <w:rFonts w:ascii="Arial" w:hAnsi="Arial" w:cs="Arial"/>
          <w:b/>
          <w:i/>
          <w:color w:val="000000" w:themeColor="text1"/>
          <w:sz w:val="20"/>
          <w:szCs w:val="20"/>
        </w:rPr>
      </w:pPr>
    </w:p>
    <w:p w:rsidR="003345FC" w:rsidRPr="00FE0B18" w:rsidRDefault="003345FC" w:rsidP="003345FC">
      <w:pPr>
        <w:pStyle w:val="ListParagraph"/>
        <w:spacing w:before="100" w:beforeAutospacing="1" w:after="100" w:afterAutospacing="1" w:line="312" w:lineRule="auto"/>
        <w:outlineLvl w:val="2"/>
        <w:rPr>
          <w:rFonts w:ascii="Arial" w:hAnsi="Arial" w:cs="Arial"/>
          <w:b/>
          <w:i/>
          <w:color w:val="000000" w:themeColor="text1"/>
          <w:sz w:val="20"/>
          <w:szCs w:val="20"/>
          <w:u w:val="single"/>
        </w:rPr>
      </w:pPr>
      <w:r w:rsidRPr="00FE0B18">
        <w:rPr>
          <w:rFonts w:ascii="Arial" w:hAnsi="Arial" w:cs="Arial"/>
          <w:b/>
          <w:i/>
          <w:color w:val="000000" w:themeColor="text1"/>
          <w:sz w:val="20"/>
          <w:szCs w:val="20"/>
          <w:u w:val="single"/>
        </w:rPr>
        <w:t>Participating vs non- participating preffered stock</w:t>
      </w:r>
    </w:p>
    <w:p w:rsidR="003345FC" w:rsidRPr="00FE0B18" w:rsidRDefault="003345FC" w:rsidP="003345FC">
      <w:pPr>
        <w:pStyle w:val="ListParagraph"/>
        <w:spacing w:before="100" w:beforeAutospacing="1" w:after="100" w:afterAutospacing="1" w:line="312" w:lineRule="auto"/>
        <w:ind w:left="1080"/>
        <w:outlineLvl w:val="2"/>
        <w:rPr>
          <w:rFonts w:ascii="Arial" w:hAnsi="Arial" w:cs="Arial"/>
          <w:b/>
          <w:i/>
          <w:color w:val="000000" w:themeColor="text1"/>
          <w:sz w:val="20"/>
          <w:szCs w:val="20"/>
        </w:rPr>
      </w:pPr>
      <w:r w:rsidRPr="00FE0B18">
        <w:rPr>
          <w:rFonts w:ascii="Arial" w:hAnsi="Arial" w:cs="Arial"/>
          <w:b/>
          <w:i/>
          <w:color w:val="000000" w:themeColor="text1"/>
          <w:sz w:val="20"/>
          <w:szCs w:val="20"/>
        </w:rPr>
        <w:t>Dividends paid on preffered stock is usually a fixed percentage of the par value. Such stock is non- participating prefferd stock. However some prefferd stock may be paid additional dividends in excess of the stated percentage . Such stock is called the participating preffered stock.</w:t>
      </w:r>
    </w:p>
    <w:p w:rsidR="003345FC" w:rsidRPr="00FE0B18" w:rsidRDefault="003345FC" w:rsidP="003345FC">
      <w:pPr>
        <w:pStyle w:val="ListParagraph"/>
        <w:spacing w:before="100" w:beforeAutospacing="1" w:after="100" w:afterAutospacing="1" w:line="312" w:lineRule="auto"/>
        <w:ind w:left="1080"/>
        <w:outlineLvl w:val="2"/>
        <w:rPr>
          <w:rFonts w:ascii="Arial" w:hAnsi="Arial" w:cs="Arial"/>
          <w:b/>
          <w:i/>
          <w:color w:val="000000" w:themeColor="text1"/>
          <w:sz w:val="20"/>
          <w:szCs w:val="20"/>
        </w:rPr>
      </w:pPr>
    </w:p>
    <w:p w:rsidR="003345FC" w:rsidRPr="00FE0B18" w:rsidRDefault="003345FC" w:rsidP="003345FC">
      <w:pPr>
        <w:pStyle w:val="ListParagraph"/>
        <w:spacing w:before="100" w:beforeAutospacing="1" w:after="100" w:afterAutospacing="1" w:line="312" w:lineRule="auto"/>
        <w:outlineLvl w:val="2"/>
        <w:rPr>
          <w:rFonts w:ascii="Arial" w:hAnsi="Arial" w:cs="Arial"/>
          <w:b/>
          <w:i/>
          <w:color w:val="000000" w:themeColor="text1"/>
          <w:sz w:val="20"/>
          <w:szCs w:val="20"/>
          <w:u w:val="single"/>
        </w:rPr>
      </w:pPr>
      <w:r w:rsidRPr="00FE0B18">
        <w:rPr>
          <w:rFonts w:ascii="Arial" w:hAnsi="Arial" w:cs="Arial"/>
          <w:b/>
          <w:i/>
          <w:color w:val="000000" w:themeColor="text1"/>
          <w:sz w:val="20"/>
          <w:szCs w:val="20"/>
          <w:u w:val="single"/>
        </w:rPr>
        <w:t>Convertible vs non convertible preffered stock</w:t>
      </w:r>
    </w:p>
    <w:p w:rsidR="003345FC" w:rsidRPr="00FE0B18" w:rsidRDefault="003345FC" w:rsidP="003345FC">
      <w:pPr>
        <w:pStyle w:val="ListParagraph"/>
        <w:spacing w:before="100" w:beforeAutospacing="1" w:after="100" w:afterAutospacing="1" w:line="312" w:lineRule="auto"/>
        <w:ind w:left="1080"/>
        <w:outlineLvl w:val="2"/>
        <w:rPr>
          <w:rFonts w:ascii="Arial" w:hAnsi="Arial" w:cs="Arial"/>
          <w:b/>
          <w:i/>
          <w:color w:val="000000" w:themeColor="text1"/>
          <w:sz w:val="20"/>
          <w:szCs w:val="20"/>
        </w:rPr>
      </w:pPr>
      <w:r w:rsidRPr="00FE0B18">
        <w:rPr>
          <w:rFonts w:ascii="Arial" w:hAnsi="Arial" w:cs="Arial"/>
          <w:b/>
          <w:i/>
          <w:color w:val="000000" w:themeColor="text1"/>
          <w:sz w:val="20"/>
          <w:szCs w:val="20"/>
        </w:rPr>
        <w:t>Convertible stock  can be converted into ordinary shares. Non convertible prefferd stock contains no provision to convert to ordinary shares.</w:t>
      </w:r>
    </w:p>
    <w:p w:rsidR="001A37A4" w:rsidRPr="00FE0B18" w:rsidRDefault="001A37A4" w:rsidP="001A37A4">
      <w:pPr>
        <w:pStyle w:val="ListParagraph"/>
        <w:ind w:left="1440"/>
        <w:rPr>
          <w:rFonts w:ascii="Arial" w:hAnsi="Arial" w:cs="Arial"/>
          <w:sz w:val="20"/>
          <w:szCs w:val="20"/>
        </w:rPr>
      </w:pPr>
    </w:p>
    <w:p w:rsidR="000222B8" w:rsidRPr="00FE0B18" w:rsidRDefault="000222B8" w:rsidP="000222B8">
      <w:pPr>
        <w:rPr>
          <w:rFonts w:ascii="Arial" w:hAnsi="Arial" w:cs="Arial"/>
          <w:sz w:val="20"/>
          <w:szCs w:val="20"/>
        </w:rPr>
      </w:pPr>
      <w:r w:rsidRPr="00FE0B18">
        <w:rPr>
          <w:rFonts w:ascii="Arial" w:hAnsi="Arial" w:cs="Arial"/>
          <w:sz w:val="20"/>
          <w:szCs w:val="20"/>
        </w:rPr>
        <w:t xml:space="preserve">                 ii. State and briefly discuss 2 types of debentures (4 marks).</w:t>
      </w:r>
    </w:p>
    <w:p w:rsidR="00783CC8" w:rsidRPr="00FE0B18" w:rsidRDefault="00783CC8" w:rsidP="00783CC8">
      <w:pPr>
        <w:autoSpaceDE w:val="0"/>
        <w:autoSpaceDN w:val="0"/>
        <w:adjustRightInd w:val="0"/>
        <w:spacing w:after="0" w:line="240" w:lineRule="auto"/>
        <w:rPr>
          <w:rFonts w:ascii="Arial" w:hAnsi="Arial" w:cs="Arial"/>
          <w:b/>
          <w:i/>
          <w:color w:val="000000" w:themeColor="text1"/>
          <w:sz w:val="20"/>
          <w:szCs w:val="20"/>
          <w:lang w:val="sw-KE" w:eastAsia="sw-KE"/>
        </w:rPr>
      </w:pPr>
      <w:r w:rsidRPr="00FE0B18">
        <w:rPr>
          <w:rFonts w:ascii="Arial" w:hAnsi="Arial" w:cs="Arial"/>
          <w:b/>
          <w:i/>
          <w:color w:val="000000" w:themeColor="text1"/>
          <w:sz w:val="20"/>
          <w:szCs w:val="20"/>
          <w:lang w:val="sw-KE" w:eastAsia="sw-KE"/>
        </w:rPr>
        <w:t>Types of debentures</w:t>
      </w:r>
    </w:p>
    <w:p w:rsidR="00783CC8" w:rsidRPr="00FE0B18" w:rsidRDefault="00783CC8" w:rsidP="00783CC8">
      <w:pPr>
        <w:autoSpaceDE w:val="0"/>
        <w:autoSpaceDN w:val="0"/>
        <w:adjustRightInd w:val="0"/>
        <w:spacing w:after="0" w:line="240" w:lineRule="auto"/>
        <w:rPr>
          <w:rFonts w:ascii="Arial" w:hAnsi="Arial" w:cs="Arial"/>
          <w:b/>
          <w:i/>
          <w:color w:val="000000" w:themeColor="text1"/>
          <w:sz w:val="20"/>
          <w:szCs w:val="20"/>
          <w:lang w:val="sw-KE" w:eastAsia="sw-KE"/>
        </w:rPr>
      </w:pPr>
      <w:r w:rsidRPr="00FE0B18">
        <w:rPr>
          <w:rFonts w:ascii="Arial" w:hAnsi="Arial" w:cs="Arial"/>
          <w:b/>
          <w:i/>
          <w:color w:val="000000" w:themeColor="text1"/>
          <w:sz w:val="20"/>
          <w:szCs w:val="20"/>
          <w:lang w:val="sw-KE" w:eastAsia="sw-KE"/>
        </w:rPr>
        <w:t>Debenture can be classified as under :</w:t>
      </w:r>
    </w:p>
    <w:p w:rsidR="00783CC8" w:rsidRPr="00FE0B18" w:rsidRDefault="00783CC8" w:rsidP="00783CC8">
      <w:pPr>
        <w:autoSpaceDE w:val="0"/>
        <w:autoSpaceDN w:val="0"/>
        <w:adjustRightInd w:val="0"/>
        <w:spacing w:after="0" w:line="240" w:lineRule="auto"/>
        <w:rPr>
          <w:rFonts w:ascii="Arial" w:hAnsi="Arial" w:cs="Arial"/>
          <w:b/>
          <w:i/>
          <w:color w:val="000000" w:themeColor="text1"/>
          <w:sz w:val="20"/>
          <w:szCs w:val="20"/>
          <w:lang w:val="sw-KE" w:eastAsia="sw-KE"/>
        </w:rPr>
      </w:pPr>
      <w:r w:rsidRPr="00FE0B18">
        <w:rPr>
          <w:rFonts w:ascii="Arial" w:hAnsi="Arial" w:cs="Arial"/>
          <w:b/>
          <w:i/>
          <w:color w:val="000000" w:themeColor="text1"/>
          <w:sz w:val="20"/>
          <w:szCs w:val="20"/>
          <w:lang w:val="sw-KE" w:eastAsia="sw-KE"/>
        </w:rPr>
        <w:t>1. From security point of view</w:t>
      </w:r>
    </w:p>
    <w:p w:rsidR="00783CC8" w:rsidRPr="00FE0B18" w:rsidRDefault="00783CC8" w:rsidP="00783CC8">
      <w:pPr>
        <w:autoSpaceDE w:val="0"/>
        <w:autoSpaceDN w:val="0"/>
        <w:adjustRightInd w:val="0"/>
        <w:spacing w:after="0" w:line="240" w:lineRule="auto"/>
        <w:rPr>
          <w:rFonts w:ascii="Arial" w:hAnsi="Arial" w:cs="Arial"/>
          <w:b/>
          <w:i/>
          <w:color w:val="000000" w:themeColor="text1"/>
          <w:sz w:val="20"/>
          <w:szCs w:val="20"/>
          <w:lang w:val="sw-KE" w:eastAsia="sw-KE"/>
        </w:rPr>
      </w:pPr>
      <w:r w:rsidRPr="00FE0B18">
        <w:rPr>
          <w:rFonts w:ascii="Arial" w:hAnsi="Arial" w:cs="Arial"/>
          <w:b/>
          <w:i/>
          <w:color w:val="000000" w:themeColor="text1"/>
          <w:sz w:val="20"/>
          <w:szCs w:val="20"/>
          <w:lang w:val="sw-KE" w:eastAsia="sw-KE"/>
        </w:rPr>
        <w:t xml:space="preserve">(i) </w:t>
      </w:r>
      <w:r w:rsidRPr="00FE0B18">
        <w:rPr>
          <w:rFonts w:ascii="Arial" w:hAnsi="Arial" w:cs="Arial"/>
          <w:b/>
          <w:i/>
          <w:color w:val="000000" w:themeColor="text1"/>
          <w:sz w:val="20"/>
          <w:szCs w:val="20"/>
          <w:u w:val="single"/>
          <w:lang w:val="sw-KE" w:eastAsia="sw-KE"/>
        </w:rPr>
        <w:t>Secured or Mortgage debentures</w:t>
      </w:r>
      <w:r w:rsidRPr="00FE0B18">
        <w:rPr>
          <w:rFonts w:ascii="Arial" w:hAnsi="Arial" w:cs="Arial"/>
          <w:b/>
          <w:i/>
          <w:color w:val="000000" w:themeColor="text1"/>
          <w:sz w:val="20"/>
          <w:szCs w:val="20"/>
          <w:lang w:val="sw-KE" w:eastAsia="sw-KE"/>
        </w:rPr>
        <w:t xml:space="preserve"> : These are the debentures that</w:t>
      </w:r>
      <w:r w:rsidR="00FE0B18" w:rsidRPr="00FE0B18">
        <w:rPr>
          <w:rFonts w:ascii="Arial" w:hAnsi="Arial" w:cs="Arial"/>
          <w:b/>
          <w:i/>
          <w:color w:val="000000" w:themeColor="text1"/>
          <w:sz w:val="20"/>
          <w:szCs w:val="20"/>
          <w:lang w:val="sw-KE" w:eastAsia="sw-KE"/>
        </w:rPr>
        <w:t xml:space="preserve"> </w:t>
      </w:r>
      <w:r w:rsidRPr="00FE0B18">
        <w:rPr>
          <w:rFonts w:ascii="Arial" w:hAnsi="Arial" w:cs="Arial"/>
          <w:b/>
          <w:i/>
          <w:color w:val="000000" w:themeColor="text1"/>
          <w:sz w:val="20"/>
          <w:szCs w:val="20"/>
          <w:lang w:val="sw-KE" w:eastAsia="sw-KE"/>
        </w:rPr>
        <w:t>are secured by a charge on the assets of the company. These are</w:t>
      </w:r>
      <w:r w:rsidR="00FE0B18" w:rsidRPr="00FE0B18">
        <w:rPr>
          <w:rFonts w:ascii="Arial" w:hAnsi="Arial" w:cs="Arial"/>
          <w:b/>
          <w:i/>
          <w:color w:val="000000" w:themeColor="text1"/>
          <w:sz w:val="20"/>
          <w:szCs w:val="20"/>
          <w:lang w:val="sw-KE" w:eastAsia="sw-KE"/>
        </w:rPr>
        <w:t xml:space="preserve"> </w:t>
      </w:r>
      <w:r w:rsidRPr="00FE0B18">
        <w:rPr>
          <w:rFonts w:ascii="Arial" w:hAnsi="Arial" w:cs="Arial"/>
          <w:b/>
          <w:i/>
          <w:color w:val="000000" w:themeColor="text1"/>
          <w:sz w:val="20"/>
          <w:szCs w:val="20"/>
          <w:lang w:val="sw-KE" w:eastAsia="sw-KE"/>
        </w:rPr>
        <w:t>also called mortgage debentures. The holders of secured debentures</w:t>
      </w:r>
      <w:r w:rsidR="00FE0B18" w:rsidRPr="00FE0B18">
        <w:rPr>
          <w:rFonts w:ascii="Arial" w:hAnsi="Arial" w:cs="Arial"/>
          <w:b/>
          <w:i/>
          <w:color w:val="000000" w:themeColor="text1"/>
          <w:sz w:val="20"/>
          <w:szCs w:val="20"/>
          <w:lang w:val="sw-KE" w:eastAsia="sw-KE"/>
        </w:rPr>
        <w:t xml:space="preserve"> </w:t>
      </w:r>
      <w:r w:rsidRPr="00FE0B18">
        <w:rPr>
          <w:rFonts w:ascii="Arial" w:hAnsi="Arial" w:cs="Arial"/>
          <w:b/>
          <w:i/>
          <w:color w:val="000000" w:themeColor="text1"/>
          <w:sz w:val="20"/>
          <w:szCs w:val="20"/>
          <w:lang w:val="sw-KE" w:eastAsia="sw-KE"/>
        </w:rPr>
        <w:t>have the right to recover their principal amount with the unpaid</w:t>
      </w:r>
      <w:r w:rsidR="00FE0B18" w:rsidRPr="00FE0B18">
        <w:rPr>
          <w:rFonts w:ascii="Arial" w:hAnsi="Arial" w:cs="Arial"/>
          <w:b/>
          <w:i/>
          <w:color w:val="000000" w:themeColor="text1"/>
          <w:sz w:val="20"/>
          <w:szCs w:val="20"/>
          <w:lang w:val="sw-KE" w:eastAsia="sw-KE"/>
        </w:rPr>
        <w:t xml:space="preserve"> </w:t>
      </w:r>
      <w:r w:rsidRPr="00FE0B18">
        <w:rPr>
          <w:rFonts w:ascii="Arial" w:hAnsi="Arial" w:cs="Arial"/>
          <w:b/>
          <w:i/>
          <w:color w:val="000000" w:themeColor="text1"/>
          <w:sz w:val="20"/>
          <w:szCs w:val="20"/>
          <w:lang w:val="sw-KE" w:eastAsia="sw-KE"/>
        </w:rPr>
        <w:t>amount of interest on such debentures out of the assets mortgaged</w:t>
      </w:r>
      <w:r w:rsidR="00FE0B18" w:rsidRPr="00FE0B18">
        <w:rPr>
          <w:rFonts w:ascii="Arial" w:hAnsi="Arial" w:cs="Arial"/>
          <w:b/>
          <w:i/>
          <w:color w:val="000000" w:themeColor="text1"/>
          <w:sz w:val="20"/>
          <w:szCs w:val="20"/>
          <w:lang w:val="sw-KE" w:eastAsia="sw-KE"/>
        </w:rPr>
        <w:t xml:space="preserve"> </w:t>
      </w:r>
      <w:r w:rsidRPr="00FE0B18">
        <w:rPr>
          <w:rFonts w:ascii="Arial" w:hAnsi="Arial" w:cs="Arial"/>
          <w:b/>
          <w:i/>
          <w:color w:val="000000" w:themeColor="text1"/>
          <w:sz w:val="20"/>
          <w:szCs w:val="20"/>
          <w:lang w:val="sw-KE" w:eastAsia="sw-KE"/>
        </w:rPr>
        <w:t>by the company. In India, debentures must be secured. Secured</w:t>
      </w:r>
    </w:p>
    <w:p w:rsidR="00783CC8" w:rsidRPr="00FE0B18" w:rsidRDefault="00783CC8" w:rsidP="00783CC8">
      <w:pPr>
        <w:autoSpaceDE w:val="0"/>
        <w:autoSpaceDN w:val="0"/>
        <w:adjustRightInd w:val="0"/>
        <w:spacing w:after="0" w:line="240" w:lineRule="auto"/>
        <w:rPr>
          <w:rFonts w:ascii="Arial" w:hAnsi="Arial" w:cs="Arial"/>
          <w:b/>
          <w:i/>
          <w:color w:val="000000" w:themeColor="text1"/>
          <w:sz w:val="20"/>
          <w:szCs w:val="20"/>
          <w:lang w:val="sw-KE" w:eastAsia="sw-KE"/>
        </w:rPr>
      </w:pPr>
      <w:r w:rsidRPr="00FE0B18">
        <w:rPr>
          <w:rFonts w:ascii="Arial" w:hAnsi="Arial" w:cs="Arial"/>
          <w:b/>
          <w:i/>
          <w:color w:val="000000" w:themeColor="text1"/>
          <w:sz w:val="20"/>
          <w:szCs w:val="20"/>
          <w:lang w:val="sw-KE" w:eastAsia="sw-KE"/>
        </w:rPr>
        <w:t>debentures can be of two types :</w:t>
      </w:r>
    </w:p>
    <w:p w:rsidR="00783CC8" w:rsidRPr="00FE0B18" w:rsidRDefault="00783CC8" w:rsidP="00783CC8">
      <w:pPr>
        <w:autoSpaceDE w:val="0"/>
        <w:autoSpaceDN w:val="0"/>
        <w:adjustRightInd w:val="0"/>
        <w:spacing w:after="0" w:line="240" w:lineRule="auto"/>
        <w:rPr>
          <w:rFonts w:ascii="Arial" w:hAnsi="Arial" w:cs="Arial"/>
          <w:b/>
          <w:i/>
          <w:color w:val="000000" w:themeColor="text1"/>
          <w:sz w:val="20"/>
          <w:szCs w:val="20"/>
          <w:lang w:val="sw-KE" w:eastAsia="sw-KE"/>
        </w:rPr>
      </w:pPr>
      <w:r w:rsidRPr="00FE0B18">
        <w:rPr>
          <w:rFonts w:ascii="Arial" w:hAnsi="Arial" w:cs="Arial"/>
          <w:b/>
          <w:i/>
          <w:color w:val="000000" w:themeColor="text1"/>
          <w:sz w:val="20"/>
          <w:szCs w:val="20"/>
          <w:lang w:val="sw-KE" w:eastAsia="sw-KE"/>
        </w:rPr>
        <w:t xml:space="preserve">(a) </w:t>
      </w:r>
      <w:r w:rsidRPr="00FE0B18">
        <w:rPr>
          <w:rFonts w:ascii="Arial" w:hAnsi="Arial" w:cs="Arial"/>
          <w:b/>
          <w:i/>
          <w:color w:val="000000" w:themeColor="text1"/>
          <w:sz w:val="20"/>
          <w:szCs w:val="20"/>
          <w:u w:val="single"/>
          <w:lang w:val="sw-KE" w:eastAsia="sw-KE"/>
        </w:rPr>
        <w:t>First mortgage debentures</w:t>
      </w:r>
      <w:r w:rsidRPr="00FE0B18">
        <w:rPr>
          <w:rFonts w:ascii="Arial" w:hAnsi="Arial" w:cs="Arial"/>
          <w:b/>
          <w:i/>
          <w:color w:val="000000" w:themeColor="text1"/>
          <w:sz w:val="20"/>
          <w:szCs w:val="20"/>
          <w:lang w:val="sw-KE" w:eastAsia="sw-KE"/>
        </w:rPr>
        <w:t xml:space="preserve"> : The holders of such debentures</w:t>
      </w:r>
      <w:r w:rsidR="00FE0B18" w:rsidRPr="00FE0B18">
        <w:rPr>
          <w:rFonts w:ascii="Arial" w:hAnsi="Arial" w:cs="Arial"/>
          <w:b/>
          <w:i/>
          <w:color w:val="000000" w:themeColor="text1"/>
          <w:sz w:val="20"/>
          <w:szCs w:val="20"/>
          <w:lang w:val="sw-KE" w:eastAsia="sw-KE"/>
        </w:rPr>
        <w:t xml:space="preserve"> </w:t>
      </w:r>
      <w:r w:rsidRPr="00FE0B18">
        <w:rPr>
          <w:rFonts w:ascii="Arial" w:hAnsi="Arial" w:cs="Arial"/>
          <w:b/>
          <w:i/>
          <w:color w:val="000000" w:themeColor="text1"/>
          <w:sz w:val="20"/>
          <w:szCs w:val="20"/>
          <w:lang w:val="sw-KE" w:eastAsia="sw-KE"/>
        </w:rPr>
        <w:t>have a first claim on the assets charged.</w:t>
      </w:r>
    </w:p>
    <w:p w:rsidR="00783CC8" w:rsidRPr="00FE0B18" w:rsidRDefault="00783CC8" w:rsidP="00783CC8">
      <w:pPr>
        <w:autoSpaceDE w:val="0"/>
        <w:autoSpaceDN w:val="0"/>
        <w:adjustRightInd w:val="0"/>
        <w:spacing w:after="0" w:line="240" w:lineRule="auto"/>
        <w:rPr>
          <w:rFonts w:ascii="Arial" w:hAnsi="Arial" w:cs="Arial"/>
          <w:b/>
          <w:i/>
          <w:color w:val="000000" w:themeColor="text1"/>
          <w:sz w:val="20"/>
          <w:szCs w:val="20"/>
          <w:lang w:val="sw-KE" w:eastAsia="sw-KE"/>
        </w:rPr>
      </w:pPr>
      <w:r w:rsidRPr="00FE0B18">
        <w:rPr>
          <w:rFonts w:ascii="Arial" w:hAnsi="Arial" w:cs="Arial"/>
          <w:b/>
          <w:i/>
          <w:color w:val="000000" w:themeColor="text1"/>
          <w:sz w:val="20"/>
          <w:szCs w:val="20"/>
          <w:lang w:val="sw-KE" w:eastAsia="sw-KE"/>
        </w:rPr>
        <w:t xml:space="preserve">(b) </w:t>
      </w:r>
      <w:r w:rsidRPr="00FE0B18">
        <w:rPr>
          <w:rFonts w:ascii="Arial" w:hAnsi="Arial" w:cs="Arial"/>
          <w:b/>
          <w:i/>
          <w:color w:val="000000" w:themeColor="text1"/>
          <w:sz w:val="20"/>
          <w:szCs w:val="20"/>
          <w:u w:val="single"/>
          <w:lang w:val="sw-KE" w:eastAsia="sw-KE"/>
        </w:rPr>
        <w:t>Second mortgage debentures</w:t>
      </w:r>
      <w:r w:rsidRPr="00FE0B18">
        <w:rPr>
          <w:rFonts w:ascii="Arial" w:hAnsi="Arial" w:cs="Arial"/>
          <w:b/>
          <w:i/>
          <w:color w:val="000000" w:themeColor="text1"/>
          <w:sz w:val="20"/>
          <w:szCs w:val="20"/>
          <w:lang w:val="sw-KE" w:eastAsia="sw-KE"/>
        </w:rPr>
        <w:t xml:space="preserve"> : The holders of such debentures</w:t>
      </w:r>
      <w:r w:rsidR="00FE0B18" w:rsidRPr="00FE0B18">
        <w:rPr>
          <w:rFonts w:ascii="Arial" w:hAnsi="Arial" w:cs="Arial"/>
          <w:b/>
          <w:i/>
          <w:color w:val="000000" w:themeColor="text1"/>
          <w:sz w:val="20"/>
          <w:szCs w:val="20"/>
          <w:lang w:val="sw-KE" w:eastAsia="sw-KE"/>
        </w:rPr>
        <w:t xml:space="preserve"> </w:t>
      </w:r>
      <w:r w:rsidRPr="00FE0B18">
        <w:rPr>
          <w:rFonts w:ascii="Arial" w:hAnsi="Arial" w:cs="Arial"/>
          <w:b/>
          <w:i/>
          <w:color w:val="000000" w:themeColor="text1"/>
          <w:sz w:val="20"/>
          <w:szCs w:val="20"/>
          <w:lang w:val="sw-KE" w:eastAsia="sw-KE"/>
        </w:rPr>
        <w:t>have a second claim on the assets charged.</w:t>
      </w:r>
    </w:p>
    <w:p w:rsidR="00783CC8" w:rsidRPr="00FE0B18" w:rsidRDefault="00783CC8" w:rsidP="00783CC8">
      <w:pPr>
        <w:autoSpaceDE w:val="0"/>
        <w:autoSpaceDN w:val="0"/>
        <w:adjustRightInd w:val="0"/>
        <w:spacing w:after="0" w:line="240" w:lineRule="auto"/>
        <w:rPr>
          <w:rFonts w:ascii="Arial" w:hAnsi="Arial" w:cs="Arial"/>
          <w:b/>
          <w:i/>
          <w:color w:val="000000" w:themeColor="text1"/>
          <w:sz w:val="20"/>
          <w:szCs w:val="20"/>
          <w:lang w:val="sw-KE" w:eastAsia="sw-KE"/>
        </w:rPr>
      </w:pPr>
      <w:r w:rsidRPr="00FE0B18">
        <w:rPr>
          <w:rFonts w:ascii="Arial" w:hAnsi="Arial" w:cs="Arial"/>
          <w:b/>
          <w:i/>
          <w:color w:val="000000" w:themeColor="text1"/>
          <w:sz w:val="20"/>
          <w:szCs w:val="20"/>
          <w:lang w:val="sw-KE" w:eastAsia="sw-KE"/>
        </w:rPr>
        <w:lastRenderedPageBreak/>
        <w:t>(ii) Unsecured debentures : Debentures which do not carry any</w:t>
      </w:r>
      <w:r w:rsidR="00FE0B18" w:rsidRPr="00FE0B18">
        <w:rPr>
          <w:rFonts w:ascii="Arial" w:hAnsi="Arial" w:cs="Arial"/>
          <w:b/>
          <w:i/>
          <w:color w:val="000000" w:themeColor="text1"/>
          <w:sz w:val="20"/>
          <w:szCs w:val="20"/>
          <w:lang w:val="sw-KE" w:eastAsia="sw-KE"/>
        </w:rPr>
        <w:t xml:space="preserve"> </w:t>
      </w:r>
      <w:r w:rsidRPr="00FE0B18">
        <w:rPr>
          <w:rFonts w:ascii="Arial" w:hAnsi="Arial" w:cs="Arial"/>
          <w:b/>
          <w:i/>
          <w:color w:val="000000" w:themeColor="text1"/>
          <w:sz w:val="20"/>
          <w:szCs w:val="20"/>
          <w:lang w:val="sw-KE" w:eastAsia="sw-KE"/>
        </w:rPr>
        <w:t>security with regard to the principal amount or unpaid interest are</w:t>
      </w:r>
      <w:r w:rsidR="00FE0B18" w:rsidRPr="00FE0B18">
        <w:rPr>
          <w:rFonts w:ascii="Arial" w:hAnsi="Arial" w:cs="Arial"/>
          <w:b/>
          <w:i/>
          <w:color w:val="000000" w:themeColor="text1"/>
          <w:sz w:val="20"/>
          <w:szCs w:val="20"/>
          <w:lang w:val="sw-KE" w:eastAsia="sw-KE"/>
        </w:rPr>
        <w:t xml:space="preserve"> </w:t>
      </w:r>
      <w:r w:rsidRPr="00FE0B18">
        <w:rPr>
          <w:rFonts w:ascii="Arial" w:hAnsi="Arial" w:cs="Arial"/>
          <w:b/>
          <w:i/>
          <w:color w:val="000000" w:themeColor="text1"/>
          <w:sz w:val="20"/>
          <w:szCs w:val="20"/>
          <w:lang w:val="sw-KE" w:eastAsia="sw-KE"/>
        </w:rPr>
        <w:t>called unsecured debentures. These are called simple debentures.</w:t>
      </w:r>
    </w:p>
    <w:p w:rsidR="00783CC8" w:rsidRPr="00FE0B18" w:rsidRDefault="00783CC8" w:rsidP="00783CC8">
      <w:pPr>
        <w:autoSpaceDE w:val="0"/>
        <w:autoSpaceDN w:val="0"/>
        <w:adjustRightInd w:val="0"/>
        <w:spacing w:after="0" w:line="240" w:lineRule="auto"/>
        <w:rPr>
          <w:rFonts w:ascii="Arial" w:hAnsi="Arial" w:cs="Arial"/>
          <w:b/>
          <w:i/>
          <w:color w:val="000000" w:themeColor="text1"/>
          <w:sz w:val="20"/>
          <w:szCs w:val="20"/>
          <w:lang w:val="sw-KE" w:eastAsia="sw-KE"/>
        </w:rPr>
      </w:pPr>
      <w:r w:rsidRPr="00FE0B18">
        <w:rPr>
          <w:rFonts w:ascii="Arial" w:hAnsi="Arial" w:cs="Arial"/>
          <w:b/>
          <w:i/>
          <w:color w:val="000000" w:themeColor="text1"/>
          <w:sz w:val="20"/>
          <w:szCs w:val="20"/>
          <w:lang w:val="sw-KE" w:eastAsia="sw-KE"/>
        </w:rPr>
        <w:t>2</w:t>
      </w:r>
      <w:r w:rsidRPr="00FE0B18">
        <w:rPr>
          <w:rFonts w:ascii="Arial" w:hAnsi="Arial" w:cs="Arial"/>
          <w:b/>
          <w:i/>
          <w:color w:val="000000" w:themeColor="text1"/>
          <w:sz w:val="20"/>
          <w:szCs w:val="20"/>
          <w:u w:val="single"/>
          <w:lang w:val="sw-KE" w:eastAsia="sw-KE"/>
        </w:rPr>
        <w:t>. On the basis of redemption</w:t>
      </w:r>
    </w:p>
    <w:p w:rsidR="00783CC8" w:rsidRPr="00FE0B18" w:rsidRDefault="00783CC8" w:rsidP="00783CC8">
      <w:pPr>
        <w:autoSpaceDE w:val="0"/>
        <w:autoSpaceDN w:val="0"/>
        <w:adjustRightInd w:val="0"/>
        <w:spacing w:after="0" w:line="240" w:lineRule="auto"/>
        <w:rPr>
          <w:rFonts w:ascii="Arial" w:hAnsi="Arial" w:cs="Arial"/>
          <w:b/>
          <w:i/>
          <w:color w:val="000000" w:themeColor="text1"/>
          <w:sz w:val="20"/>
          <w:szCs w:val="20"/>
          <w:lang w:val="sw-KE" w:eastAsia="sw-KE"/>
        </w:rPr>
      </w:pPr>
      <w:r w:rsidRPr="00FE0B18">
        <w:rPr>
          <w:rFonts w:ascii="Arial" w:hAnsi="Arial" w:cs="Arial"/>
          <w:b/>
          <w:i/>
          <w:color w:val="000000" w:themeColor="text1"/>
          <w:sz w:val="20"/>
          <w:szCs w:val="20"/>
          <w:lang w:val="sw-KE" w:eastAsia="sw-KE"/>
        </w:rPr>
        <w:t xml:space="preserve">(i) </w:t>
      </w:r>
      <w:r w:rsidRPr="00FE0B18">
        <w:rPr>
          <w:rFonts w:ascii="Arial" w:hAnsi="Arial" w:cs="Arial"/>
          <w:b/>
          <w:i/>
          <w:color w:val="000000" w:themeColor="text1"/>
          <w:sz w:val="20"/>
          <w:szCs w:val="20"/>
          <w:u w:val="single"/>
          <w:lang w:val="sw-KE" w:eastAsia="sw-KE"/>
        </w:rPr>
        <w:t>Redeemable debentures</w:t>
      </w:r>
      <w:r w:rsidRPr="00FE0B18">
        <w:rPr>
          <w:rFonts w:ascii="Arial" w:hAnsi="Arial" w:cs="Arial"/>
          <w:b/>
          <w:i/>
          <w:color w:val="000000" w:themeColor="text1"/>
          <w:sz w:val="20"/>
          <w:szCs w:val="20"/>
          <w:lang w:val="sw-KE" w:eastAsia="sw-KE"/>
        </w:rPr>
        <w:t xml:space="preserve"> : These are the debentures which are</w:t>
      </w:r>
      <w:r w:rsidR="00FE0B18" w:rsidRPr="00FE0B18">
        <w:rPr>
          <w:rFonts w:ascii="Arial" w:hAnsi="Arial" w:cs="Arial"/>
          <w:b/>
          <w:i/>
          <w:color w:val="000000" w:themeColor="text1"/>
          <w:sz w:val="20"/>
          <w:szCs w:val="20"/>
          <w:lang w:val="sw-KE" w:eastAsia="sw-KE"/>
        </w:rPr>
        <w:t xml:space="preserve"> </w:t>
      </w:r>
      <w:r w:rsidRPr="00FE0B18">
        <w:rPr>
          <w:rFonts w:ascii="Arial" w:hAnsi="Arial" w:cs="Arial"/>
          <w:b/>
          <w:i/>
          <w:color w:val="000000" w:themeColor="text1"/>
          <w:sz w:val="20"/>
          <w:szCs w:val="20"/>
          <w:lang w:val="sw-KE" w:eastAsia="sw-KE"/>
        </w:rPr>
        <w:t>issued for a fixed period. The principal amount of such debentures</w:t>
      </w:r>
      <w:r w:rsidR="00FE0B18" w:rsidRPr="00FE0B18">
        <w:rPr>
          <w:rFonts w:ascii="Arial" w:hAnsi="Arial" w:cs="Arial"/>
          <w:b/>
          <w:i/>
          <w:color w:val="000000" w:themeColor="text1"/>
          <w:sz w:val="20"/>
          <w:szCs w:val="20"/>
          <w:lang w:val="sw-KE" w:eastAsia="sw-KE"/>
        </w:rPr>
        <w:t xml:space="preserve"> </w:t>
      </w:r>
      <w:r w:rsidRPr="00FE0B18">
        <w:rPr>
          <w:rFonts w:ascii="Arial" w:hAnsi="Arial" w:cs="Arial"/>
          <w:b/>
          <w:i/>
          <w:color w:val="000000" w:themeColor="text1"/>
          <w:sz w:val="20"/>
          <w:szCs w:val="20"/>
          <w:lang w:val="sw-KE" w:eastAsia="sw-KE"/>
        </w:rPr>
        <w:t>is paid off to the debenture holders on the expiry of such period.</w:t>
      </w:r>
      <w:r w:rsidR="00FE0B18" w:rsidRPr="00FE0B18">
        <w:rPr>
          <w:rFonts w:ascii="Arial" w:hAnsi="Arial" w:cs="Arial"/>
          <w:b/>
          <w:i/>
          <w:color w:val="000000" w:themeColor="text1"/>
          <w:sz w:val="20"/>
          <w:szCs w:val="20"/>
          <w:lang w:val="sw-KE" w:eastAsia="sw-KE"/>
        </w:rPr>
        <w:t xml:space="preserve"> </w:t>
      </w:r>
      <w:r w:rsidRPr="00FE0B18">
        <w:rPr>
          <w:rFonts w:ascii="Arial" w:hAnsi="Arial" w:cs="Arial"/>
          <w:b/>
          <w:i/>
          <w:color w:val="000000" w:themeColor="text1"/>
          <w:sz w:val="20"/>
          <w:szCs w:val="20"/>
          <w:lang w:val="sw-KE" w:eastAsia="sw-KE"/>
        </w:rPr>
        <w:t>These can be redeemed by annual drawings or by purchasing from</w:t>
      </w:r>
      <w:r w:rsidR="00FE0B18" w:rsidRPr="00FE0B18">
        <w:rPr>
          <w:rFonts w:ascii="Arial" w:hAnsi="Arial" w:cs="Arial"/>
          <w:b/>
          <w:i/>
          <w:color w:val="000000" w:themeColor="text1"/>
          <w:sz w:val="20"/>
          <w:szCs w:val="20"/>
          <w:lang w:val="sw-KE" w:eastAsia="sw-KE"/>
        </w:rPr>
        <w:t xml:space="preserve"> </w:t>
      </w:r>
      <w:r w:rsidRPr="00FE0B18">
        <w:rPr>
          <w:rFonts w:ascii="Arial" w:hAnsi="Arial" w:cs="Arial"/>
          <w:b/>
          <w:i/>
          <w:color w:val="000000" w:themeColor="text1"/>
          <w:sz w:val="20"/>
          <w:szCs w:val="20"/>
          <w:lang w:val="sw-KE" w:eastAsia="sw-KE"/>
        </w:rPr>
        <w:t>the open market.</w:t>
      </w:r>
    </w:p>
    <w:p w:rsidR="00783CC8" w:rsidRPr="00FE0B18" w:rsidRDefault="00783CC8" w:rsidP="00783CC8">
      <w:pPr>
        <w:autoSpaceDE w:val="0"/>
        <w:autoSpaceDN w:val="0"/>
        <w:adjustRightInd w:val="0"/>
        <w:spacing w:after="0" w:line="240" w:lineRule="auto"/>
        <w:rPr>
          <w:rFonts w:ascii="Arial" w:hAnsi="Arial" w:cs="Arial"/>
          <w:b/>
          <w:i/>
          <w:color w:val="000000" w:themeColor="text1"/>
          <w:sz w:val="20"/>
          <w:szCs w:val="20"/>
          <w:lang w:val="sw-KE" w:eastAsia="sw-KE"/>
        </w:rPr>
      </w:pPr>
      <w:r w:rsidRPr="00FE0B18">
        <w:rPr>
          <w:rFonts w:ascii="Arial" w:hAnsi="Arial" w:cs="Arial"/>
          <w:b/>
          <w:i/>
          <w:color w:val="000000" w:themeColor="text1"/>
          <w:sz w:val="20"/>
          <w:szCs w:val="20"/>
          <w:lang w:val="sw-KE" w:eastAsia="sw-KE"/>
        </w:rPr>
        <w:t xml:space="preserve">(ii) </w:t>
      </w:r>
      <w:r w:rsidRPr="00FE0B18">
        <w:rPr>
          <w:rFonts w:ascii="Arial" w:hAnsi="Arial" w:cs="Arial"/>
          <w:b/>
          <w:i/>
          <w:color w:val="000000" w:themeColor="text1"/>
          <w:sz w:val="20"/>
          <w:szCs w:val="20"/>
          <w:u w:val="single"/>
          <w:lang w:val="sw-KE" w:eastAsia="sw-KE"/>
        </w:rPr>
        <w:t>Non-redeemable debentures</w:t>
      </w:r>
      <w:r w:rsidRPr="00FE0B18">
        <w:rPr>
          <w:rFonts w:ascii="Arial" w:hAnsi="Arial" w:cs="Arial"/>
          <w:b/>
          <w:i/>
          <w:color w:val="000000" w:themeColor="text1"/>
          <w:sz w:val="20"/>
          <w:szCs w:val="20"/>
          <w:lang w:val="sw-KE" w:eastAsia="sw-KE"/>
        </w:rPr>
        <w:t xml:space="preserve"> : These are the debentures which</w:t>
      </w:r>
      <w:r w:rsidR="00FE0B18" w:rsidRPr="00FE0B18">
        <w:rPr>
          <w:rFonts w:ascii="Arial" w:hAnsi="Arial" w:cs="Arial"/>
          <w:b/>
          <w:i/>
          <w:color w:val="000000" w:themeColor="text1"/>
          <w:sz w:val="20"/>
          <w:szCs w:val="20"/>
          <w:lang w:val="sw-KE" w:eastAsia="sw-KE"/>
        </w:rPr>
        <w:t xml:space="preserve"> </w:t>
      </w:r>
      <w:r w:rsidRPr="00FE0B18">
        <w:rPr>
          <w:rFonts w:ascii="Arial" w:hAnsi="Arial" w:cs="Arial"/>
          <w:b/>
          <w:i/>
          <w:color w:val="000000" w:themeColor="text1"/>
          <w:sz w:val="20"/>
          <w:szCs w:val="20"/>
          <w:lang w:val="sw-KE" w:eastAsia="sw-KE"/>
        </w:rPr>
        <w:t>are not redeemed in the life time of the company. Such debentures</w:t>
      </w:r>
      <w:r w:rsidR="00FE0B18" w:rsidRPr="00FE0B18">
        <w:rPr>
          <w:rFonts w:ascii="Arial" w:hAnsi="Arial" w:cs="Arial"/>
          <w:b/>
          <w:i/>
          <w:color w:val="000000" w:themeColor="text1"/>
          <w:sz w:val="20"/>
          <w:szCs w:val="20"/>
          <w:lang w:val="sw-KE" w:eastAsia="sw-KE"/>
        </w:rPr>
        <w:t xml:space="preserve"> </w:t>
      </w:r>
      <w:r w:rsidRPr="00FE0B18">
        <w:rPr>
          <w:rFonts w:ascii="Arial" w:hAnsi="Arial" w:cs="Arial"/>
          <w:b/>
          <w:i/>
          <w:color w:val="000000" w:themeColor="text1"/>
          <w:sz w:val="20"/>
          <w:szCs w:val="20"/>
          <w:lang w:val="sw-KE" w:eastAsia="sw-KE"/>
        </w:rPr>
        <w:t xml:space="preserve">are paid back </w:t>
      </w:r>
      <w:r w:rsidR="00FE0B18" w:rsidRPr="00FE0B18">
        <w:rPr>
          <w:rFonts w:ascii="Arial" w:hAnsi="Arial" w:cs="Arial"/>
          <w:b/>
          <w:i/>
          <w:color w:val="000000" w:themeColor="text1"/>
          <w:sz w:val="20"/>
          <w:szCs w:val="20"/>
          <w:lang w:val="sw-KE" w:eastAsia="sw-KE"/>
        </w:rPr>
        <w:t xml:space="preserve">only when the company goes into </w:t>
      </w:r>
      <w:r w:rsidRPr="00FE0B18">
        <w:rPr>
          <w:rFonts w:ascii="Arial" w:hAnsi="Arial" w:cs="Arial"/>
          <w:b/>
          <w:i/>
          <w:color w:val="000000" w:themeColor="text1"/>
          <w:sz w:val="20"/>
          <w:szCs w:val="20"/>
          <w:lang w:val="sw-KE" w:eastAsia="sw-KE"/>
        </w:rPr>
        <w:t>liquidation.</w:t>
      </w:r>
    </w:p>
    <w:p w:rsidR="00783CC8" w:rsidRPr="00FE0B18" w:rsidRDefault="00783CC8" w:rsidP="00783CC8">
      <w:pPr>
        <w:autoSpaceDE w:val="0"/>
        <w:autoSpaceDN w:val="0"/>
        <w:adjustRightInd w:val="0"/>
        <w:spacing w:after="0" w:line="240" w:lineRule="auto"/>
        <w:rPr>
          <w:rFonts w:ascii="Arial" w:hAnsi="Arial" w:cs="Arial"/>
          <w:b/>
          <w:i/>
          <w:color w:val="000000" w:themeColor="text1"/>
          <w:sz w:val="20"/>
          <w:szCs w:val="20"/>
          <w:u w:val="single"/>
          <w:lang w:val="sw-KE" w:eastAsia="sw-KE"/>
        </w:rPr>
      </w:pPr>
      <w:r w:rsidRPr="00FE0B18">
        <w:rPr>
          <w:rFonts w:ascii="Arial" w:hAnsi="Arial" w:cs="Arial"/>
          <w:b/>
          <w:i/>
          <w:color w:val="000000" w:themeColor="text1"/>
          <w:sz w:val="20"/>
          <w:szCs w:val="20"/>
          <w:lang w:val="sw-KE" w:eastAsia="sw-KE"/>
        </w:rPr>
        <w:t xml:space="preserve">3. </w:t>
      </w:r>
      <w:r w:rsidRPr="00FE0B18">
        <w:rPr>
          <w:rFonts w:ascii="Arial" w:hAnsi="Arial" w:cs="Arial"/>
          <w:b/>
          <w:i/>
          <w:color w:val="000000" w:themeColor="text1"/>
          <w:sz w:val="20"/>
          <w:szCs w:val="20"/>
          <w:u w:val="single"/>
          <w:lang w:val="sw-KE" w:eastAsia="sw-KE"/>
        </w:rPr>
        <w:t>On the basis of Records</w:t>
      </w:r>
    </w:p>
    <w:p w:rsidR="00783CC8" w:rsidRPr="00FE0B18" w:rsidRDefault="00783CC8" w:rsidP="00783CC8">
      <w:pPr>
        <w:autoSpaceDE w:val="0"/>
        <w:autoSpaceDN w:val="0"/>
        <w:adjustRightInd w:val="0"/>
        <w:spacing w:after="0" w:line="240" w:lineRule="auto"/>
        <w:rPr>
          <w:rFonts w:ascii="Arial" w:hAnsi="Arial" w:cs="Arial"/>
          <w:b/>
          <w:i/>
          <w:color w:val="000000" w:themeColor="text1"/>
          <w:sz w:val="20"/>
          <w:szCs w:val="20"/>
          <w:lang w:val="sw-KE" w:eastAsia="sw-KE"/>
        </w:rPr>
      </w:pPr>
      <w:r w:rsidRPr="00FE0B18">
        <w:rPr>
          <w:rFonts w:ascii="Arial" w:hAnsi="Arial" w:cs="Arial"/>
          <w:b/>
          <w:i/>
          <w:color w:val="000000" w:themeColor="text1"/>
          <w:sz w:val="20"/>
          <w:szCs w:val="20"/>
          <w:lang w:val="sw-KE" w:eastAsia="sw-KE"/>
        </w:rPr>
        <w:t>(i</w:t>
      </w:r>
      <w:r w:rsidRPr="00FE0B18">
        <w:rPr>
          <w:rFonts w:ascii="Arial" w:hAnsi="Arial" w:cs="Arial"/>
          <w:b/>
          <w:i/>
          <w:color w:val="000000" w:themeColor="text1"/>
          <w:sz w:val="20"/>
          <w:szCs w:val="20"/>
          <w:u w:val="single"/>
          <w:lang w:val="sw-KE" w:eastAsia="sw-KE"/>
        </w:rPr>
        <w:t>) Registered debentures</w:t>
      </w:r>
      <w:r w:rsidRPr="00FE0B18">
        <w:rPr>
          <w:rFonts w:ascii="Arial" w:hAnsi="Arial" w:cs="Arial"/>
          <w:b/>
          <w:i/>
          <w:color w:val="000000" w:themeColor="text1"/>
          <w:sz w:val="20"/>
          <w:szCs w:val="20"/>
          <w:lang w:val="sw-KE" w:eastAsia="sw-KE"/>
        </w:rPr>
        <w:t xml:space="preserve"> : These are the debentures that are</w:t>
      </w:r>
      <w:r w:rsidR="00FE0B18" w:rsidRPr="00FE0B18">
        <w:rPr>
          <w:rFonts w:ascii="Arial" w:hAnsi="Arial" w:cs="Arial"/>
          <w:b/>
          <w:i/>
          <w:color w:val="000000" w:themeColor="text1"/>
          <w:sz w:val="20"/>
          <w:szCs w:val="20"/>
          <w:lang w:val="sw-KE" w:eastAsia="sw-KE"/>
        </w:rPr>
        <w:t xml:space="preserve"> </w:t>
      </w:r>
      <w:r w:rsidRPr="00FE0B18">
        <w:rPr>
          <w:rFonts w:ascii="Arial" w:hAnsi="Arial" w:cs="Arial"/>
          <w:b/>
          <w:i/>
          <w:color w:val="000000" w:themeColor="text1"/>
          <w:sz w:val="20"/>
          <w:szCs w:val="20"/>
          <w:lang w:val="sw-KE" w:eastAsia="sw-KE"/>
        </w:rPr>
        <w:t>registered with the company. The amount of such debentures is</w:t>
      </w:r>
      <w:r w:rsidR="00FE0B18" w:rsidRPr="00FE0B18">
        <w:rPr>
          <w:rFonts w:ascii="Arial" w:hAnsi="Arial" w:cs="Arial"/>
          <w:b/>
          <w:i/>
          <w:color w:val="000000" w:themeColor="text1"/>
          <w:sz w:val="20"/>
          <w:szCs w:val="20"/>
          <w:lang w:val="sw-KE" w:eastAsia="sw-KE"/>
        </w:rPr>
        <w:t xml:space="preserve"> </w:t>
      </w:r>
      <w:r w:rsidRPr="00FE0B18">
        <w:rPr>
          <w:rFonts w:ascii="Arial" w:hAnsi="Arial" w:cs="Arial"/>
          <w:b/>
          <w:i/>
          <w:color w:val="000000" w:themeColor="text1"/>
          <w:sz w:val="20"/>
          <w:szCs w:val="20"/>
          <w:lang w:val="sw-KE" w:eastAsia="sw-KE"/>
        </w:rPr>
        <w:t>payable only to those debenture holders whose name appears in</w:t>
      </w:r>
      <w:r w:rsidR="00FE0B18" w:rsidRPr="00FE0B18">
        <w:rPr>
          <w:rFonts w:ascii="Arial" w:hAnsi="Arial" w:cs="Arial"/>
          <w:b/>
          <w:i/>
          <w:color w:val="000000" w:themeColor="text1"/>
          <w:sz w:val="20"/>
          <w:szCs w:val="20"/>
          <w:lang w:val="sw-KE" w:eastAsia="sw-KE"/>
        </w:rPr>
        <w:t xml:space="preserve"> </w:t>
      </w:r>
      <w:r w:rsidRPr="00FE0B18">
        <w:rPr>
          <w:rFonts w:ascii="Arial" w:hAnsi="Arial" w:cs="Arial"/>
          <w:b/>
          <w:i/>
          <w:color w:val="000000" w:themeColor="text1"/>
          <w:sz w:val="20"/>
          <w:szCs w:val="20"/>
          <w:lang w:val="sw-KE" w:eastAsia="sw-KE"/>
        </w:rPr>
        <w:t>the register of the company.</w:t>
      </w:r>
    </w:p>
    <w:p w:rsidR="00783CC8" w:rsidRPr="00FE0B18" w:rsidRDefault="00783CC8" w:rsidP="00783CC8">
      <w:pPr>
        <w:autoSpaceDE w:val="0"/>
        <w:autoSpaceDN w:val="0"/>
        <w:adjustRightInd w:val="0"/>
        <w:spacing w:after="0" w:line="240" w:lineRule="auto"/>
        <w:rPr>
          <w:rFonts w:ascii="Arial" w:hAnsi="Arial" w:cs="Arial"/>
          <w:b/>
          <w:i/>
          <w:color w:val="000000" w:themeColor="text1"/>
          <w:sz w:val="20"/>
          <w:szCs w:val="20"/>
          <w:lang w:val="sw-KE" w:eastAsia="sw-KE"/>
        </w:rPr>
      </w:pPr>
      <w:r w:rsidRPr="00FE0B18">
        <w:rPr>
          <w:rFonts w:ascii="Arial" w:hAnsi="Arial" w:cs="Arial"/>
          <w:b/>
          <w:i/>
          <w:color w:val="000000" w:themeColor="text1"/>
          <w:sz w:val="20"/>
          <w:szCs w:val="20"/>
          <w:lang w:val="sw-KE" w:eastAsia="sw-KE"/>
        </w:rPr>
        <w:t xml:space="preserve">(ii) </w:t>
      </w:r>
      <w:r w:rsidRPr="00FE0B18">
        <w:rPr>
          <w:rFonts w:ascii="Arial" w:hAnsi="Arial" w:cs="Arial"/>
          <w:b/>
          <w:i/>
          <w:color w:val="000000" w:themeColor="text1"/>
          <w:sz w:val="20"/>
          <w:szCs w:val="20"/>
          <w:u w:val="single"/>
          <w:lang w:val="sw-KE" w:eastAsia="sw-KE"/>
        </w:rPr>
        <w:t>Bearer debentures</w:t>
      </w:r>
      <w:r w:rsidRPr="00FE0B18">
        <w:rPr>
          <w:rFonts w:ascii="Arial" w:hAnsi="Arial" w:cs="Arial"/>
          <w:b/>
          <w:i/>
          <w:color w:val="000000" w:themeColor="text1"/>
          <w:sz w:val="20"/>
          <w:szCs w:val="20"/>
          <w:lang w:val="sw-KE" w:eastAsia="sw-KE"/>
        </w:rPr>
        <w:t xml:space="preserve"> : These are the debentures which are not</w:t>
      </w:r>
      <w:r w:rsidR="00FE0B18" w:rsidRPr="00FE0B18">
        <w:rPr>
          <w:rFonts w:ascii="Arial" w:hAnsi="Arial" w:cs="Arial"/>
          <w:b/>
          <w:i/>
          <w:color w:val="000000" w:themeColor="text1"/>
          <w:sz w:val="20"/>
          <w:szCs w:val="20"/>
          <w:lang w:val="sw-KE" w:eastAsia="sw-KE"/>
        </w:rPr>
        <w:t xml:space="preserve"> </w:t>
      </w:r>
      <w:r w:rsidRPr="00FE0B18">
        <w:rPr>
          <w:rFonts w:ascii="Arial" w:hAnsi="Arial" w:cs="Arial"/>
          <w:b/>
          <w:i/>
          <w:color w:val="000000" w:themeColor="text1"/>
          <w:sz w:val="20"/>
          <w:szCs w:val="20"/>
          <w:lang w:val="sw-KE" w:eastAsia="sw-KE"/>
        </w:rPr>
        <w:t>recorded in a register of the company. Such debentures are</w:t>
      </w:r>
      <w:r w:rsidR="00FE0B18" w:rsidRPr="00FE0B18">
        <w:rPr>
          <w:rFonts w:ascii="Arial" w:hAnsi="Arial" w:cs="Arial"/>
          <w:b/>
          <w:i/>
          <w:color w:val="000000" w:themeColor="text1"/>
          <w:sz w:val="20"/>
          <w:szCs w:val="20"/>
          <w:lang w:val="sw-KE" w:eastAsia="sw-KE"/>
        </w:rPr>
        <w:t xml:space="preserve"> </w:t>
      </w:r>
      <w:r w:rsidRPr="00FE0B18">
        <w:rPr>
          <w:rFonts w:ascii="Arial" w:hAnsi="Arial" w:cs="Arial"/>
          <w:b/>
          <w:i/>
          <w:color w:val="000000" w:themeColor="text1"/>
          <w:sz w:val="20"/>
          <w:szCs w:val="20"/>
          <w:lang w:val="sw-KE" w:eastAsia="sw-KE"/>
        </w:rPr>
        <w:t>transferrable merely by delivery. Holder of these debentures is</w:t>
      </w:r>
    </w:p>
    <w:p w:rsidR="00783CC8" w:rsidRPr="00FE0B18" w:rsidRDefault="00783CC8" w:rsidP="00783CC8">
      <w:pPr>
        <w:autoSpaceDE w:val="0"/>
        <w:autoSpaceDN w:val="0"/>
        <w:adjustRightInd w:val="0"/>
        <w:spacing w:after="0" w:line="240" w:lineRule="auto"/>
        <w:rPr>
          <w:rFonts w:ascii="Arial" w:hAnsi="Arial" w:cs="Arial"/>
          <w:b/>
          <w:i/>
          <w:color w:val="000000" w:themeColor="text1"/>
          <w:sz w:val="20"/>
          <w:szCs w:val="20"/>
          <w:lang w:val="sw-KE" w:eastAsia="sw-KE"/>
        </w:rPr>
      </w:pPr>
      <w:r w:rsidRPr="00FE0B18">
        <w:rPr>
          <w:rFonts w:ascii="Arial" w:hAnsi="Arial" w:cs="Arial"/>
          <w:b/>
          <w:i/>
          <w:color w:val="000000" w:themeColor="text1"/>
          <w:sz w:val="20"/>
          <w:szCs w:val="20"/>
          <w:lang w:val="sw-KE" w:eastAsia="sw-KE"/>
        </w:rPr>
        <w:t>entitled to get the interest.</w:t>
      </w:r>
    </w:p>
    <w:p w:rsidR="00783CC8" w:rsidRPr="00FE0B18" w:rsidRDefault="00783CC8" w:rsidP="00783CC8">
      <w:pPr>
        <w:autoSpaceDE w:val="0"/>
        <w:autoSpaceDN w:val="0"/>
        <w:adjustRightInd w:val="0"/>
        <w:spacing w:after="0" w:line="240" w:lineRule="auto"/>
        <w:rPr>
          <w:rFonts w:ascii="Arial" w:hAnsi="Arial" w:cs="Arial"/>
          <w:b/>
          <w:i/>
          <w:color w:val="000000" w:themeColor="text1"/>
          <w:sz w:val="20"/>
          <w:szCs w:val="20"/>
          <w:lang w:val="sw-KE" w:eastAsia="sw-KE"/>
        </w:rPr>
      </w:pPr>
      <w:r w:rsidRPr="00FE0B18">
        <w:rPr>
          <w:rFonts w:ascii="Arial" w:hAnsi="Arial" w:cs="Arial"/>
          <w:b/>
          <w:i/>
          <w:color w:val="000000" w:themeColor="text1"/>
          <w:sz w:val="20"/>
          <w:szCs w:val="20"/>
          <w:lang w:val="sw-KE" w:eastAsia="sw-KE"/>
        </w:rPr>
        <w:t xml:space="preserve">4. </w:t>
      </w:r>
      <w:r w:rsidRPr="00FE0B18">
        <w:rPr>
          <w:rFonts w:ascii="Arial" w:hAnsi="Arial" w:cs="Arial"/>
          <w:b/>
          <w:i/>
          <w:color w:val="000000" w:themeColor="text1"/>
          <w:sz w:val="20"/>
          <w:szCs w:val="20"/>
          <w:u w:val="single"/>
          <w:lang w:val="sw-KE" w:eastAsia="sw-KE"/>
        </w:rPr>
        <w:t>On the basis of convertibility</w:t>
      </w:r>
    </w:p>
    <w:p w:rsidR="00783CC8" w:rsidRPr="00FE0B18" w:rsidRDefault="00783CC8" w:rsidP="00783CC8">
      <w:pPr>
        <w:autoSpaceDE w:val="0"/>
        <w:autoSpaceDN w:val="0"/>
        <w:adjustRightInd w:val="0"/>
        <w:spacing w:after="0" w:line="240" w:lineRule="auto"/>
        <w:rPr>
          <w:rFonts w:ascii="Arial" w:hAnsi="Arial" w:cs="Arial"/>
          <w:b/>
          <w:i/>
          <w:color w:val="000000" w:themeColor="text1"/>
          <w:sz w:val="20"/>
          <w:szCs w:val="20"/>
          <w:lang w:val="sw-KE" w:eastAsia="sw-KE"/>
        </w:rPr>
      </w:pPr>
      <w:r w:rsidRPr="00FE0B18">
        <w:rPr>
          <w:rFonts w:ascii="Arial" w:hAnsi="Arial" w:cs="Arial"/>
          <w:b/>
          <w:i/>
          <w:color w:val="000000" w:themeColor="text1"/>
          <w:sz w:val="20"/>
          <w:szCs w:val="20"/>
          <w:lang w:val="sw-KE" w:eastAsia="sw-KE"/>
        </w:rPr>
        <w:t xml:space="preserve">(i) </w:t>
      </w:r>
      <w:r w:rsidRPr="00FE0B18">
        <w:rPr>
          <w:rFonts w:ascii="Arial" w:hAnsi="Arial" w:cs="Arial"/>
          <w:b/>
          <w:i/>
          <w:color w:val="000000" w:themeColor="text1"/>
          <w:sz w:val="20"/>
          <w:szCs w:val="20"/>
          <w:u w:val="single"/>
          <w:lang w:val="sw-KE" w:eastAsia="sw-KE"/>
        </w:rPr>
        <w:t>Convertible debentures</w:t>
      </w:r>
      <w:r w:rsidRPr="00FE0B18">
        <w:rPr>
          <w:rFonts w:ascii="Arial" w:hAnsi="Arial" w:cs="Arial"/>
          <w:b/>
          <w:i/>
          <w:color w:val="000000" w:themeColor="text1"/>
          <w:sz w:val="20"/>
          <w:szCs w:val="20"/>
          <w:lang w:val="sw-KE" w:eastAsia="sw-KE"/>
        </w:rPr>
        <w:t xml:space="preserve"> : These are the debentures that can be</w:t>
      </w:r>
      <w:r w:rsidR="00FE0B18" w:rsidRPr="00FE0B18">
        <w:rPr>
          <w:rFonts w:ascii="Arial" w:hAnsi="Arial" w:cs="Arial"/>
          <w:b/>
          <w:i/>
          <w:color w:val="000000" w:themeColor="text1"/>
          <w:sz w:val="20"/>
          <w:szCs w:val="20"/>
          <w:lang w:val="sw-KE" w:eastAsia="sw-KE"/>
        </w:rPr>
        <w:t xml:space="preserve"> </w:t>
      </w:r>
      <w:r w:rsidRPr="00FE0B18">
        <w:rPr>
          <w:rFonts w:ascii="Arial" w:hAnsi="Arial" w:cs="Arial"/>
          <w:b/>
          <w:i/>
          <w:color w:val="000000" w:themeColor="text1"/>
          <w:sz w:val="20"/>
          <w:szCs w:val="20"/>
          <w:lang w:val="sw-KE" w:eastAsia="sw-KE"/>
        </w:rPr>
        <w:t>converted into shares of the company on the expiry of predecided</w:t>
      </w:r>
      <w:r w:rsidR="00FE0B18" w:rsidRPr="00FE0B18">
        <w:rPr>
          <w:rFonts w:ascii="Arial" w:hAnsi="Arial" w:cs="Arial"/>
          <w:b/>
          <w:i/>
          <w:color w:val="000000" w:themeColor="text1"/>
          <w:sz w:val="20"/>
          <w:szCs w:val="20"/>
          <w:lang w:val="sw-KE" w:eastAsia="sw-KE"/>
        </w:rPr>
        <w:t xml:space="preserve"> </w:t>
      </w:r>
      <w:r w:rsidRPr="00FE0B18">
        <w:rPr>
          <w:rFonts w:ascii="Arial" w:hAnsi="Arial" w:cs="Arial"/>
          <w:b/>
          <w:i/>
          <w:color w:val="000000" w:themeColor="text1"/>
          <w:sz w:val="20"/>
          <w:szCs w:val="20"/>
          <w:lang w:val="sw-KE" w:eastAsia="sw-KE"/>
        </w:rPr>
        <w:t>period. The term and conditions of conversion are generally</w:t>
      </w:r>
      <w:r w:rsidR="00FE0B18" w:rsidRPr="00FE0B18">
        <w:rPr>
          <w:rFonts w:ascii="Arial" w:hAnsi="Arial" w:cs="Arial"/>
          <w:b/>
          <w:i/>
          <w:color w:val="000000" w:themeColor="text1"/>
          <w:sz w:val="20"/>
          <w:szCs w:val="20"/>
          <w:lang w:val="sw-KE" w:eastAsia="sw-KE"/>
        </w:rPr>
        <w:t xml:space="preserve"> </w:t>
      </w:r>
      <w:r w:rsidRPr="00FE0B18">
        <w:rPr>
          <w:rFonts w:ascii="Arial" w:hAnsi="Arial" w:cs="Arial"/>
          <w:b/>
          <w:i/>
          <w:color w:val="000000" w:themeColor="text1"/>
          <w:sz w:val="20"/>
          <w:szCs w:val="20"/>
          <w:lang w:val="sw-KE" w:eastAsia="sw-KE"/>
        </w:rPr>
        <w:t>announced at the time of issue of debentures.</w:t>
      </w:r>
    </w:p>
    <w:p w:rsidR="00783CC8" w:rsidRPr="00FE0B18" w:rsidRDefault="00783CC8" w:rsidP="00783CC8">
      <w:pPr>
        <w:autoSpaceDE w:val="0"/>
        <w:autoSpaceDN w:val="0"/>
        <w:adjustRightInd w:val="0"/>
        <w:spacing w:after="0" w:line="240" w:lineRule="auto"/>
        <w:rPr>
          <w:rFonts w:ascii="Arial" w:hAnsi="Arial" w:cs="Arial"/>
          <w:b/>
          <w:i/>
          <w:color w:val="000000" w:themeColor="text1"/>
          <w:sz w:val="20"/>
          <w:szCs w:val="20"/>
          <w:lang w:val="sw-KE" w:eastAsia="sw-KE"/>
        </w:rPr>
      </w:pPr>
      <w:r w:rsidRPr="00FE0B18">
        <w:rPr>
          <w:rFonts w:ascii="Arial" w:hAnsi="Arial" w:cs="Arial"/>
          <w:b/>
          <w:i/>
          <w:color w:val="000000" w:themeColor="text1"/>
          <w:sz w:val="20"/>
          <w:szCs w:val="20"/>
          <w:lang w:val="sw-KE" w:eastAsia="sw-KE"/>
        </w:rPr>
        <w:t xml:space="preserve">(ii) </w:t>
      </w:r>
      <w:r w:rsidRPr="00FE0B18">
        <w:rPr>
          <w:rFonts w:ascii="Arial" w:hAnsi="Arial" w:cs="Arial"/>
          <w:b/>
          <w:i/>
          <w:color w:val="000000" w:themeColor="text1"/>
          <w:sz w:val="20"/>
          <w:szCs w:val="20"/>
          <w:u w:val="single"/>
          <w:lang w:val="sw-KE" w:eastAsia="sw-KE"/>
        </w:rPr>
        <w:t>Non-convertible debentures</w:t>
      </w:r>
      <w:r w:rsidRPr="00FE0B18">
        <w:rPr>
          <w:rFonts w:ascii="Arial" w:hAnsi="Arial" w:cs="Arial"/>
          <w:b/>
          <w:i/>
          <w:color w:val="000000" w:themeColor="text1"/>
          <w:sz w:val="20"/>
          <w:szCs w:val="20"/>
          <w:lang w:val="sw-KE" w:eastAsia="sw-KE"/>
        </w:rPr>
        <w:t xml:space="preserve"> : The debenture holders of such</w:t>
      </w:r>
      <w:r w:rsidR="00FE0B18" w:rsidRPr="00FE0B18">
        <w:rPr>
          <w:rFonts w:ascii="Arial" w:hAnsi="Arial" w:cs="Arial"/>
          <w:b/>
          <w:i/>
          <w:color w:val="000000" w:themeColor="text1"/>
          <w:sz w:val="20"/>
          <w:szCs w:val="20"/>
          <w:lang w:val="sw-KE" w:eastAsia="sw-KE"/>
        </w:rPr>
        <w:t xml:space="preserve"> </w:t>
      </w:r>
      <w:r w:rsidRPr="00FE0B18">
        <w:rPr>
          <w:rFonts w:ascii="Arial" w:hAnsi="Arial" w:cs="Arial"/>
          <w:b/>
          <w:i/>
          <w:color w:val="000000" w:themeColor="text1"/>
          <w:sz w:val="20"/>
          <w:szCs w:val="20"/>
          <w:lang w:val="sw-KE" w:eastAsia="sw-KE"/>
        </w:rPr>
        <w:t>debentures cannot convert their debentures into shares of the</w:t>
      </w:r>
      <w:r w:rsidR="00FE0B18" w:rsidRPr="00FE0B18">
        <w:rPr>
          <w:rFonts w:ascii="Arial" w:hAnsi="Arial" w:cs="Arial"/>
          <w:b/>
          <w:i/>
          <w:color w:val="000000" w:themeColor="text1"/>
          <w:sz w:val="20"/>
          <w:szCs w:val="20"/>
          <w:lang w:val="sw-KE" w:eastAsia="sw-KE"/>
        </w:rPr>
        <w:t xml:space="preserve"> </w:t>
      </w:r>
      <w:r w:rsidRPr="00FE0B18">
        <w:rPr>
          <w:rFonts w:ascii="Arial" w:hAnsi="Arial" w:cs="Arial"/>
          <w:b/>
          <w:i/>
          <w:color w:val="000000" w:themeColor="text1"/>
          <w:sz w:val="20"/>
          <w:szCs w:val="20"/>
          <w:lang w:val="sw-KE" w:eastAsia="sw-KE"/>
        </w:rPr>
        <w:t>company.</w:t>
      </w:r>
    </w:p>
    <w:p w:rsidR="00783CC8" w:rsidRPr="00FE0B18" w:rsidRDefault="00783CC8" w:rsidP="00783CC8">
      <w:pPr>
        <w:autoSpaceDE w:val="0"/>
        <w:autoSpaceDN w:val="0"/>
        <w:adjustRightInd w:val="0"/>
        <w:spacing w:after="0" w:line="240" w:lineRule="auto"/>
        <w:rPr>
          <w:rFonts w:ascii="Arial" w:hAnsi="Arial" w:cs="Arial"/>
          <w:b/>
          <w:i/>
          <w:color w:val="000000" w:themeColor="text1"/>
          <w:sz w:val="20"/>
          <w:szCs w:val="20"/>
          <w:lang w:val="sw-KE" w:eastAsia="sw-KE"/>
        </w:rPr>
      </w:pPr>
      <w:r w:rsidRPr="00FE0B18">
        <w:rPr>
          <w:rFonts w:ascii="Arial" w:hAnsi="Arial" w:cs="Arial"/>
          <w:b/>
          <w:i/>
          <w:color w:val="000000" w:themeColor="text1"/>
          <w:sz w:val="20"/>
          <w:szCs w:val="20"/>
          <w:lang w:val="sw-KE" w:eastAsia="sw-KE"/>
        </w:rPr>
        <w:t xml:space="preserve">5. </w:t>
      </w:r>
      <w:r w:rsidRPr="00FE0B18">
        <w:rPr>
          <w:rFonts w:ascii="Arial" w:hAnsi="Arial" w:cs="Arial"/>
          <w:b/>
          <w:i/>
          <w:color w:val="000000" w:themeColor="text1"/>
          <w:sz w:val="20"/>
          <w:szCs w:val="20"/>
          <w:u w:val="single"/>
          <w:lang w:val="sw-KE" w:eastAsia="sw-KE"/>
        </w:rPr>
        <w:t>On the basis of priority</w:t>
      </w:r>
    </w:p>
    <w:p w:rsidR="00783CC8" w:rsidRPr="00FE0B18" w:rsidRDefault="00783CC8" w:rsidP="00783CC8">
      <w:pPr>
        <w:autoSpaceDE w:val="0"/>
        <w:autoSpaceDN w:val="0"/>
        <w:adjustRightInd w:val="0"/>
        <w:spacing w:after="0" w:line="240" w:lineRule="auto"/>
        <w:rPr>
          <w:rFonts w:ascii="Arial" w:hAnsi="Arial" w:cs="Arial"/>
          <w:b/>
          <w:i/>
          <w:color w:val="000000" w:themeColor="text1"/>
          <w:sz w:val="20"/>
          <w:szCs w:val="20"/>
          <w:lang w:val="sw-KE" w:eastAsia="sw-KE"/>
        </w:rPr>
      </w:pPr>
      <w:r w:rsidRPr="00FE0B18">
        <w:rPr>
          <w:rFonts w:ascii="Arial" w:hAnsi="Arial" w:cs="Arial"/>
          <w:b/>
          <w:i/>
          <w:color w:val="000000" w:themeColor="text1"/>
          <w:sz w:val="20"/>
          <w:szCs w:val="20"/>
          <w:lang w:val="sw-KE" w:eastAsia="sw-KE"/>
        </w:rPr>
        <w:t xml:space="preserve">(i) </w:t>
      </w:r>
      <w:r w:rsidRPr="00FE0B18">
        <w:rPr>
          <w:rFonts w:ascii="Arial" w:hAnsi="Arial" w:cs="Arial"/>
          <w:b/>
          <w:i/>
          <w:color w:val="000000" w:themeColor="text1"/>
          <w:sz w:val="20"/>
          <w:szCs w:val="20"/>
          <w:u w:val="single"/>
          <w:lang w:val="sw-KE" w:eastAsia="sw-KE"/>
        </w:rPr>
        <w:t>First debentures</w:t>
      </w:r>
      <w:r w:rsidRPr="00FE0B18">
        <w:rPr>
          <w:rFonts w:ascii="Arial" w:hAnsi="Arial" w:cs="Arial"/>
          <w:b/>
          <w:i/>
          <w:color w:val="000000" w:themeColor="text1"/>
          <w:sz w:val="20"/>
          <w:szCs w:val="20"/>
          <w:lang w:val="sw-KE" w:eastAsia="sw-KE"/>
        </w:rPr>
        <w:t xml:space="preserve"> : These debentures are redeemed before other</w:t>
      </w:r>
      <w:r w:rsidR="00FE0B18" w:rsidRPr="00FE0B18">
        <w:rPr>
          <w:rFonts w:ascii="Arial" w:hAnsi="Arial" w:cs="Arial"/>
          <w:b/>
          <w:i/>
          <w:color w:val="000000" w:themeColor="text1"/>
          <w:sz w:val="20"/>
          <w:szCs w:val="20"/>
          <w:lang w:val="sw-KE" w:eastAsia="sw-KE"/>
        </w:rPr>
        <w:t xml:space="preserve"> </w:t>
      </w:r>
      <w:r w:rsidRPr="00FE0B18">
        <w:rPr>
          <w:rFonts w:ascii="Arial" w:hAnsi="Arial" w:cs="Arial"/>
          <w:b/>
          <w:i/>
          <w:color w:val="000000" w:themeColor="text1"/>
          <w:sz w:val="20"/>
          <w:szCs w:val="20"/>
          <w:lang w:val="sw-KE" w:eastAsia="sw-KE"/>
        </w:rPr>
        <w:t>debentures.</w:t>
      </w:r>
    </w:p>
    <w:p w:rsidR="00783CC8" w:rsidRPr="00FE0B18" w:rsidRDefault="00783CC8" w:rsidP="00783CC8">
      <w:pPr>
        <w:autoSpaceDE w:val="0"/>
        <w:autoSpaceDN w:val="0"/>
        <w:adjustRightInd w:val="0"/>
        <w:spacing w:after="0" w:line="240" w:lineRule="auto"/>
        <w:rPr>
          <w:rFonts w:ascii="Arial" w:hAnsi="Arial" w:cs="Arial"/>
          <w:b/>
          <w:i/>
          <w:color w:val="000000" w:themeColor="text1"/>
          <w:sz w:val="20"/>
          <w:szCs w:val="20"/>
          <w:lang w:val="sw-KE" w:eastAsia="sw-KE"/>
        </w:rPr>
      </w:pPr>
      <w:r w:rsidRPr="00FE0B18">
        <w:rPr>
          <w:rFonts w:ascii="Arial" w:hAnsi="Arial" w:cs="Arial"/>
          <w:b/>
          <w:i/>
          <w:color w:val="000000" w:themeColor="text1"/>
          <w:sz w:val="20"/>
          <w:szCs w:val="20"/>
          <w:lang w:val="sw-KE" w:eastAsia="sw-KE"/>
        </w:rPr>
        <w:t xml:space="preserve">(ii) </w:t>
      </w:r>
      <w:r w:rsidRPr="00FE0B18">
        <w:rPr>
          <w:rFonts w:ascii="Arial" w:hAnsi="Arial" w:cs="Arial"/>
          <w:b/>
          <w:i/>
          <w:color w:val="000000" w:themeColor="text1"/>
          <w:sz w:val="20"/>
          <w:szCs w:val="20"/>
          <w:u w:val="single"/>
          <w:lang w:val="sw-KE" w:eastAsia="sw-KE"/>
        </w:rPr>
        <w:t>Second debentures :</w:t>
      </w:r>
      <w:r w:rsidRPr="00FE0B18">
        <w:rPr>
          <w:rFonts w:ascii="Arial" w:hAnsi="Arial" w:cs="Arial"/>
          <w:b/>
          <w:i/>
          <w:color w:val="000000" w:themeColor="text1"/>
          <w:sz w:val="20"/>
          <w:szCs w:val="20"/>
          <w:lang w:val="sw-KE" w:eastAsia="sw-KE"/>
        </w:rPr>
        <w:t xml:space="preserve"> These debentures are redeemed after the</w:t>
      </w:r>
      <w:r w:rsidR="00FE0B18" w:rsidRPr="00FE0B18">
        <w:rPr>
          <w:rFonts w:ascii="Arial" w:hAnsi="Arial" w:cs="Arial"/>
          <w:b/>
          <w:i/>
          <w:color w:val="000000" w:themeColor="text1"/>
          <w:sz w:val="20"/>
          <w:szCs w:val="20"/>
          <w:lang w:val="sw-KE" w:eastAsia="sw-KE"/>
        </w:rPr>
        <w:t xml:space="preserve"> </w:t>
      </w:r>
      <w:r w:rsidRPr="00FE0B18">
        <w:rPr>
          <w:rFonts w:ascii="Arial" w:hAnsi="Arial" w:cs="Arial"/>
          <w:b/>
          <w:i/>
          <w:color w:val="000000" w:themeColor="text1"/>
          <w:sz w:val="20"/>
          <w:szCs w:val="20"/>
          <w:lang w:val="sw-KE" w:eastAsia="sw-KE"/>
        </w:rPr>
        <w:t>redemption of first debentures.</w:t>
      </w:r>
    </w:p>
    <w:p w:rsidR="00783CC8" w:rsidRPr="00FE0B18" w:rsidRDefault="00783CC8" w:rsidP="000222B8">
      <w:pPr>
        <w:rPr>
          <w:rFonts w:ascii="Arial" w:hAnsi="Arial" w:cs="Arial"/>
          <w:sz w:val="20"/>
          <w:szCs w:val="20"/>
        </w:rPr>
      </w:pPr>
    </w:p>
    <w:p w:rsidR="000222B8" w:rsidRPr="00FE0B18" w:rsidRDefault="000222B8" w:rsidP="000222B8">
      <w:pPr>
        <w:rPr>
          <w:rFonts w:ascii="Arial" w:hAnsi="Arial" w:cs="Arial"/>
          <w:sz w:val="20"/>
          <w:szCs w:val="20"/>
        </w:rPr>
      </w:pPr>
      <w:r w:rsidRPr="00FE0B18">
        <w:rPr>
          <w:rFonts w:ascii="Arial" w:hAnsi="Arial" w:cs="Arial"/>
          <w:sz w:val="20"/>
          <w:szCs w:val="20"/>
        </w:rPr>
        <w:t xml:space="preserve">                iii</w:t>
      </w:r>
      <w:r w:rsidR="00622D28" w:rsidRPr="00FE0B18">
        <w:rPr>
          <w:rFonts w:ascii="Arial" w:hAnsi="Arial" w:cs="Arial"/>
          <w:sz w:val="20"/>
          <w:szCs w:val="20"/>
        </w:rPr>
        <w:t>. Discuss</w:t>
      </w:r>
      <w:r w:rsidRPr="00FE0B18">
        <w:rPr>
          <w:rFonts w:ascii="Arial" w:hAnsi="Arial" w:cs="Arial"/>
          <w:sz w:val="20"/>
          <w:szCs w:val="20"/>
        </w:rPr>
        <w:t xml:space="preserve"> the accounting treatment in regards to: </w:t>
      </w:r>
    </w:p>
    <w:p w:rsidR="000222B8" w:rsidRPr="00FE0B18" w:rsidRDefault="000222B8" w:rsidP="000222B8">
      <w:pPr>
        <w:pStyle w:val="ListParagraph"/>
        <w:numPr>
          <w:ilvl w:val="0"/>
          <w:numId w:val="2"/>
        </w:numPr>
        <w:rPr>
          <w:rFonts w:ascii="Arial" w:hAnsi="Arial" w:cs="Arial"/>
          <w:sz w:val="20"/>
          <w:szCs w:val="20"/>
        </w:rPr>
      </w:pPr>
      <w:r w:rsidRPr="00FE0B18">
        <w:rPr>
          <w:rFonts w:ascii="Arial" w:hAnsi="Arial" w:cs="Arial"/>
          <w:sz w:val="20"/>
          <w:szCs w:val="20"/>
        </w:rPr>
        <w:t>changes in accounting policies (4 marks)</w:t>
      </w:r>
    </w:p>
    <w:p w:rsidR="00622D28" w:rsidRPr="00FE0B18" w:rsidRDefault="00622D28" w:rsidP="00F966A6">
      <w:pPr>
        <w:rPr>
          <w:rFonts w:eastAsia="Times New Roman"/>
        </w:rPr>
      </w:pPr>
      <w:r w:rsidRPr="00FE0B18">
        <w:rPr>
          <w:rFonts w:eastAsia="Times New Roman"/>
        </w:rPr>
        <w:t xml:space="preserve">An entity is permitted to change an accounting policy only if the change: </w:t>
      </w:r>
    </w:p>
    <w:p w:rsidR="00622D28" w:rsidRPr="00FE0B18" w:rsidRDefault="00622D28" w:rsidP="00622D28">
      <w:pPr>
        <w:numPr>
          <w:ilvl w:val="0"/>
          <w:numId w:val="3"/>
        </w:numPr>
        <w:spacing w:before="100" w:beforeAutospacing="1" w:after="100" w:afterAutospacing="1" w:line="240" w:lineRule="auto"/>
        <w:rPr>
          <w:rFonts w:ascii="Arial" w:eastAsia="Times New Roman" w:hAnsi="Arial" w:cs="Arial"/>
          <w:b/>
          <w:i/>
          <w:iCs/>
          <w:sz w:val="20"/>
          <w:szCs w:val="20"/>
        </w:rPr>
      </w:pPr>
      <w:r w:rsidRPr="00FE0B18">
        <w:rPr>
          <w:rFonts w:ascii="Arial" w:eastAsia="Times New Roman" w:hAnsi="Arial" w:cs="Arial"/>
          <w:b/>
          <w:i/>
          <w:iCs/>
          <w:sz w:val="20"/>
          <w:szCs w:val="20"/>
        </w:rPr>
        <w:t xml:space="preserve">Is required by a standard or interpretation; or </w:t>
      </w:r>
    </w:p>
    <w:p w:rsidR="00622D28" w:rsidRPr="00FE0B18" w:rsidRDefault="00622D28" w:rsidP="00622D28">
      <w:pPr>
        <w:numPr>
          <w:ilvl w:val="0"/>
          <w:numId w:val="3"/>
        </w:numPr>
        <w:spacing w:before="100" w:beforeAutospacing="1" w:after="100" w:afterAutospacing="1" w:line="240" w:lineRule="auto"/>
        <w:rPr>
          <w:rFonts w:ascii="Arial" w:eastAsia="Times New Roman" w:hAnsi="Arial" w:cs="Arial"/>
          <w:b/>
          <w:i/>
          <w:iCs/>
          <w:sz w:val="20"/>
          <w:szCs w:val="20"/>
        </w:rPr>
      </w:pPr>
      <w:r w:rsidRPr="00FE0B18">
        <w:rPr>
          <w:rFonts w:ascii="Arial" w:eastAsia="Times New Roman" w:hAnsi="Arial" w:cs="Arial"/>
          <w:b/>
          <w:i/>
          <w:iCs/>
          <w:sz w:val="20"/>
          <w:szCs w:val="20"/>
        </w:rPr>
        <w:t>Results in the financial statements providing reliable and more relevant information about the effects of transactions, other events or conditions on the entity's financial position, financial performance, or cash flows.</w:t>
      </w:r>
    </w:p>
    <w:p w:rsidR="00622D28" w:rsidRPr="00FE0B18" w:rsidRDefault="00622D28" w:rsidP="00622D28">
      <w:pPr>
        <w:spacing w:after="0" w:line="240" w:lineRule="auto"/>
        <w:rPr>
          <w:rFonts w:ascii="Arial" w:eastAsia="Times New Roman" w:hAnsi="Arial" w:cs="Arial"/>
          <w:b/>
          <w:i/>
          <w:iCs/>
          <w:sz w:val="20"/>
          <w:szCs w:val="20"/>
        </w:rPr>
      </w:pPr>
      <w:r w:rsidRPr="00FE0B18">
        <w:rPr>
          <w:rFonts w:ascii="Arial" w:eastAsia="Times New Roman" w:hAnsi="Arial" w:cs="Arial"/>
          <w:b/>
          <w:i/>
          <w:iCs/>
          <w:sz w:val="20"/>
          <w:szCs w:val="20"/>
        </w:rPr>
        <w:t xml:space="preserve">Note that changes in accounting policies do not include applying an accounting policy to a kind of transaction or event that did not occur previously or were immaterial. </w:t>
      </w:r>
    </w:p>
    <w:p w:rsidR="00622D28" w:rsidRPr="00FE0B18" w:rsidRDefault="00622D28" w:rsidP="00622D28">
      <w:pPr>
        <w:pStyle w:val="ListParagraph"/>
        <w:ind w:left="1776"/>
        <w:rPr>
          <w:rFonts w:ascii="Arial" w:hAnsi="Arial" w:cs="Arial"/>
          <w:sz w:val="20"/>
          <w:szCs w:val="20"/>
        </w:rPr>
      </w:pPr>
    </w:p>
    <w:p w:rsidR="000222B8" w:rsidRPr="00FE0B18" w:rsidRDefault="000222B8" w:rsidP="000222B8">
      <w:pPr>
        <w:pStyle w:val="ListParagraph"/>
        <w:numPr>
          <w:ilvl w:val="0"/>
          <w:numId w:val="2"/>
        </w:numPr>
        <w:rPr>
          <w:rFonts w:ascii="Arial" w:hAnsi="Arial" w:cs="Arial"/>
          <w:sz w:val="20"/>
          <w:szCs w:val="20"/>
        </w:rPr>
      </w:pPr>
      <w:r w:rsidRPr="00FE0B18">
        <w:rPr>
          <w:rFonts w:ascii="Arial" w:hAnsi="Arial" w:cs="Arial"/>
          <w:sz w:val="20"/>
          <w:szCs w:val="20"/>
        </w:rPr>
        <w:t>Changes in accounting estimates (3.5 marks).</w:t>
      </w:r>
    </w:p>
    <w:p w:rsidR="00BE591F" w:rsidRPr="00FE0B18" w:rsidRDefault="00BE591F" w:rsidP="00BE591F">
      <w:pPr>
        <w:pStyle w:val="ListParagraph"/>
        <w:spacing w:before="100" w:beforeAutospacing="1" w:after="100" w:afterAutospacing="1" w:line="240" w:lineRule="auto"/>
        <w:ind w:left="1776"/>
        <w:rPr>
          <w:rFonts w:ascii="Arial" w:eastAsia="Times New Roman" w:hAnsi="Arial" w:cs="Arial"/>
          <w:b/>
          <w:i/>
          <w:iCs/>
          <w:sz w:val="20"/>
          <w:szCs w:val="20"/>
          <w:u w:val="single"/>
        </w:rPr>
      </w:pPr>
    </w:p>
    <w:p w:rsidR="00BE591F" w:rsidRPr="00FE0B18" w:rsidRDefault="00BE591F" w:rsidP="00FE0B18">
      <w:pPr>
        <w:pStyle w:val="ListParagraph"/>
        <w:autoSpaceDE w:val="0"/>
        <w:autoSpaceDN w:val="0"/>
        <w:adjustRightInd w:val="0"/>
        <w:spacing w:after="0" w:line="240" w:lineRule="auto"/>
        <w:ind w:left="0"/>
        <w:rPr>
          <w:rFonts w:ascii="Arial" w:eastAsia="Times New Roman" w:hAnsi="Arial" w:cs="Arial"/>
          <w:b/>
          <w:i/>
          <w:iCs/>
          <w:sz w:val="20"/>
          <w:szCs w:val="20"/>
        </w:rPr>
      </w:pPr>
      <w:r w:rsidRPr="00FE0B18">
        <w:rPr>
          <w:rFonts w:ascii="Arial" w:eastAsia="Times New Roman" w:hAnsi="Arial" w:cs="Arial"/>
          <w:b/>
          <w:i/>
          <w:iCs/>
          <w:sz w:val="20"/>
          <w:szCs w:val="20"/>
        </w:rPr>
        <w:t>Many items in financial statements cannot be measured with precision and must be estimated.</w:t>
      </w:r>
    </w:p>
    <w:p w:rsidR="00BE591F" w:rsidRPr="00FE0B18" w:rsidRDefault="00BE591F" w:rsidP="00FE0B18">
      <w:pPr>
        <w:pStyle w:val="ListParagraph"/>
        <w:autoSpaceDE w:val="0"/>
        <w:autoSpaceDN w:val="0"/>
        <w:adjustRightInd w:val="0"/>
        <w:spacing w:after="0" w:line="240" w:lineRule="auto"/>
        <w:ind w:left="0"/>
        <w:rPr>
          <w:rFonts w:ascii="Arial" w:eastAsia="Times New Roman" w:hAnsi="Arial" w:cs="Arial"/>
          <w:b/>
          <w:i/>
          <w:iCs/>
          <w:sz w:val="20"/>
          <w:szCs w:val="20"/>
        </w:rPr>
      </w:pPr>
    </w:p>
    <w:p w:rsidR="00BE591F" w:rsidRPr="00FE0B18" w:rsidRDefault="00BE591F" w:rsidP="00FE0B18">
      <w:pPr>
        <w:pStyle w:val="ListParagraph"/>
        <w:autoSpaceDE w:val="0"/>
        <w:autoSpaceDN w:val="0"/>
        <w:adjustRightInd w:val="0"/>
        <w:spacing w:after="0" w:line="240" w:lineRule="auto"/>
        <w:ind w:left="0"/>
        <w:rPr>
          <w:rFonts w:ascii="Arial" w:eastAsia="Times New Roman" w:hAnsi="Arial" w:cs="Arial"/>
          <w:b/>
          <w:i/>
          <w:iCs/>
          <w:sz w:val="20"/>
          <w:szCs w:val="20"/>
        </w:rPr>
      </w:pPr>
      <w:r w:rsidRPr="00FE0B18">
        <w:rPr>
          <w:rFonts w:ascii="Arial" w:eastAsia="Times New Roman" w:hAnsi="Arial" w:cs="Arial"/>
          <w:b/>
          <w:i/>
          <w:iCs/>
          <w:sz w:val="20"/>
          <w:szCs w:val="20"/>
        </w:rPr>
        <w:t xml:space="preserve">These involve judgements based on the latest </w:t>
      </w:r>
      <w:r w:rsidR="00FE0B18">
        <w:rPr>
          <w:rFonts w:ascii="Arial" w:eastAsia="Times New Roman" w:hAnsi="Arial" w:cs="Arial"/>
          <w:b/>
          <w:i/>
          <w:iCs/>
          <w:sz w:val="20"/>
          <w:szCs w:val="20"/>
        </w:rPr>
        <w:t xml:space="preserve">available information. </w:t>
      </w:r>
      <w:r w:rsidRPr="00FE0B18">
        <w:rPr>
          <w:rFonts w:ascii="Arial" w:eastAsia="Times New Roman" w:hAnsi="Arial" w:cs="Arial"/>
          <w:b/>
          <w:i/>
          <w:iCs/>
          <w:sz w:val="20"/>
          <w:szCs w:val="20"/>
        </w:rPr>
        <w:t>Examples where this would be applied include bad debts, inventory obsolescence, useful lives, warranty obligations etc. Estimates need to be revised if circumstances change as a result of new information or</w:t>
      </w:r>
      <w:r w:rsidR="00FE0B18">
        <w:rPr>
          <w:rFonts w:ascii="Arial" w:eastAsia="Times New Roman" w:hAnsi="Arial" w:cs="Arial"/>
          <w:b/>
          <w:i/>
          <w:iCs/>
          <w:sz w:val="20"/>
          <w:szCs w:val="20"/>
        </w:rPr>
        <w:t xml:space="preserve"> </w:t>
      </w:r>
      <w:r w:rsidRPr="00FE0B18">
        <w:rPr>
          <w:rFonts w:ascii="Arial" w:eastAsia="Times New Roman" w:hAnsi="Arial" w:cs="Arial"/>
          <w:b/>
          <w:i/>
          <w:iCs/>
          <w:sz w:val="20"/>
          <w:szCs w:val="20"/>
        </w:rPr>
        <w:t>experience. A change in measurement base is, however, a change in policy. If it is difficult to distinguish between a policy and an estimate change, the change should be treated as a change in estimate. A change in estimate is charged prospectively in the income statement in the current and future years. Any related asset/liability should equally be adjusted in the period of change.</w:t>
      </w:r>
    </w:p>
    <w:p w:rsidR="00BE591F" w:rsidRPr="00FE0B18" w:rsidRDefault="00BE591F" w:rsidP="00BE591F">
      <w:pPr>
        <w:pStyle w:val="ListParagraph"/>
        <w:ind w:left="1776"/>
        <w:rPr>
          <w:rFonts w:ascii="Arial" w:hAnsi="Arial" w:cs="Arial"/>
          <w:sz w:val="20"/>
          <w:szCs w:val="20"/>
        </w:rPr>
      </w:pPr>
    </w:p>
    <w:p w:rsidR="00E034C5" w:rsidRPr="00FE0B18" w:rsidRDefault="00E034C5">
      <w:pPr>
        <w:rPr>
          <w:rFonts w:ascii="Arial" w:hAnsi="Arial" w:cs="Arial"/>
          <w:sz w:val="20"/>
          <w:szCs w:val="20"/>
        </w:rPr>
      </w:pPr>
    </w:p>
    <w:sectPr w:rsidR="00E034C5" w:rsidRPr="00FE0B18" w:rsidSect="00CB5EA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B728D"/>
    <w:multiLevelType w:val="hybridMultilevel"/>
    <w:tmpl w:val="C0A4F762"/>
    <w:lvl w:ilvl="0" w:tplc="147E65FA">
      <w:start w:val="1"/>
      <w:numFmt w:val="decimal"/>
      <w:lvlText w:val="%1."/>
      <w:lvlJc w:val="left"/>
      <w:pPr>
        <w:ind w:left="1080" w:hanging="360"/>
      </w:pPr>
      <w:rPr>
        <w:rFonts w:hint="default"/>
      </w:rPr>
    </w:lvl>
    <w:lvl w:ilvl="1" w:tplc="04410019" w:tentative="1">
      <w:start w:val="1"/>
      <w:numFmt w:val="lowerLetter"/>
      <w:lvlText w:val="%2."/>
      <w:lvlJc w:val="left"/>
      <w:pPr>
        <w:ind w:left="1800" w:hanging="360"/>
      </w:pPr>
    </w:lvl>
    <w:lvl w:ilvl="2" w:tplc="0441001B" w:tentative="1">
      <w:start w:val="1"/>
      <w:numFmt w:val="lowerRoman"/>
      <w:lvlText w:val="%3."/>
      <w:lvlJc w:val="right"/>
      <w:pPr>
        <w:ind w:left="2520" w:hanging="180"/>
      </w:pPr>
    </w:lvl>
    <w:lvl w:ilvl="3" w:tplc="0441000F" w:tentative="1">
      <w:start w:val="1"/>
      <w:numFmt w:val="decimal"/>
      <w:lvlText w:val="%4."/>
      <w:lvlJc w:val="left"/>
      <w:pPr>
        <w:ind w:left="3240" w:hanging="360"/>
      </w:pPr>
    </w:lvl>
    <w:lvl w:ilvl="4" w:tplc="04410019" w:tentative="1">
      <w:start w:val="1"/>
      <w:numFmt w:val="lowerLetter"/>
      <w:lvlText w:val="%5."/>
      <w:lvlJc w:val="left"/>
      <w:pPr>
        <w:ind w:left="3960" w:hanging="360"/>
      </w:pPr>
    </w:lvl>
    <w:lvl w:ilvl="5" w:tplc="0441001B" w:tentative="1">
      <w:start w:val="1"/>
      <w:numFmt w:val="lowerRoman"/>
      <w:lvlText w:val="%6."/>
      <w:lvlJc w:val="right"/>
      <w:pPr>
        <w:ind w:left="4680" w:hanging="180"/>
      </w:pPr>
    </w:lvl>
    <w:lvl w:ilvl="6" w:tplc="0441000F" w:tentative="1">
      <w:start w:val="1"/>
      <w:numFmt w:val="decimal"/>
      <w:lvlText w:val="%7."/>
      <w:lvlJc w:val="left"/>
      <w:pPr>
        <w:ind w:left="5400" w:hanging="360"/>
      </w:pPr>
    </w:lvl>
    <w:lvl w:ilvl="7" w:tplc="04410019" w:tentative="1">
      <w:start w:val="1"/>
      <w:numFmt w:val="lowerLetter"/>
      <w:lvlText w:val="%8."/>
      <w:lvlJc w:val="left"/>
      <w:pPr>
        <w:ind w:left="6120" w:hanging="360"/>
      </w:pPr>
    </w:lvl>
    <w:lvl w:ilvl="8" w:tplc="0441001B" w:tentative="1">
      <w:start w:val="1"/>
      <w:numFmt w:val="lowerRoman"/>
      <w:lvlText w:val="%9."/>
      <w:lvlJc w:val="right"/>
      <w:pPr>
        <w:ind w:left="6840" w:hanging="180"/>
      </w:pPr>
    </w:lvl>
  </w:abstractNum>
  <w:abstractNum w:abstractNumId="1">
    <w:nsid w:val="20B034B4"/>
    <w:multiLevelType w:val="hybridMultilevel"/>
    <w:tmpl w:val="3ED61B1A"/>
    <w:lvl w:ilvl="0" w:tplc="04410001">
      <w:start w:val="1"/>
      <w:numFmt w:val="bullet"/>
      <w:lvlText w:val=""/>
      <w:lvlJc w:val="left"/>
      <w:pPr>
        <w:ind w:left="1776" w:hanging="360"/>
      </w:pPr>
      <w:rPr>
        <w:rFonts w:ascii="Symbol" w:hAnsi="Symbol" w:hint="default"/>
      </w:rPr>
    </w:lvl>
    <w:lvl w:ilvl="1" w:tplc="04410003" w:tentative="1">
      <w:start w:val="1"/>
      <w:numFmt w:val="bullet"/>
      <w:lvlText w:val="o"/>
      <w:lvlJc w:val="left"/>
      <w:pPr>
        <w:ind w:left="2496" w:hanging="360"/>
      </w:pPr>
      <w:rPr>
        <w:rFonts w:ascii="Courier New" w:hAnsi="Courier New" w:cs="Courier New" w:hint="default"/>
      </w:rPr>
    </w:lvl>
    <w:lvl w:ilvl="2" w:tplc="04410005" w:tentative="1">
      <w:start w:val="1"/>
      <w:numFmt w:val="bullet"/>
      <w:lvlText w:val=""/>
      <w:lvlJc w:val="left"/>
      <w:pPr>
        <w:ind w:left="3216" w:hanging="360"/>
      </w:pPr>
      <w:rPr>
        <w:rFonts w:ascii="Wingdings" w:hAnsi="Wingdings" w:hint="default"/>
      </w:rPr>
    </w:lvl>
    <w:lvl w:ilvl="3" w:tplc="04410001" w:tentative="1">
      <w:start w:val="1"/>
      <w:numFmt w:val="bullet"/>
      <w:lvlText w:val=""/>
      <w:lvlJc w:val="left"/>
      <w:pPr>
        <w:ind w:left="3936" w:hanging="360"/>
      </w:pPr>
      <w:rPr>
        <w:rFonts w:ascii="Symbol" w:hAnsi="Symbol" w:hint="default"/>
      </w:rPr>
    </w:lvl>
    <w:lvl w:ilvl="4" w:tplc="04410003" w:tentative="1">
      <w:start w:val="1"/>
      <w:numFmt w:val="bullet"/>
      <w:lvlText w:val="o"/>
      <w:lvlJc w:val="left"/>
      <w:pPr>
        <w:ind w:left="4656" w:hanging="360"/>
      </w:pPr>
      <w:rPr>
        <w:rFonts w:ascii="Courier New" w:hAnsi="Courier New" w:cs="Courier New" w:hint="default"/>
      </w:rPr>
    </w:lvl>
    <w:lvl w:ilvl="5" w:tplc="04410005" w:tentative="1">
      <w:start w:val="1"/>
      <w:numFmt w:val="bullet"/>
      <w:lvlText w:val=""/>
      <w:lvlJc w:val="left"/>
      <w:pPr>
        <w:ind w:left="5376" w:hanging="360"/>
      </w:pPr>
      <w:rPr>
        <w:rFonts w:ascii="Wingdings" w:hAnsi="Wingdings" w:hint="default"/>
      </w:rPr>
    </w:lvl>
    <w:lvl w:ilvl="6" w:tplc="04410001" w:tentative="1">
      <w:start w:val="1"/>
      <w:numFmt w:val="bullet"/>
      <w:lvlText w:val=""/>
      <w:lvlJc w:val="left"/>
      <w:pPr>
        <w:ind w:left="6096" w:hanging="360"/>
      </w:pPr>
      <w:rPr>
        <w:rFonts w:ascii="Symbol" w:hAnsi="Symbol" w:hint="default"/>
      </w:rPr>
    </w:lvl>
    <w:lvl w:ilvl="7" w:tplc="04410003" w:tentative="1">
      <w:start w:val="1"/>
      <w:numFmt w:val="bullet"/>
      <w:lvlText w:val="o"/>
      <w:lvlJc w:val="left"/>
      <w:pPr>
        <w:ind w:left="6816" w:hanging="360"/>
      </w:pPr>
      <w:rPr>
        <w:rFonts w:ascii="Courier New" w:hAnsi="Courier New" w:cs="Courier New" w:hint="default"/>
      </w:rPr>
    </w:lvl>
    <w:lvl w:ilvl="8" w:tplc="04410005" w:tentative="1">
      <w:start w:val="1"/>
      <w:numFmt w:val="bullet"/>
      <w:lvlText w:val=""/>
      <w:lvlJc w:val="left"/>
      <w:pPr>
        <w:ind w:left="7536" w:hanging="360"/>
      </w:pPr>
      <w:rPr>
        <w:rFonts w:ascii="Wingdings" w:hAnsi="Wingdings" w:hint="default"/>
      </w:rPr>
    </w:lvl>
  </w:abstractNum>
  <w:abstractNum w:abstractNumId="2">
    <w:nsid w:val="580032E8"/>
    <w:multiLevelType w:val="hybridMultilevel"/>
    <w:tmpl w:val="FA785C2C"/>
    <w:lvl w:ilvl="0" w:tplc="0441000F">
      <w:start w:val="1"/>
      <w:numFmt w:val="decimal"/>
      <w:lvlText w:val="%1."/>
      <w:lvlJc w:val="left"/>
      <w:pPr>
        <w:ind w:left="720" w:hanging="360"/>
      </w:pPr>
      <w:rPr>
        <w:rFonts w:hint="default"/>
      </w:rPr>
    </w:lvl>
    <w:lvl w:ilvl="1" w:tplc="04410019">
      <w:start w:val="1"/>
      <w:numFmt w:val="lowerLetter"/>
      <w:lvlText w:val="%2."/>
      <w:lvlJc w:val="left"/>
      <w:pPr>
        <w:ind w:left="1495"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start w:val="1"/>
      <w:numFmt w:val="lowerLetter"/>
      <w:lvlText w:val="%8."/>
      <w:lvlJc w:val="left"/>
      <w:pPr>
        <w:ind w:left="5760" w:hanging="360"/>
      </w:pPr>
    </w:lvl>
    <w:lvl w:ilvl="8" w:tplc="0441001B">
      <w:start w:val="1"/>
      <w:numFmt w:val="lowerRoman"/>
      <w:lvlText w:val="%9."/>
      <w:lvlJc w:val="right"/>
      <w:pPr>
        <w:ind w:left="6480" w:hanging="180"/>
      </w:pPr>
    </w:lvl>
  </w:abstractNum>
  <w:abstractNum w:abstractNumId="3">
    <w:nsid w:val="71D95400"/>
    <w:multiLevelType w:val="multilevel"/>
    <w:tmpl w:val="7698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21091A"/>
    <w:multiLevelType w:val="hybridMultilevel"/>
    <w:tmpl w:val="2822244E"/>
    <w:lvl w:ilvl="0" w:tplc="52C6FA90">
      <w:start w:val="1"/>
      <w:numFmt w:val="lowerRoman"/>
      <w:lvlText w:val="(%1)"/>
      <w:lvlJc w:val="left"/>
      <w:pPr>
        <w:ind w:left="1440" w:hanging="72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0222B8"/>
    <w:rsid w:val="000222B8"/>
    <w:rsid w:val="001A37A4"/>
    <w:rsid w:val="003345FC"/>
    <w:rsid w:val="00622D28"/>
    <w:rsid w:val="00783CC8"/>
    <w:rsid w:val="007E77B0"/>
    <w:rsid w:val="00840B24"/>
    <w:rsid w:val="00947DFD"/>
    <w:rsid w:val="00BC02DE"/>
    <w:rsid w:val="00BE591F"/>
    <w:rsid w:val="00CB5EAB"/>
    <w:rsid w:val="00E034C5"/>
    <w:rsid w:val="00F11C2A"/>
    <w:rsid w:val="00F966A6"/>
    <w:rsid w:val="00FE0B1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E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2B8"/>
    <w:pPr>
      <w:ind w:left="720"/>
      <w:contextualSpacing/>
    </w:pPr>
    <w:rPr>
      <w:lang w:val="sw-KE" w:eastAsia="sw-KE"/>
    </w:rPr>
  </w:style>
  <w:style w:type="paragraph" w:styleId="Subtitle">
    <w:name w:val="Subtitle"/>
    <w:basedOn w:val="Normal"/>
    <w:next w:val="Normal"/>
    <w:link w:val="SubtitleChar"/>
    <w:uiPriority w:val="11"/>
    <w:qFormat/>
    <w:rsid w:val="00F966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966A6"/>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1343</Words>
  <Characters>7659</Characters>
  <Application>Microsoft Office Word</Application>
  <DocSecurity>0</DocSecurity>
  <Lines>63</Lines>
  <Paragraphs>17</Paragraphs>
  <ScaleCrop>false</ScaleCrop>
  <Company>Hewlett-Packard</Company>
  <LinksUpToDate>false</LinksUpToDate>
  <CharactersWithSpaces>8985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Muya</cp:lastModifiedBy>
  <cp:revision>14</cp:revision>
  <dcterms:created xsi:type="dcterms:W3CDTF">2010-10-20T07:29:00Z</dcterms:created>
  <dcterms:modified xsi:type="dcterms:W3CDTF">2010-10-20T15:29:00Z</dcterms:modified>
</cp:coreProperties>
</file>