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A20" w:rsidRPr="005300AD" w:rsidRDefault="00C76A20" w:rsidP="00C76A20">
      <w:pPr>
        <w:rPr>
          <w:rFonts w:ascii="Cambria Math" w:hAnsi="Cambria Math"/>
          <w:b/>
          <w:bCs/>
          <w:lang w:val="en-GB" w:eastAsia="en-GB"/>
        </w:rPr>
      </w:pPr>
      <w:r w:rsidRPr="005300AD">
        <w:rPr>
          <w:rFonts w:ascii="Cambria Math" w:hAnsi="Cambria Math"/>
          <w:b/>
          <w:bCs/>
          <w:lang w:val="en-GB" w:eastAsia="en-GB"/>
        </w:rPr>
        <w:t>BUST 412</w:t>
      </w:r>
      <w:proofErr w:type="gramStart"/>
      <w:r w:rsidRPr="005300AD">
        <w:rPr>
          <w:rFonts w:ascii="Cambria Math" w:hAnsi="Cambria Math"/>
          <w:b/>
          <w:bCs/>
          <w:lang w:val="en-GB" w:eastAsia="en-GB"/>
        </w:rPr>
        <w:t>:Financial</w:t>
      </w:r>
      <w:proofErr w:type="gramEnd"/>
      <w:r w:rsidRPr="005300AD">
        <w:rPr>
          <w:rFonts w:ascii="Cambria Math" w:hAnsi="Cambria Math"/>
          <w:b/>
          <w:bCs/>
          <w:lang w:val="en-GB" w:eastAsia="en-GB"/>
        </w:rPr>
        <w:t xml:space="preserve"> management (SCHOOL BASED- AUGUST 2011)</w:t>
      </w:r>
    </w:p>
    <w:p w:rsidR="00C76A20" w:rsidRPr="005300AD" w:rsidRDefault="00C76A20" w:rsidP="00C76A20">
      <w:pPr>
        <w:rPr>
          <w:rFonts w:ascii="Cambria Math" w:hAnsi="Cambria Math"/>
          <w:b/>
          <w:bCs/>
          <w:lang w:val="en-GB" w:eastAsia="en-GB"/>
        </w:rPr>
      </w:pPr>
      <w:r w:rsidRPr="005300AD">
        <w:rPr>
          <w:rFonts w:ascii="Cambria Math" w:hAnsi="Cambria Math"/>
          <w:b/>
          <w:bCs/>
          <w:lang w:val="en-GB" w:eastAsia="en-GB"/>
        </w:rPr>
        <w:t xml:space="preserve">Answer question </w:t>
      </w:r>
      <w:proofErr w:type="gramStart"/>
      <w:r w:rsidRPr="005300AD">
        <w:rPr>
          <w:rFonts w:ascii="Cambria Math" w:hAnsi="Cambria Math"/>
          <w:b/>
          <w:bCs/>
          <w:lang w:val="en-GB" w:eastAsia="en-GB"/>
        </w:rPr>
        <w:t>1  (</w:t>
      </w:r>
      <w:proofErr w:type="gramEnd"/>
      <w:r w:rsidRPr="005300AD">
        <w:rPr>
          <w:rFonts w:ascii="Cambria Math" w:hAnsi="Cambria Math"/>
          <w:b/>
          <w:bCs/>
          <w:lang w:val="en-GB" w:eastAsia="en-GB"/>
        </w:rPr>
        <w:t>Section A) and two other questions</w:t>
      </w:r>
    </w:p>
    <w:p w:rsidR="00C76A20" w:rsidRPr="005300AD" w:rsidRDefault="00C76A20" w:rsidP="00C76A20">
      <w:pPr>
        <w:rPr>
          <w:rFonts w:ascii="Cambria Math" w:hAnsi="Cambria Math"/>
          <w:b/>
          <w:bCs/>
          <w:lang w:val="en-GB" w:eastAsia="en-GB"/>
        </w:rPr>
      </w:pPr>
      <w:r w:rsidRPr="005300AD">
        <w:rPr>
          <w:rFonts w:ascii="Cambria Math" w:hAnsi="Cambria Math"/>
          <w:b/>
          <w:bCs/>
          <w:lang w:val="en-GB" w:eastAsia="en-GB"/>
        </w:rPr>
        <w:t>SECTION A</w:t>
      </w:r>
    </w:p>
    <w:p w:rsidR="00C76A20" w:rsidRPr="005300AD" w:rsidRDefault="00C76A20" w:rsidP="00C76A20">
      <w:pPr>
        <w:pStyle w:val="BodyTextIndent"/>
        <w:numPr>
          <w:ilvl w:val="0"/>
          <w:numId w:val="1"/>
        </w:numPr>
        <w:rPr>
          <w:rFonts w:ascii="Cambria Math" w:eastAsiaTheme="minorEastAsia" w:hAnsi="Cambria Math" w:cstheme="minorBidi"/>
          <w:b w:val="0"/>
          <w:bCs w:val="0"/>
          <w:sz w:val="22"/>
          <w:szCs w:val="22"/>
          <w:lang w:val="en-GB" w:eastAsia="en-GB"/>
        </w:rPr>
      </w:pPr>
      <w:r w:rsidRPr="005300AD">
        <w:rPr>
          <w:rFonts w:ascii="Cambria Math" w:eastAsiaTheme="minorEastAsia" w:hAnsi="Cambria Math" w:cstheme="minorBidi"/>
          <w:b w:val="0"/>
          <w:bCs w:val="0"/>
          <w:sz w:val="22"/>
          <w:szCs w:val="22"/>
          <w:lang w:val="en-GB" w:eastAsia="en-GB"/>
        </w:rPr>
        <w:t xml:space="preserve">A. Suppose you want to buy a share of Swiss Farms, S.A., </w:t>
      </w:r>
      <w:proofErr w:type="gramStart"/>
      <w:r w:rsidRPr="005300AD">
        <w:rPr>
          <w:rFonts w:ascii="Cambria Math" w:eastAsiaTheme="minorEastAsia" w:hAnsi="Cambria Math" w:cstheme="minorBidi"/>
          <w:b w:val="0"/>
          <w:bCs w:val="0"/>
          <w:sz w:val="22"/>
          <w:szCs w:val="22"/>
          <w:lang w:val="en-GB" w:eastAsia="en-GB"/>
        </w:rPr>
        <w:t>a</w:t>
      </w:r>
      <w:proofErr w:type="gramEnd"/>
      <w:r w:rsidRPr="005300AD">
        <w:rPr>
          <w:rFonts w:ascii="Cambria Math" w:eastAsiaTheme="minorEastAsia" w:hAnsi="Cambria Math" w:cstheme="minorBidi"/>
          <w:b w:val="0"/>
          <w:bCs w:val="0"/>
          <w:sz w:val="22"/>
          <w:szCs w:val="22"/>
          <w:lang w:val="en-GB" w:eastAsia="en-GB"/>
        </w:rPr>
        <w:t xml:space="preserve"> dairy products company.    </w:t>
      </w:r>
    </w:p>
    <w:p w:rsidR="00C76A20" w:rsidRPr="005300AD" w:rsidRDefault="00C76A20" w:rsidP="00C76A20">
      <w:pPr>
        <w:pStyle w:val="BodyTextIndent"/>
        <w:ind w:left="0"/>
        <w:rPr>
          <w:rFonts w:ascii="Cambria Math" w:eastAsiaTheme="minorEastAsia" w:hAnsi="Cambria Math" w:cstheme="minorBidi"/>
          <w:b w:val="0"/>
          <w:bCs w:val="0"/>
          <w:sz w:val="22"/>
          <w:szCs w:val="22"/>
          <w:lang w:val="en-GB" w:eastAsia="en-GB"/>
        </w:rPr>
      </w:pPr>
      <w:r w:rsidRPr="005300AD">
        <w:rPr>
          <w:rFonts w:ascii="Cambria Math" w:eastAsiaTheme="minorEastAsia" w:hAnsi="Cambria Math" w:cstheme="minorBidi"/>
          <w:b w:val="0"/>
          <w:bCs w:val="0"/>
          <w:sz w:val="22"/>
          <w:szCs w:val="22"/>
          <w:lang w:val="en-GB" w:eastAsia="en-GB"/>
        </w:rPr>
        <w:t>The recent dividend payouts by the firm are as follows.</w:t>
      </w:r>
    </w:p>
    <w:p w:rsidR="00C76A20" w:rsidRPr="005300AD" w:rsidRDefault="00C76A20" w:rsidP="00C76A20">
      <w:pPr>
        <w:pStyle w:val="BodyTextIndent"/>
        <w:ind w:left="0"/>
        <w:rPr>
          <w:rFonts w:ascii="Cambria Math" w:eastAsiaTheme="minorEastAsia" w:hAnsi="Cambria Math" w:cstheme="minorBidi"/>
          <w:b w:val="0"/>
          <w:bCs w:val="0"/>
          <w:sz w:val="22"/>
          <w:szCs w:val="22"/>
          <w:lang w:val="en-GB" w:eastAsia="en-GB"/>
        </w:rPr>
      </w:pPr>
    </w:p>
    <w:tbl>
      <w:tblPr>
        <w:tblStyle w:val="TableGrid"/>
        <w:tblW w:w="0" w:type="auto"/>
        <w:tblLook w:val="04A0"/>
      </w:tblPr>
      <w:tblGrid>
        <w:gridCol w:w="4621"/>
        <w:gridCol w:w="4621"/>
      </w:tblGrid>
      <w:tr w:rsidR="00C76A20" w:rsidRPr="005300AD" w:rsidTr="009F6D37">
        <w:tc>
          <w:tcPr>
            <w:tcW w:w="4621" w:type="dxa"/>
          </w:tcPr>
          <w:p w:rsidR="00C76A20" w:rsidRPr="005300AD" w:rsidRDefault="00C76A20" w:rsidP="009F6D37">
            <w:pPr>
              <w:pStyle w:val="BodyTextIndent"/>
              <w:ind w:left="0"/>
              <w:rPr>
                <w:rFonts w:ascii="Cambria Math" w:eastAsiaTheme="minorEastAsia" w:hAnsi="Cambria Math" w:cstheme="minorBidi"/>
                <w:b w:val="0"/>
                <w:bCs w:val="0"/>
                <w:sz w:val="22"/>
                <w:szCs w:val="22"/>
              </w:rPr>
            </w:pPr>
            <w:r w:rsidRPr="005300AD">
              <w:rPr>
                <w:rFonts w:ascii="Cambria Math" w:eastAsiaTheme="minorEastAsia" w:hAnsi="Cambria Math" w:cstheme="minorBidi"/>
                <w:b w:val="0"/>
                <w:bCs w:val="0"/>
                <w:sz w:val="22"/>
                <w:szCs w:val="22"/>
              </w:rPr>
              <w:t>YEAR</w:t>
            </w:r>
          </w:p>
        </w:tc>
        <w:tc>
          <w:tcPr>
            <w:tcW w:w="4621" w:type="dxa"/>
          </w:tcPr>
          <w:p w:rsidR="00C76A20" w:rsidRPr="005300AD" w:rsidRDefault="00C76A20" w:rsidP="009F6D37">
            <w:pPr>
              <w:pStyle w:val="BodyTextIndent"/>
              <w:ind w:left="0"/>
              <w:rPr>
                <w:rFonts w:ascii="Cambria Math" w:eastAsiaTheme="minorEastAsia" w:hAnsi="Cambria Math" w:cstheme="minorBidi"/>
                <w:b w:val="0"/>
                <w:bCs w:val="0"/>
                <w:sz w:val="22"/>
                <w:szCs w:val="22"/>
              </w:rPr>
            </w:pPr>
            <w:r w:rsidRPr="005300AD">
              <w:rPr>
                <w:rFonts w:ascii="Cambria Math" w:eastAsiaTheme="minorEastAsia" w:hAnsi="Cambria Math" w:cstheme="minorBidi"/>
                <w:b w:val="0"/>
                <w:bCs w:val="0"/>
                <w:sz w:val="22"/>
                <w:szCs w:val="22"/>
              </w:rPr>
              <w:t>DIVIDEND PER SHARE (KSH)</w:t>
            </w:r>
          </w:p>
        </w:tc>
      </w:tr>
      <w:tr w:rsidR="00C76A20" w:rsidRPr="005300AD" w:rsidTr="009F6D37">
        <w:tc>
          <w:tcPr>
            <w:tcW w:w="4621" w:type="dxa"/>
          </w:tcPr>
          <w:p w:rsidR="00C76A20" w:rsidRPr="005300AD" w:rsidRDefault="00C76A20" w:rsidP="009F6D37">
            <w:pPr>
              <w:pStyle w:val="BodyTextIndent"/>
              <w:ind w:left="0"/>
              <w:rPr>
                <w:rFonts w:ascii="Cambria Math" w:eastAsiaTheme="minorEastAsia" w:hAnsi="Cambria Math" w:cstheme="minorBidi"/>
                <w:b w:val="0"/>
                <w:bCs w:val="0"/>
                <w:sz w:val="22"/>
                <w:szCs w:val="22"/>
              </w:rPr>
            </w:pPr>
            <w:r w:rsidRPr="005300AD">
              <w:rPr>
                <w:rFonts w:ascii="Cambria Math" w:eastAsiaTheme="minorEastAsia" w:hAnsi="Cambria Math" w:cstheme="minorBidi"/>
                <w:b w:val="0"/>
                <w:bCs w:val="0"/>
                <w:sz w:val="22"/>
                <w:szCs w:val="22"/>
              </w:rPr>
              <w:t>2005</w:t>
            </w:r>
          </w:p>
        </w:tc>
        <w:tc>
          <w:tcPr>
            <w:tcW w:w="4621" w:type="dxa"/>
          </w:tcPr>
          <w:p w:rsidR="00C76A20" w:rsidRPr="005300AD" w:rsidRDefault="00C76A20" w:rsidP="009F6D37">
            <w:pPr>
              <w:pStyle w:val="BodyTextIndent"/>
              <w:ind w:left="0"/>
              <w:rPr>
                <w:rFonts w:ascii="Cambria Math" w:eastAsiaTheme="minorEastAsia" w:hAnsi="Cambria Math" w:cstheme="minorBidi"/>
                <w:b w:val="0"/>
                <w:bCs w:val="0"/>
                <w:sz w:val="22"/>
                <w:szCs w:val="22"/>
              </w:rPr>
            </w:pPr>
            <w:r w:rsidRPr="005300AD">
              <w:rPr>
                <w:rFonts w:ascii="Cambria Math" w:eastAsiaTheme="minorEastAsia" w:hAnsi="Cambria Math" w:cstheme="minorBidi"/>
                <w:b w:val="0"/>
                <w:bCs w:val="0"/>
                <w:sz w:val="22"/>
                <w:szCs w:val="22"/>
              </w:rPr>
              <w:t>1.20</w:t>
            </w:r>
          </w:p>
        </w:tc>
      </w:tr>
      <w:tr w:rsidR="00C76A20" w:rsidRPr="005300AD" w:rsidTr="009F6D37">
        <w:tc>
          <w:tcPr>
            <w:tcW w:w="4621" w:type="dxa"/>
          </w:tcPr>
          <w:p w:rsidR="00C76A20" w:rsidRPr="005300AD" w:rsidRDefault="00C76A20" w:rsidP="009F6D37">
            <w:pPr>
              <w:pStyle w:val="BodyTextIndent"/>
              <w:ind w:left="0"/>
              <w:rPr>
                <w:rFonts w:ascii="Cambria Math" w:eastAsiaTheme="minorEastAsia" w:hAnsi="Cambria Math" w:cstheme="minorBidi"/>
                <w:b w:val="0"/>
                <w:bCs w:val="0"/>
                <w:sz w:val="22"/>
                <w:szCs w:val="22"/>
              </w:rPr>
            </w:pPr>
            <w:r w:rsidRPr="005300AD">
              <w:rPr>
                <w:rFonts w:ascii="Cambria Math" w:eastAsiaTheme="minorEastAsia" w:hAnsi="Cambria Math" w:cstheme="minorBidi"/>
                <w:b w:val="0"/>
                <w:bCs w:val="0"/>
                <w:sz w:val="22"/>
                <w:szCs w:val="22"/>
              </w:rPr>
              <w:t>2006</w:t>
            </w:r>
          </w:p>
        </w:tc>
        <w:tc>
          <w:tcPr>
            <w:tcW w:w="4621" w:type="dxa"/>
          </w:tcPr>
          <w:p w:rsidR="00C76A20" w:rsidRPr="005300AD" w:rsidRDefault="00C76A20" w:rsidP="009F6D37">
            <w:pPr>
              <w:pStyle w:val="BodyTextIndent"/>
              <w:ind w:left="0"/>
              <w:rPr>
                <w:rFonts w:ascii="Cambria Math" w:eastAsiaTheme="minorEastAsia" w:hAnsi="Cambria Math" w:cstheme="minorBidi"/>
                <w:b w:val="0"/>
                <w:bCs w:val="0"/>
                <w:sz w:val="22"/>
                <w:szCs w:val="22"/>
              </w:rPr>
            </w:pPr>
            <w:r w:rsidRPr="005300AD">
              <w:rPr>
                <w:rFonts w:ascii="Cambria Math" w:eastAsiaTheme="minorEastAsia" w:hAnsi="Cambria Math" w:cstheme="minorBidi"/>
                <w:b w:val="0"/>
                <w:bCs w:val="0"/>
                <w:sz w:val="22"/>
                <w:szCs w:val="22"/>
              </w:rPr>
              <w:t>1.25</w:t>
            </w:r>
          </w:p>
        </w:tc>
      </w:tr>
      <w:tr w:rsidR="00C76A20" w:rsidRPr="005300AD" w:rsidTr="009F6D37">
        <w:tc>
          <w:tcPr>
            <w:tcW w:w="4621" w:type="dxa"/>
          </w:tcPr>
          <w:p w:rsidR="00C76A20" w:rsidRPr="005300AD" w:rsidRDefault="00C76A20" w:rsidP="009F6D37">
            <w:pPr>
              <w:pStyle w:val="BodyTextIndent"/>
              <w:ind w:left="0"/>
              <w:rPr>
                <w:rFonts w:ascii="Cambria Math" w:eastAsiaTheme="minorEastAsia" w:hAnsi="Cambria Math" w:cstheme="minorBidi"/>
                <w:b w:val="0"/>
                <w:bCs w:val="0"/>
                <w:sz w:val="22"/>
                <w:szCs w:val="22"/>
              </w:rPr>
            </w:pPr>
            <w:r w:rsidRPr="005300AD">
              <w:rPr>
                <w:rFonts w:ascii="Cambria Math" w:eastAsiaTheme="minorEastAsia" w:hAnsi="Cambria Math" w:cstheme="minorBidi"/>
                <w:b w:val="0"/>
                <w:bCs w:val="0"/>
                <w:sz w:val="22"/>
                <w:szCs w:val="22"/>
              </w:rPr>
              <w:t>2007</w:t>
            </w:r>
          </w:p>
        </w:tc>
        <w:tc>
          <w:tcPr>
            <w:tcW w:w="4621" w:type="dxa"/>
          </w:tcPr>
          <w:p w:rsidR="00C76A20" w:rsidRPr="005300AD" w:rsidRDefault="00C76A20" w:rsidP="009F6D37">
            <w:pPr>
              <w:pStyle w:val="BodyTextIndent"/>
              <w:ind w:left="0"/>
              <w:rPr>
                <w:rFonts w:ascii="Cambria Math" w:eastAsiaTheme="minorEastAsia" w:hAnsi="Cambria Math" w:cstheme="minorBidi"/>
                <w:b w:val="0"/>
                <w:bCs w:val="0"/>
                <w:sz w:val="22"/>
                <w:szCs w:val="22"/>
              </w:rPr>
            </w:pPr>
            <w:r w:rsidRPr="005300AD">
              <w:rPr>
                <w:rFonts w:ascii="Cambria Math" w:eastAsiaTheme="minorEastAsia" w:hAnsi="Cambria Math" w:cstheme="minorBidi"/>
                <w:b w:val="0"/>
                <w:bCs w:val="0"/>
                <w:sz w:val="22"/>
                <w:szCs w:val="22"/>
              </w:rPr>
              <w:t>1.45</w:t>
            </w:r>
          </w:p>
        </w:tc>
      </w:tr>
      <w:tr w:rsidR="00C76A20" w:rsidRPr="005300AD" w:rsidTr="009F6D37">
        <w:tc>
          <w:tcPr>
            <w:tcW w:w="4621" w:type="dxa"/>
          </w:tcPr>
          <w:p w:rsidR="00C76A20" w:rsidRPr="005300AD" w:rsidRDefault="00C76A20" w:rsidP="009F6D37">
            <w:pPr>
              <w:pStyle w:val="BodyTextIndent"/>
              <w:ind w:left="0"/>
              <w:rPr>
                <w:rFonts w:ascii="Cambria Math" w:eastAsiaTheme="minorEastAsia" w:hAnsi="Cambria Math" w:cstheme="minorBidi"/>
                <w:b w:val="0"/>
                <w:bCs w:val="0"/>
                <w:sz w:val="22"/>
                <w:szCs w:val="22"/>
              </w:rPr>
            </w:pPr>
            <w:r w:rsidRPr="005300AD">
              <w:rPr>
                <w:rFonts w:ascii="Cambria Math" w:eastAsiaTheme="minorEastAsia" w:hAnsi="Cambria Math" w:cstheme="minorBidi"/>
                <w:b w:val="0"/>
                <w:bCs w:val="0"/>
                <w:sz w:val="22"/>
                <w:szCs w:val="22"/>
              </w:rPr>
              <w:t>2008</w:t>
            </w:r>
          </w:p>
        </w:tc>
        <w:tc>
          <w:tcPr>
            <w:tcW w:w="4621" w:type="dxa"/>
          </w:tcPr>
          <w:p w:rsidR="00C76A20" w:rsidRPr="005300AD" w:rsidRDefault="00C76A20" w:rsidP="009F6D37">
            <w:pPr>
              <w:pStyle w:val="BodyTextIndent"/>
              <w:ind w:left="0"/>
              <w:rPr>
                <w:rFonts w:ascii="Cambria Math" w:eastAsiaTheme="minorEastAsia" w:hAnsi="Cambria Math" w:cstheme="minorBidi"/>
                <w:b w:val="0"/>
                <w:bCs w:val="0"/>
                <w:sz w:val="22"/>
                <w:szCs w:val="22"/>
              </w:rPr>
            </w:pPr>
            <w:r w:rsidRPr="005300AD">
              <w:rPr>
                <w:rFonts w:ascii="Cambria Math" w:eastAsiaTheme="minorEastAsia" w:hAnsi="Cambria Math" w:cstheme="minorBidi"/>
                <w:b w:val="0"/>
                <w:bCs w:val="0"/>
                <w:sz w:val="22"/>
                <w:szCs w:val="22"/>
              </w:rPr>
              <w:t>1.60</w:t>
            </w:r>
          </w:p>
        </w:tc>
      </w:tr>
      <w:tr w:rsidR="00C76A20" w:rsidRPr="005300AD" w:rsidTr="009F6D37">
        <w:tc>
          <w:tcPr>
            <w:tcW w:w="4621" w:type="dxa"/>
          </w:tcPr>
          <w:p w:rsidR="00C76A20" w:rsidRPr="005300AD" w:rsidRDefault="00C76A20" w:rsidP="009F6D37">
            <w:pPr>
              <w:pStyle w:val="BodyTextIndent"/>
              <w:ind w:left="0"/>
              <w:rPr>
                <w:rFonts w:ascii="Cambria Math" w:eastAsiaTheme="minorEastAsia" w:hAnsi="Cambria Math" w:cstheme="minorBidi"/>
                <w:b w:val="0"/>
                <w:bCs w:val="0"/>
                <w:sz w:val="22"/>
                <w:szCs w:val="22"/>
              </w:rPr>
            </w:pPr>
            <w:r w:rsidRPr="005300AD">
              <w:rPr>
                <w:rFonts w:ascii="Cambria Math" w:eastAsiaTheme="minorEastAsia" w:hAnsi="Cambria Math" w:cstheme="minorBidi"/>
                <w:b w:val="0"/>
                <w:bCs w:val="0"/>
                <w:sz w:val="22"/>
                <w:szCs w:val="22"/>
              </w:rPr>
              <w:t>2009</w:t>
            </w:r>
          </w:p>
        </w:tc>
        <w:tc>
          <w:tcPr>
            <w:tcW w:w="4621" w:type="dxa"/>
          </w:tcPr>
          <w:p w:rsidR="00C76A20" w:rsidRPr="005300AD" w:rsidRDefault="00C76A20" w:rsidP="009F6D37">
            <w:pPr>
              <w:pStyle w:val="BodyTextIndent"/>
              <w:ind w:left="0"/>
              <w:rPr>
                <w:rFonts w:ascii="Cambria Math" w:eastAsiaTheme="minorEastAsia" w:hAnsi="Cambria Math" w:cstheme="minorBidi"/>
                <w:b w:val="0"/>
                <w:bCs w:val="0"/>
                <w:sz w:val="22"/>
                <w:szCs w:val="22"/>
              </w:rPr>
            </w:pPr>
            <w:r w:rsidRPr="005300AD">
              <w:rPr>
                <w:rFonts w:ascii="Cambria Math" w:eastAsiaTheme="minorEastAsia" w:hAnsi="Cambria Math" w:cstheme="minorBidi"/>
                <w:b w:val="0"/>
                <w:bCs w:val="0"/>
                <w:sz w:val="22"/>
                <w:szCs w:val="22"/>
              </w:rPr>
              <w:t>1.85</w:t>
            </w:r>
          </w:p>
        </w:tc>
      </w:tr>
      <w:tr w:rsidR="00C76A20" w:rsidRPr="005300AD" w:rsidTr="009F6D37">
        <w:tc>
          <w:tcPr>
            <w:tcW w:w="4621" w:type="dxa"/>
          </w:tcPr>
          <w:p w:rsidR="00C76A20" w:rsidRPr="005300AD" w:rsidRDefault="00C76A20" w:rsidP="009F6D37">
            <w:pPr>
              <w:pStyle w:val="BodyTextIndent"/>
              <w:ind w:left="0"/>
              <w:rPr>
                <w:rFonts w:ascii="Cambria Math" w:eastAsiaTheme="minorEastAsia" w:hAnsi="Cambria Math" w:cstheme="minorBidi"/>
                <w:b w:val="0"/>
                <w:bCs w:val="0"/>
                <w:sz w:val="22"/>
                <w:szCs w:val="22"/>
              </w:rPr>
            </w:pPr>
            <w:r w:rsidRPr="005300AD">
              <w:rPr>
                <w:rFonts w:ascii="Cambria Math" w:eastAsiaTheme="minorEastAsia" w:hAnsi="Cambria Math" w:cstheme="minorBidi"/>
                <w:b w:val="0"/>
                <w:bCs w:val="0"/>
                <w:sz w:val="22"/>
                <w:szCs w:val="22"/>
              </w:rPr>
              <w:t>2010 (CURRENT YEAR)</w:t>
            </w:r>
          </w:p>
        </w:tc>
        <w:tc>
          <w:tcPr>
            <w:tcW w:w="4621" w:type="dxa"/>
          </w:tcPr>
          <w:p w:rsidR="00C76A20" w:rsidRPr="005300AD" w:rsidRDefault="00C76A20" w:rsidP="009F6D37">
            <w:pPr>
              <w:pStyle w:val="BodyTextIndent"/>
              <w:ind w:left="0"/>
              <w:rPr>
                <w:rFonts w:ascii="Cambria Math" w:eastAsiaTheme="minorEastAsia" w:hAnsi="Cambria Math" w:cstheme="minorBidi"/>
                <w:b w:val="0"/>
                <w:bCs w:val="0"/>
                <w:sz w:val="22"/>
                <w:szCs w:val="22"/>
              </w:rPr>
            </w:pPr>
            <w:r w:rsidRPr="005300AD">
              <w:rPr>
                <w:rFonts w:ascii="Cambria Math" w:eastAsiaTheme="minorEastAsia" w:hAnsi="Cambria Math" w:cstheme="minorBidi"/>
                <w:b w:val="0"/>
                <w:bCs w:val="0"/>
                <w:sz w:val="22"/>
                <w:szCs w:val="22"/>
              </w:rPr>
              <w:t>2.00</w:t>
            </w:r>
          </w:p>
        </w:tc>
      </w:tr>
    </w:tbl>
    <w:p w:rsidR="00C76A20" w:rsidRPr="005300AD" w:rsidRDefault="00C76A20" w:rsidP="00C76A20">
      <w:pPr>
        <w:pStyle w:val="BodyTextIndent"/>
        <w:ind w:left="0"/>
        <w:rPr>
          <w:rFonts w:ascii="Cambria Math" w:eastAsiaTheme="minorEastAsia" w:hAnsi="Cambria Math" w:cstheme="minorBidi"/>
          <w:b w:val="0"/>
          <w:bCs w:val="0"/>
          <w:sz w:val="22"/>
          <w:szCs w:val="22"/>
          <w:lang w:val="en-GB" w:eastAsia="en-GB"/>
        </w:rPr>
      </w:pPr>
    </w:p>
    <w:p w:rsidR="00C76A20" w:rsidRPr="005300AD" w:rsidRDefault="00C76A20" w:rsidP="00C76A20">
      <w:pPr>
        <w:pStyle w:val="BodyTextIndent"/>
        <w:ind w:left="0"/>
        <w:rPr>
          <w:rFonts w:ascii="Cambria Math" w:eastAsiaTheme="minorEastAsia" w:hAnsi="Cambria Math" w:cstheme="minorBidi"/>
          <w:b w:val="0"/>
          <w:bCs w:val="0"/>
          <w:sz w:val="22"/>
          <w:szCs w:val="22"/>
          <w:lang w:val="en-GB" w:eastAsia="en-GB"/>
        </w:rPr>
      </w:pPr>
      <w:r w:rsidRPr="005300AD">
        <w:rPr>
          <w:rFonts w:ascii="Cambria Math" w:eastAsiaTheme="minorEastAsia" w:hAnsi="Cambria Math" w:cstheme="minorBidi"/>
          <w:b w:val="0"/>
          <w:bCs w:val="0"/>
          <w:sz w:val="22"/>
          <w:szCs w:val="22"/>
          <w:lang w:val="en-GB" w:eastAsia="en-GB"/>
        </w:rPr>
        <w:t>Your opportunity cost is 12%.  What is this stock worth to you? (10 MKS)</w:t>
      </w:r>
    </w:p>
    <w:p w:rsidR="00C76A20" w:rsidRPr="005300AD" w:rsidRDefault="00C76A20" w:rsidP="00C76A20">
      <w:pPr>
        <w:pStyle w:val="BodyTextIndent"/>
        <w:ind w:left="0"/>
        <w:rPr>
          <w:rFonts w:ascii="Cambria Math" w:eastAsiaTheme="minorEastAsia" w:hAnsi="Cambria Math" w:cstheme="minorBidi"/>
          <w:b w:val="0"/>
          <w:bCs w:val="0"/>
          <w:sz w:val="22"/>
          <w:szCs w:val="22"/>
          <w:lang w:val="en-GB" w:eastAsia="en-GB"/>
        </w:rPr>
      </w:pPr>
    </w:p>
    <w:p w:rsidR="00C76A20" w:rsidRPr="005300AD" w:rsidRDefault="00C76A20" w:rsidP="00C76A20">
      <w:pPr>
        <w:pStyle w:val="BodyTextIndent"/>
        <w:ind w:left="0"/>
        <w:rPr>
          <w:rFonts w:ascii="Cambria Math" w:eastAsiaTheme="minorEastAsia" w:hAnsi="Cambria Math" w:cstheme="minorBidi"/>
          <w:b w:val="0"/>
          <w:bCs w:val="0"/>
          <w:sz w:val="22"/>
          <w:szCs w:val="22"/>
          <w:lang w:val="en-GB" w:eastAsia="en-GB"/>
        </w:rPr>
      </w:pPr>
      <w:r w:rsidRPr="005300AD">
        <w:rPr>
          <w:rFonts w:ascii="Cambria Math" w:eastAsiaTheme="minorEastAsia" w:hAnsi="Cambria Math" w:cstheme="minorBidi"/>
          <w:b w:val="0"/>
          <w:bCs w:val="0"/>
          <w:sz w:val="22"/>
          <w:szCs w:val="22"/>
          <w:lang w:val="en-GB" w:eastAsia="en-GB"/>
        </w:rPr>
        <w:t>B. Discuss the following capital budgeting techniques, highlighting their advantages and disadvantages.</w:t>
      </w:r>
    </w:p>
    <w:p w:rsidR="00C76A20" w:rsidRPr="005300AD" w:rsidRDefault="00C76A20" w:rsidP="00C76A20">
      <w:pPr>
        <w:pStyle w:val="BodyTextIndent"/>
        <w:numPr>
          <w:ilvl w:val="0"/>
          <w:numId w:val="2"/>
        </w:numPr>
        <w:rPr>
          <w:rFonts w:ascii="Cambria Math" w:eastAsiaTheme="minorEastAsia" w:hAnsi="Cambria Math" w:cstheme="minorBidi"/>
          <w:b w:val="0"/>
          <w:bCs w:val="0"/>
          <w:sz w:val="22"/>
          <w:szCs w:val="22"/>
          <w:lang w:val="en-GB" w:eastAsia="en-GB"/>
        </w:rPr>
      </w:pPr>
      <w:r w:rsidRPr="005300AD">
        <w:rPr>
          <w:rFonts w:ascii="Cambria Math" w:eastAsiaTheme="minorEastAsia" w:hAnsi="Cambria Math" w:cstheme="minorBidi"/>
          <w:b w:val="0"/>
          <w:bCs w:val="0"/>
          <w:sz w:val="22"/>
          <w:szCs w:val="22"/>
          <w:lang w:val="en-GB" w:eastAsia="en-GB"/>
        </w:rPr>
        <w:t>The net present value method(5 mks)</w:t>
      </w:r>
    </w:p>
    <w:p w:rsidR="00C76A20" w:rsidRPr="005300AD" w:rsidRDefault="00C76A20" w:rsidP="00C76A20">
      <w:pPr>
        <w:pStyle w:val="BodyTextIndent"/>
        <w:numPr>
          <w:ilvl w:val="0"/>
          <w:numId w:val="2"/>
        </w:numPr>
        <w:rPr>
          <w:rFonts w:ascii="Cambria Math" w:eastAsiaTheme="minorEastAsia" w:hAnsi="Cambria Math" w:cstheme="minorBidi"/>
          <w:b w:val="0"/>
          <w:bCs w:val="0"/>
          <w:sz w:val="22"/>
          <w:szCs w:val="22"/>
          <w:lang w:val="en-GB" w:eastAsia="en-GB"/>
        </w:rPr>
      </w:pPr>
      <w:r w:rsidRPr="005300AD">
        <w:rPr>
          <w:rFonts w:ascii="Cambria Math" w:eastAsiaTheme="minorEastAsia" w:hAnsi="Cambria Math" w:cstheme="minorBidi"/>
          <w:b w:val="0"/>
          <w:bCs w:val="0"/>
          <w:sz w:val="22"/>
          <w:szCs w:val="22"/>
          <w:lang w:val="en-GB" w:eastAsia="en-GB"/>
        </w:rPr>
        <w:t>The internal rate of return method. (5 mks)</w:t>
      </w:r>
    </w:p>
    <w:p w:rsidR="00C76A20" w:rsidRPr="005300AD" w:rsidRDefault="00C76A20" w:rsidP="00C76A20">
      <w:pPr>
        <w:pStyle w:val="BodyTextIndent"/>
        <w:numPr>
          <w:ilvl w:val="0"/>
          <w:numId w:val="2"/>
        </w:numPr>
        <w:rPr>
          <w:rFonts w:ascii="Cambria Math" w:eastAsiaTheme="minorEastAsia" w:hAnsi="Cambria Math" w:cstheme="minorBidi"/>
          <w:b w:val="0"/>
          <w:bCs w:val="0"/>
          <w:sz w:val="22"/>
          <w:szCs w:val="22"/>
          <w:lang w:val="en-GB" w:eastAsia="en-GB"/>
        </w:rPr>
      </w:pPr>
      <w:r w:rsidRPr="005300AD">
        <w:rPr>
          <w:rFonts w:ascii="Cambria Math" w:eastAsiaTheme="minorEastAsia" w:hAnsi="Cambria Math" w:cstheme="minorBidi"/>
          <w:b w:val="0"/>
          <w:bCs w:val="0"/>
          <w:sz w:val="22"/>
          <w:szCs w:val="22"/>
          <w:lang w:val="en-GB" w:eastAsia="en-GB"/>
        </w:rPr>
        <w:t>The payback method. (5 mks)</w:t>
      </w:r>
    </w:p>
    <w:p w:rsidR="00C76A20" w:rsidRPr="005300AD" w:rsidRDefault="00C76A20" w:rsidP="00C76A20">
      <w:pPr>
        <w:pStyle w:val="BodyTextIndent"/>
        <w:numPr>
          <w:ilvl w:val="0"/>
          <w:numId w:val="2"/>
        </w:numPr>
        <w:rPr>
          <w:rFonts w:ascii="Cambria Math" w:eastAsiaTheme="minorEastAsia" w:hAnsi="Cambria Math" w:cstheme="minorBidi"/>
          <w:b w:val="0"/>
          <w:bCs w:val="0"/>
          <w:sz w:val="22"/>
          <w:szCs w:val="22"/>
          <w:lang w:val="en-GB" w:eastAsia="en-GB"/>
        </w:rPr>
      </w:pPr>
      <w:r w:rsidRPr="005300AD">
        <w:rPr>
          <w:rFonts w:ascii="Cambria Math" w:eastAsiaTheme="minorEastAsia" w:hAnsi="Cambria Math" w:cstheme="minorBidi"/>
          <w:b w:val="0"/>
          <w:bCs w:val="0"/>
          <w:sz w:val="22"/>
          <w:szCs w:val="22"/>
          <w:lang w:val="en-GB" w:eastAsia="en-GB"/>
        </w:rPr>
        <w:t>The discounted payback period. (5 mks)</w:t>
      </w:r>
    </w:p>
    <w:p w:rsidR="00C76A20" w:rsidRPr="005300AD" w:rsidRDefault="00C76A20">
      <w:pPr>
        <w:rPr>
          <w:rFonts w:ascii="Cambria Math" w:hAnsi="Cambria Math"/>
        </w:rPr>
      </w:pPr>
    </w:p>
    <w:p w:rsidR="00D5735E" w:rsidRPr="005300AD" w:rsidRDefault="00C76A20">
      <w:pPr>
        <w:rPr>
          <w:rFonts w:ascii="Cambria Math" w:hAnsi="Cambria Math"/>
          <w:b/>
        </w:rPr>
      </w:pPr>
      <w:r w:rsidRPr="005300AD">
        <w:rPr>
          <w:rFonts w:ascii="Cambria Math" w:hAnsi="Cambria Math"/>
          <w:b/>
        </w:rPr>
        <w:t>SECTION B</w:t>
      </w:r>
    </w:p>
    <w:p w:rsidR="00C76A20" w:rsidRPr="005300AD" w:rsidRDefault="00C76A20">
      <w:pPr>
        <w:rPr>
          <w:rFonts w:ascii="Cambria Math" w:hAnsi="Cambria Math"/>
          <w:b/>
        </w:rPr>
      </w:pPr>
      <w:r w:rsidRPr="005300AD">
        <w:rPr>
          <w:rFonts w:ascii="Cambria Math" w:hAnsi="Cambria Math"/>
          <w:b/>
        </w:rPr>
        <w:t>2.</w:t>
      </w:r>
    </w:p>
    <w:p w:rsidR="00C76A20" w:rsidRPr="005300AD" w:rsidRDefault="00C76A20" w:rsidP="00C76A20">
      <w:pPr>
        <w:pStyle w:val="ListParagraph"/>
        <w:numPr>
          <w:ilvl w:val="1"/>
          <w:numId w:val="3"/>
        </w:numPr>
        <w:ind w:left="360"/>
        <w:rPr>
          <w:rFonts w:ascii="Cambria Math" w:hAnsi="Cambria Math"/>
        </w:rPr>
      </w:pPr>
      <w:r w:rsidRPr="005300AD">
        <w:rPr>
          <w:rFonts w:ascii="Cambria Math" w:hAnsi="Cambria Math"/>
        </w:rPr>
        <w:t>‘Profit maximization objective has been criticized on many grounds’. Discuss the criticism of the profit maximization as an objective of financial management (8.5 mks)</w:t>
      </w:r>
    </w:p>
    <w:p w:rsidR="00C76A20" w:rsidRDefault="00C76A20" w:rsidP="005300AD">
      <w:pPr>
        <w:pStyle w:val="ListParagraph"/>
        <w:numPr>
          <w:ilvl w:val="1"/>
          <w:numId w:val="3"/>
        </w:numPr>
        <w:ind w:left="360"/>
        <w:rPr>
          <w:rFonts w:ascii="Cambria Math" w:hAnsi="Cambria Math"/>
        </w:rPr>
      </w:pPr>
      <w:r w:rsidRPr="005300AD">
        <w:rPr>
          <w:rFonts w:ascii="Cambria Math" w:hAnsi="Cambria Math"/>
        </w:rPr>
        <w:t>Discuss wealth maximization as an alternative objective of a finance manager, highlighting its strengths and weaknesses. (15 mks)</w:t>
      </w:r>
    </w:p>
    <w:p w:rsidR="005300AD" w:rsidRPr="005300AD" w:rsidRDefault="005300AD" w:rsidP="005300AD">
      <w:pPr>
        <w:pStyle w:val="ListParagraph"/>
        <w:ind w:left="360"/>
        <w:rPr>
          <w:rFonts w:ascii="Cambria Math" w:hAnsi="Cambria Math"/>
        </w:rPr>
      </w:pPr>
    </w:p>
    <w:p w:rsidR="00C76A20" w:rsidRPr="005300AD" w:rsidRDefault="005300AD" w:rsidP="005300AD">
      <w:pPr>
        <w:pStyle w:val="ListParagraph"/>
        <w:numPr>
          <w:ilvl w:val="2"/>
          <w:numId w:val="3"/>
        </w:numPr>
        <w:autoSpaceDE w:val="0"/>
        <w:autoSpaceDN w:val="0"/>
        <w:adjustRightInd w:val="0"/>
        <w:spacing w:after="0" w:line="240" w:lineRule="auto"/>
        <w:ind w:left="360"/>
        <w:rPr>
          <w:rFonts w:ascii="Cambria Math" w:hAnsi="Cambria Math" w:cs="Times New Roman"/>
          <w:sz w:val="24"/>
          <w:szCs w:val="24"/>
        </w:rPr>
      </w:pPr>
      <w:r w:rsidRPr="005300AD">
        <w:rPr>
          <w:rFonts w:ascii="Cambria Math" w:hAnsi="Cambria Math" w:cs="Times New Roman"/>
          <w:sz w:val="24"/>
          <w:szCs w:val="24"/>
        </w:rPr>
        <w:t xml:space="preserve">a. </w:t>
      </w:r>
      <w:r w:rsidR="00C76A20" w:rsidRPr="005300AD">
        <w:rPr>
          <w:rFonts w:ascii="Cambria Math" w:hAnsi="Cambria Math" w:cs="Times New Roman"/>
          <w:sz w:val="24"/>
          <w:szCs w:val="24"/>
        </w:rPr>
        <w:t>Why is it that there is a cost to the firm for internally generated capital (Retained earnings)? (2 Mks)</w:t>
      </w:r>
    </w:p>
    <w:p w:rsidR="00C76A20" w:rsidRPr="005300AD" w:rsidRDefault="00C76A20" w:rsidP="00C76A20">
      <w:pPr>
        <w:autoSpaceDE w:val="0"/>
        <w:autoSpaceDN w:val="0"/>
        <w:adjustRightInd w:val="0"/>
        <w:spacing w:after="0" w:line="240" w:lineRule="auto"/>
        <w:ind w:left="360"/>
        <w:rPr>
          <w:rFonts w:ascii="Cambria Math" w:hAnsi="Cambria Math" w:cs="Times New Roman"/>
          <w:sz w:val="24"/>
          <w:szCs w:val="24"/>
        </w:rPr>
      </w:pPr>
    </w:p>
    <w:p w:rsidR="00C76A20" w:rsidRPr="005300AD" w:rsidRDefault="00C76A20" w:rsidP="00C76A20">
      <w:pPr>
        <w:autoSpaceDE w:val="0"/>
        <w:autoSpaceDN w:val="0"/>
        <w:adjustRightInd w:val="0"/>
        <w:spacing w:after="0" w:line="240" w:lineRule="auto"/>
        <w:rPr>
          <w:rFonts w:ascii="Cambria Math" w:hAnsi="Cambria Math" w:cs="Times New Roman"/>
          <w:sz w:val="24"/>
          <w:szCs w:val="24"/>
        </w:rPr>
      </w:pPr>
      <w:r w:rsidRPr="005300AD">
        <w:rPr>
          <w:rFonts w:ascii="Cambria Math" w:hAnsi="Cambria Math" w:cs="Times New Roman"/>
          <w:sz w:val="24"/>
          <w:szCs w:val="24"/>
        </w:rPr>
        <w:t xml:space="preserve">b. </w:t>
      </w:r>
      <w:r w:rsidR="005300AD" w:rsidRPr="005300AD">
        <w:rPr>
          <w:rFonts w:ascii="Cambria Math" w:hAnsi="Cambria Math" w:cs="Times New Roman"/>
          <w:sz w:val="24"/>
          <w:szCs w:val="24"/>
        </w:rPr>
        <w:tab/>
      </w:r>
      <w:r w:rsidRPr="005300AD">
        <w:rPr>
          <w:rFonts w:ascii="Cambria Math" w:hAnsi="Cambria Math" w:cs="Times New Roman"/>
          <w:sz w:val="24"/>
          <w:szCs w:val="24"/>
        </w:rPr>
        <w:t>Why does the cost of externally generated equity capital differ from the cost of internally generated equity capital? (6 mks)</w:t>
      </w:r>
    </w:p>
    <w:p w:rsidR="00C76A20" w:rsidRPr="005300AD" w:rsidRDefault="00C76A20" w:rsidP="00C76A20">
      <w:pPr>
        <w:autoSpaceDE w:val="0"/>
        <w:autoSpaceDN w:val="0"/>
        <w:adjustRightInd w:val="0"/>
        <w:spacing w:after="0" w:line="240" w:lineRule="auto"/>
        <w:ind w:left="720"/>
        <w:rPr>
          <w:rFonts w:ascii="Cambria Math" w:hAnsi="Cambria Math" w:cs="Times New Roman"/>
          <w:sz w:val="24"/>
          <w:szCs w:val="24"/>
        </w:rPr>
      </w:pPr>
    </w:p>
    <w:p w:rsidR="00C76A20" w:rsidRPr="005300AD" w:rsidRDefault="00C76A20" w:rsidP="00C76A20">
      <w:pPr>
        <w:autoSpaceDE w:val="0"/>
        <w:autoSpaceDN w:val="0"/>
        <w:adjustRightInd w:val="0"/>
        <w:spacing w:after="0" w:line="240" w:lineRule="auto"/>
        <w:rPr>
          <w:rFonts w:ascii="Cambria Math" w:hAnsi="Cambria Math" w:cs="Times New Roman"/>
          <w:sz w:val="24"/>
          <w:szCs w:val="24"/>
        </w:rPr>
      </w:pPr>
      <w:proofErr w:type="gramStart"/>
      <w:r w:rsidRPr="005300AD">
        <w:rPr>
          <w:rFonts w:ascii="Cambria Math" w:hAnsi="Cambria Math" w:cs="Sabon-Roman"/>
          <w:color w:val="292526"/>
        </w:rPr>
        <w:t>c.</w:t>
      </w:r>
      <w:r w:rsidRPr="005300AD">
        <w:rPr>
          <w:rFonts w:ascii="Cambria Math" w:hAnsi="Cambria Math" w:cs="Sabon-Roman"/>
          <w:color w:val="292526"/>
        </w:rPr>
        <w:tab/>
      </w:r>
      <w:r w:rsidRPr="005300AD">
        <w:rPr>
          <w:rFonts w:ascii="Cambria Math" w:hAnsi="Cambria Math" w:cs="Times New Roman"/>
          <w:sz w:val="24"/>
          <w:szCs w:val="24"/>
        </w:rPr>
        <w:t>ABC</w:t>
      </w:r>
      <w:proofErr w:type="gramEnd"/>
      <w:r w:rsidRPr="005300AD">
        <w:rPr>
          <w:rFonts w:ascii="Cambria Math" w:hAnsi="Cambria Math" w:cs="Times New Roman"/>
          <w:sz w:val="24"/>
          <w:szCs w:val="24"/>
        </w:rPr>
        <w:t xml:space="preserve"> Honey, Inc. is evaluating its cost of capital under alternative financing arrangements. In consultation with investment bankers, ABC, Inc</w:t>
      </w:r>
      <w:proofErr w:type="gramStart"/>
      <w:r w:rsidRPr="005300AD">
        <w:rPr>
          <w:rFonts w:ascii="Cambria Math" w:hAnsi="Cambria Math" w:cs="Times New Roman"/>
          <w:sz w:val="24"/>
          <w:szCs w:val="24"/>
        </w:rPr>
        <w:t>.,</w:t>
      </w:r>
      <w:proofErr w:type="gramEnd"/>
      <w:r w:rsidRPr="005300AD">
        <w:rPr>
          <w:rFonts w:ascii="Cambria Math" w:hAnsi="Cambria Math" w:cs="Times New Roman"/>
          <w:sz w:val="24"/>
          <w:szCs w:val="24"/>
        </w:rPr>
        <w:t xml:space="preserve"> expects to be able to issue new debt at par (Ksh. 100) with a coupon rate of 10% and to issue new preferred stock with a Ksh.4.00 per share dividend at Ksh.25 a share. The common stock of ABC is currently selling for Ksh.20.00 a share. ABC expects to pay a dividend of Ksh.2.50 per share next year. Market analysts foresee a growth in dividends in Invest stock at a rate of 5% per </w:t>
      </w:r>
      <w:r w:rsidRPr="005300AD">
        <w:rPr>
          <w:rFonts w:ascii="Cambria Math" w:hAnsi="Cambria Math" w:cs="Times New Roman"/>
          <w:sz w:val="24"/>
          <w:szCs w:val="24"/>
        </w:rPr>
        <w:lastRenderedPageBreak/>
        <w:t>year. ABC does not expect its cost of debt, preferred stock or common stock, to be different under the two possible financing arrangements. ABC’s marginal tax rate is 40%. The two arrangements are:</w:t>
      </w:r>
    </w:p>
    <w:p w:rsidR="00C76A20" w:rsidRPr="005300AD" w:rsidRDefault="00C76A20" w:rsidP="00C76A20">
      <w:pPr>
        <w:autoSpaceDE w:val="0"/>
        <w:autoSpaceDN w:val="0"/>
        <w:adjustRightInd w:val="0"/>
        <w:spacing w:after="0" w:line="240" w:lineRule="auto"/>
        <w:rPr>
          <w:rFonts w:ascii="Cambria Math" w:hAnsi="Cambria Math" w:cs="Sabon-Roman"/>
          <w:color w:val="292526"/>
        </w:rPr>
      </w:pPr>
    </w:p>
    <w:tbl>
      <w:tblPr>
        <w:tblStyle w:val="TableGrid"/>
        <w:tblW w:w="0" w:type="auto"/>
        <w:tblLook w:val="04A0"/>
      </w:tblPr>
      <w:tblGrid>
        <w:gridCol w:w="3466"/>
        <w:gridCol w:w="1533"/>
        <w:gridCol w:w="1880"/>
        <w:gridCol w:w="1869"/>
      </w:tblGrid>
      <w:tr w:rsidR="00C76A20" w:rsidRPr="005300AD" w:rsidTr="005300AD">
        <w:tc>
          <w:tcPr>
            <w:tcW w:w="8748" w:type="dxa"/>
            <w:gridSpan w:val="4"/>
          </w:tcPr>
          <w:p w:rsidR="00C76A20" w:rsidRPr="005300AD" w:rsidRDefault="00C76A20" w:rsidP="009F6D37">
            <w:pPr>
              <w:autoSpaceDE w:val="0"/>
              <w:autoSpaceDN w:val="0"/>
              <w:adjustRightInd w:val="0"/>
              <w:rPr>
                <w:rFonts w:ascii="Cambria Math" w:hAnsi="Cambria Math" w:cs="Sabon-Roman"/>
                <w:color w:val="292526"/>
                <w:sz w:val="24"/>
                <w:szCs w:val="24"/>
              </w:rPr>
            </w:pPr>
            <w:r w:rsidRPr="005300AD">
              <w:rPr>
                <w:rFonts w:ascii="Cambria Math" w:hAnsi="Cambria Math" w:cs="Sabon-Bold"/>
                <w:b/>
                <w:bCs/>
                <w:color w:val="292526"/>
                <w:sz w:val="24"/>
                <w:szCs w:val="24"/>
              </w:rPr>
              <w:t xml:space="preserve">                                                                                     Percentage of New Capital Raised</w:t>
            </w:r>
          </w:p>
        </w:tc>
      </w:tr>
      <w:tr w:rsidR="00C76A20" w:rsidRPr="005300AD" w:rsidTr="005300AD">
        <w:tc>
          <w:tcPr>
            <w:tcW w:w="3466" w:type="dxa"/>
          </w:tcPr>
          <w:p w:rsidR="00C76A20" w:rsidRPr="005300AD" w:rsidRDefault="00C76A20" w:rsidP="009F6D37">
            <w:pPr>
              <w:autoSpaceDE w:val="0"/>
              <w:autoSpaceDN w:val="0"/>
              <w:adjustRightInd w:val="0"/>
              <w:rPr>
                <w:rFonts w:ascii="Cambria Math" w:hAnsi="Cambria Math" w:cs="Sabon-Roman"/>
                <w:b/>
                <w:color w:val="292526"/>
                <w:sz w:val="24"/>
                <w:szCs w:val="24"/>
              </w:rPr>
            </w:pPr>
            <w:r w:rsidRPr="005300AD">
              <w:rPr>
                <w:rFonts w:ascii="Cambria Math" w:hAnsi="Cambria Math" w:cs="Sabon-Roman"/>
                <w:b/>
                <w:color w:val="292526"/>
                <w:sz w:val="24"/>
                <w:szCs w:val="24"/>
              </w:rPr>
              <w:t>FINANCING ARRANGEMENT</w:t>
            </w:r>
          </w:p>
        </w:tc>
        <w:tc>
          <w:tcPr>
            <w:tcW w:w="1533" w:type="dxa"/>
          </w:tcPr>
          <w:p w:rsidR="00C76A20" w:rsidRPr="005300AD" w:rsidRDefault="00C76A20" w:rsidP="009F6D37">
            <w:pPr>
              <w:autoSpaceDE w:val="0"/>
              <w:autoSpaceDN w:val="0"/>
              <w:adjustRightInd w:val="0"/>
              <w:rPr>
                <w:rFonts w:ascii="Cambria Math" w:hAnsi="Cambria Math" w:cs="Sabon-Roman"/>
                <w:color w:val="292526"/>
                <w:sz w:val="24"/>
                <w:szCs w:val="24"/>
              </w:rPr>
            </w:pPr>
            <w:r w:rsidRPr="005300AD">
              <w:rPr>
                <w:rFonts w:ascii="Cambria Math" w:hAnsi="Cambria Math" w:cs="Sabon-Bold"/>
                <w:b/>
                <w:bCs/>
                <w:color w:val="292526"/>
                <w:sz w:val="24"/>
                <w:szCs w:val="24"/>
              </w:rPr>
              <w:t xml:space="preserve">Debt </w:t>
            </w:r>
          </w:p>
        </w:tc>
        <w:tc>
          <w:tcPr>
            <w:tcW w:w="1880" w:type="dxa"/>
          </w:tcPr>
          <w:p w:rsidR="00C76A20" w:rsidRPr="005300AD" w:rsidRDefault="00C76A20" w:rsidP="009F6D37">
            <w:pPr>
              <w:autoSpaceDE w:val="0"/>
              <w:autoSpaceDN w:val="0"/>
              <w:adjustRightInd w:val="0"/>
              <w:rPr>
                <w:rFonts w:ascii="Cambria Math" w:hAnsi="Cambria Math" w:cs="Sabon-Roman"/>
                <w:color w:val="292526"/>
                <w:sz w:val="24"/>
                <w:szCs w:val="24"/>
              </w:rPr>
            </w:pPr>
            <w:r w:rsidRPr="005300AD">
              <w:rPr>
                <w:rFonts w:ascii="Cambria Math" w:hAnsi="Cambria Math" w:cs="Sabon-Bold"/>
                <w:b/>
                <w:bCs/>
                <w:color w:val="292526"/>
                <w:sz w:val="24"/>
                <w:szCs w:val="24"/>
              </w:rPr>
              <w:t>Preferred Stock</w:t>
            </w:r>
          </w:p>
        </w:tc>
        <w:tc>
          <w:tcPr>
            <w:tcW w:w="1869" w:type="dxa"/>
          </w:tcPr>
          <w:p w:rsidR="00C76A20" w:rsidRPr="005300AD" w:rsidRDefault="00C76A20" w:rsidP="009F6D37">
            <w:pPr>
              <w:autoSpaceDE w:val="0"/>
              <w:autoSpaceDN w:val="0"/>
              <w:adjustRightInd w:val="0"/>
              <w:rPr>
                <w:rFonts w:ascii="Cambria Math" w:hAnsi="Cambria Math" w:cs="Sabon-Roman"/>
                <w:color w:val="292526"/>
                <w:sz w:val="24"/>
                <w:szCs w:val="24"/>
              </w:rPr>
            </w:pPr>
            <w:r w:rsidRPr="005300AD">
              <w:rPr>
                <w:rFonts w:ascii="Cambria Math" w:hAnsi="Cambria Math" w:cs="Sabon-Bold"/>
                <w:b/>
                <w:bCs/>
                <w:color w:val="292526"/>
                <w:sz w:val="24"/>
                <w:szCs w:val="24"/>
              </w:rPr>
              <w:t>Common Stock</w:t>
            </w:r>
          </w:p>
        </w:tc>
      </w:tr>
      <w:tr w:rsidR="00C76A20" w:rsidRPr="005300AD" w:rsidTr="005300AD">
        <w:tc>
          <w:tcPr>
            <w:tcW w:w="3466" w:type="dxa"/>
          </w:tcPr>
          <w:p w:rsidR="00C76A20" w:rsidRPr="005300AD" w:rsidRDefault="00C76A20" w:rsidP="009F6D37">
            <w:pPr>
              <w:autoSpaceDE w:val="0"/>
              <w:autoSpaceDN w:val="0"/>
              <w:adjustRightInd w:val="0"/>
              <w:rPr>
                <w:rFonts w:ascii="Cambria Math" w:hAnsi="Cambria Math" w:cs="Sabon-Roman"/>
                <w:color w:val="292526"/>
                <w:sz w:val="24"/>
                <w:szCs w:val="24"/>
              </w:rPr>
            </w:pPr>
            <w:r w:rsidRPr="005300AD">
              <w:rPr>
                <w:rFonts w:ascii="Cambria Math" w:hAnsi="Cambria Math" w:cs="Sabon-Roman"/>
                <w:color w:val="292526"/>
                <w:sz w:val="24"/>
                <w:szCs w:val="24"/>
              </w:rPr>
              <w:t>1</w:t>
            </w:r>
          </w:p>
        </w:tc>
        <w:tc>
          <w:tcPr>
            <w:tcW w:w="1533" w:type="dxa"/>
          </w:tcPr>
          <w:p w:rsidR="00C76A20" w:rsidRPr="005300AD" w:rsidRDefault="00C76A20" w:rsidP="009F6D37">
            <w:pPr>
              <w:autoSpaceDE w:val="0"/>
              <w:autoSpaceDN w:val="0"/>
              <w:adjustRightInd w:val="0"/>
              <w:rPr>
                <w:rFonts w:ascii="Cambria Math" w:hAnsi="Cambria Math" w:cs="Sabon-Roman"/>
                <w:color w:val="292526"/>
                <w:sz w:val="24"/>
                <w:szCs w:val="24"/>
              </w:rPr>
            </w:pPr>
            <w:r w:rsidRPr="005300AD">
              <w:rPr>
                <w:rFonts w:ascii="Cambria Math" w:hAnsi="Cambria Math" w:cs="Sabon-Roman"/>
                <w:color w:val="292526"/>
                <w:sz w:val="24"/>
                <w:szCs w:val="24"/>
              </w:rPr>
              <w:t xml:space="preserve">20% </w:t>
            </w:r>
          </w:p>
        </w:tc>
        <w:tc>
          <w:tcPr>
            <w:tcW w:w="1880" w:type="dxa"/>
          </w:tcPr>
          <w:p w:rsidR="00C76A20" w:rsidRPr="005300AD" w:rsidRDefault="00C76A20" w:rsidP="009F6D37">
            <w:pPr>
              <w:autoSpaceDE w:val="0"/>
              <w:autoSpaceDN w:val="0"/>
              <w:adjustRightInd w:val="0"/>
              <w:rPr>
                <w:rFonts w:ascii="Cambria Math" w:hAnsi="Cambria Math" w:cs="Sabon-Roman"/>
                <w:color w:val="292526"/>
                <w:sz w:val="24"/>
                <w:szCs w:val="24"/>
              </w:rPr>
            </w:pPr>
            <w:r w:rsidRPr="005300AD">
              <w:rPr>
                <w:rFonts w:ascii="Cambria Math" w:hAnsi="Cambria Math" w:cs="Sabon-Roman"/>
                <w:color w:val="292526"/>
                <w:sz w:val="24"/>
                <w:szCs w:val="24"/>
              </w:rPr>
              <w:t xml:space="preserve">30% </w:t>
            </w:r>
          </w:p>
        </w:tc>
        <w:tc>
          <w:tcPr>
            <w:tcW w:w="1869" w:type="dxa"/>
          </w:tcPr>
          <w:p w:rsidR="00C76A20" w:rsidRPr="005300AD" w:rsidRDefault="00C76A20" w:rsidP="009F6D37">
            <w:pPr>
              <w:autoSpaceDE w:val="0"/>
              <w:autoSpaceDN w:val="0"/>
              <w:adjustRightInd w:val="0"/>
              <w:rPr>
                <w:rFonts w:ascii="Cambria Math" w:hAnsi="Cambria Math" w:cs="Sabon-Roman"/>
                <w:color w:val="292526"/>
                <w:sz w:val="24"/>
                <w:szCs w:val="24"/>
              </w:rPr>
            </w:pPr>
            <w:r w:rsidRPr="005300AD">
              <w:rPr>
                <w:rFonts w:ascii="Cambria Math" w:hAnsi="Cambria Math" w:cs="Sabon-Roman"/>
                <w:color w:val="292526"/>
                <w:sz w:val="24"/>
                <w:szCs w:val="24"/>
              </w:rPr>
              <w:t>50%</w:t>
            </w:r>
          </w:p>
        </w:tc>
      </w:tr>
      <w:tr w:rsidR="00C76A20" w:rsidRPr="005300AD" w:rsidTr="005300AD">
        <w:tc>
          <w:tcPr>
            <w:tcW w:w="3466" w:type="dxa"/>
          </w:tcPr>
          <w:p w:rsidR="00C76A20" w:rsidRPr="005300AD" w:rsidRDefault="00C76A20" w:rsidP="009F6D37">
            <w:pPr>
              <w:autoSpaceDE w:val="0"/>
              <w:autoSpaceDN w:val="0"/>
              <w:adjustRightInd w:val="0"/>
              <w:rPr>
                <w:rFonts w:ascii="Cambria Math" w:hAnsi="Cambria Math" w:cs="Sabon-Roman"/>
                <w:color w:val="292526"/>
                <w:sz w:val="24"/>
                <w:szCs w:val="24"/>
              </w:rPr>
            </w:pPr>
            <w:r w:rsidRPr="005300AD">
              <w:rPr>
                <w:rFonts w:ascii="Cambria Math" w:hAnsi="Cambria Math" w:cs="Sabon-Roman"/>
                <w:color w:val="292526"/>
                <w:sz w:val="24"/>
                <w:szCs w:val="24"/>
              </w:rPr>
              <w:t>2</w:t>
            </w:r>
          </w:p>
        </w:tc>
        <w:tc>
          <w:tcPr>
            <w:tcW w:w="1533" w:type="dxa"/>
          </w:tcPr>
          <w:p w:rsidR="00C76A20" w:rsidRPr="005300AD" w:rsidRDefault="00C76A20" w:rsidP="009F6D37">
            <w:pPr>
              <w:autoSpaceDE w:val="0"/>
              <w:autoSpaceDN w:val="0"/>
              <w:adjustRightInd w:val="0"/>
              <w:rPr>
                <w:rFonts w:ascii="Cambria Math" w:hAnsi="Cambria Math" w:cs="Sabon-Roman"/>
                <w:color w:val="292526"/>
                <w:sz w:val="24"/>
                <w:szCs w:val="24"/>
              </w:rPr>
            </w:pPr>
            <w:r w:rsidRPr="005300AD">
              <w:rPr>
                <w:rFonts w:ascii="Cambria Math" w:hAnsi="Cambria Math" w:cs="Sabon-Roman"/>
                <w:color w:val="292526"/>
                <w:sz w:val="24"/>
                <w:szCs w:val="24"/>
              </w:rPr>
              <w:t>50%</w:t>
            </w:r>
          </w:p>
        </w:tc>
        <w:tc>
          <w:tcPr>
            <w:tcW w:w="1880" w:type="dxa"/>
          </w:tcPr>
          <w:p w:rsidR="00C76A20" w:rsidRPr="005300AD" w:rsidRDefault="00C76A20" w:rsidP="009F6D37">
            <w:pPr>
              <w:autoSpaceDE w:val="0"/>
              <w:autoSpaceDN w:val="0"/>
              <w:adjustRightInd w:val="0"/>
              <w:rPr>
                <w:rFonts w:ascii="Cambria Math" w:hAnsi="Cambria Math" w:cs="Sabon-Roman"/>
                <w:color w:val="292526"/>
                <w:sz w:val="24"/>
                <w:szCs w:val="24"/>
              </w:rPr>
            </w:pPr>
            <w:r w:rsidRPr="005300AD">
              <w:rPr>
                <w:rFonts w:ascii="Cambria Math" w:hAnsi="Cambria Math" w:cs="Sabon-Roman"/>
                <w:color w:val="292526"/>
                <w:sz w:val="24"/>
                <w:szCs w:val="24"/>
              </w:rPr>
              <w:t xml:space="preserve">30% </w:t>
            </w:r>
          </w:p>
        </w:tc>
        <w:tc>
          <w:tcPr>
            <w:tcW w:w="1869" w:type="dxa"/>
          </w:tcPr>
          <w:p w:rsidR="00C76A20" w:rsidRPr="005300AD" w:rsidRDefault="00C76A20" w:rsidP="009F6D37">
            <w:pPr>
              <w:autoSpaceDE w:val="0"/>
              <w:autoSpaceDN w:val="0"/>
              <w:adjustRightInd w:val="0"/>
              <w:rPr>
                <w:rFonts w:ascii="Cambria Math" w:hAnsi="Cambria Math" w:cs="Sabon-Roman"/>
                <w:color w:val="292526"/>
                <w:sz w:val="24"/>
                <w:szCs w:val="24"/>
              </w:rPr>
            </w:pPr>
            <w:r w:rsidRPr="005300AD">
              <w:rPr>
                <w:rFonts w:ascii="Cambria Math" w:hAnsi="Cambria Math" w:cs="Sabon-Roman"/>
                <w:color w:val="292526"/>
                <w:sz w:val="24"/>
                <w:szCs w:val="24"/>
              </w:rPr>
              <w:t>20%</w:t>
            </w:r>
          </w:p>
        </w:tc>
      </w:tr>
      <w:tr w:rsidR="00C76A20" w:rsidRPr="005300AD" w:rsidTr="005300AD">
        <w:tc>
          <w:tcPr>
            <w:tcW w:w="3466" w:type="dxa"/>
          </w:tcPr>
          <w:p w:rsidR="00C76A20" w:rsidRPr="005300AD" w:rsidRDefault="00C76A20" w:rsidP="009F6D37">
            <w:pPr>
              <w:autoSpaceDE w:val="0"/>
              <w:autoSpaceDN w:val="0"/>
              <w:adjustRightInd w:val="0"/>
              <w:rPr>
                <w:rFonts w:ascii="Cambria Math" w:hAnsi="Cambria Math" w:cs="Sabon-Roman"/>
                <w:color w:val="292526"/>
                <w:sz w:val="24"/>
                <w:szCs w:val="24"/>
              </w:rPr>
            </w:pPr>
          </w:p>
        </w:tc>
        <w:tc>
          <w:tcPr>
            <w:tcW w:w="1533" w:type="dxa"/>
          </w:tcPr>
          <w:p w:rsidR="00C76A20" w:rsidRPr="005300AD" w:rsidRDefault="00C76A20" w:rsidP="009F6D37">
            <w:pPr>
              <w:autoSpaceDE w:val="0"/>
              <w:autoSpaceDN w:val="0"/>
              <w:adjustRightInd w:val="0"/>
              <w:rPr>
                <w:rFonts w:ascii="Cambria Math" w:hAnsi="Cambria Math" w:cs="Sabon-Roman"/>
                <w:color w:val="292526"/>
                <w:sz w:val="24"/>
                <w:szCs w:val="24"/>
              </w:rPr>
            </w:pPr>
          </w:p>
        </w:tc>
        <w:tc>
          <w:tcPr>
            <w:tcW w:w="1880" w:type="dxa"/>
          </w:tcPr>
          <w:p w:rsidR="00C76A20" w:rsidRPr="005300AD" w:rsidRDefault="00C76A20" w:rsidP="009F6D37">
            <w:pPr>
              <w:autoSpaceDE w:val="0"/>
              <w:autoSpaceDN w:val="0"/>
              <w:adjustRightInd w:val="0"/>
              <w:rPr>
                <w:rFonts w:ascii="Cambria Math" w:hAnsi="Cambria Math" w:cs="Sabon-Roman"/>
                <w:color w:val="292526"/>
                <w:sz w:val="24"/>
                <w:szCs w:val="24"/>
              </w:rPr>
            </w:pPr>
          </w:p>
        </w:tc>
        <w:tc>
          <w:tcPr>
            <w:tcW w:w="1869" w:type="dxa"/>
          </w:tcPr>
          <w:p w:rsidR="00C76A20" w:rsidRPr="005300AD" w:rsidRDefault="00C76A20" w:rsidP="009F6D37">
            <w:pPr>
              <w:autoSpaceDE w:val="0"/>
              <w:autoSpaceDN w:val="0"/>
              <w:adjustRightInd w:val="0"/>
              <w:rPr>
                <w:rFonts w:ascii="Cambria Math" w:hAnsi="Cambria Math" w:cs="Sabon-Roman"/>
                <w:color w:val="292526"/>
                <w:sz w:val="24"/>
                <w:szCs w:val="24"/>
              </w:rPr>
            </w:pPr>
          </w:p>
        </w:tc>
      </w:tr>
    </w:tbl>
    <w:p w:rsidR="00C76A20" w:rsidRPr="005300AD" w:rsidRDefault="00C76A20" w:rsidP="00C76A20">
      <w:pPr>
        <w:autoSpaceDE w:val="0"/>
        <w:autoSpaceDN w:val="0"/>
        <w:adjustRightInd w:val="0"/>
        <w:spacing w:after="0" w:line="240" w:lineRule="auto"/>
        <w:rPr>
          <w:rFonts w:ascii="Cambria Math" w:hAnsi="Cambria Math" w:cs="Sabon-Roman"/>
          <w:color w:val="292526"/>
          <w:sz w:val="24"/>
          <w:szCs w:val="24"/>
        </w:rPr>
      </w:pPr>
    </w:p>
    <w:p w:rsidR="00C76A20" w:rsidRPr="005300AD" w:rsidRDefault="00C76A20" w:rsidP="005300AD">
      <w:pPr>
        <w:autoSpaceDE w:val="0"/>
        <w:autoSpaceDN w:val="0"/>
        <w:adjustRightInd w:val="0"/>
        <w:spacing w:after="0" w:line="240" w:lineRule="auto"/>
        <w:ind w:left="-90"/>
        <w:rPr>
          <w:rFonts w:ascii="Cambria Math" w:hAnsi="Cambria Math" w:cs="Times New Roman"/>
          <w:sz w:val="24"/>
          <w:szCs w:val="24"/>
        </w:rPr>
      </w:pPr>
      <w:r w:rsidRPr="005300AD">
        <w:rPr>
          <w:rFonts w:ascii="Cambria Math" w:hAnsi="Cambria Math" w:cs="Times New Roman"/>
          <w:sz w:val="24"/>
          <w:szCs w:val="24"/>
        </w:rPr>
        <w:t>What is the cost of capital (MCC) to ABC Honey, Inc., under each financing arrangement? (15 mks)</w:t>
      </w:r>
    </w:p>
    <w:p w:rsidR="00C76A20" w:rsidRDefault="00C76A20" w:rsidP="005300AD">
      <w:pPr>
        <w:pStyle w:val="ListParagraph"/>
        <w:ind w:left="-90"/>
        <w:rPr>
          <w:rFonts w:ascii="Cambria Math" w:hAnsi="Cambria Math"/>
        </w:rPr>
      </w:pPr>
    </w:p>
    <w:p w:rsidR="005300AD" w:rsidRDefault="005300AD" w:rsidP="005300AD">
      <w:pPr>
        <w:pStyle w:val="ListParagraph"/>
        <w:autoSpaceDE w:val="0"/>
        <w:autoSpaceDN w:val="0"/>
        <w:adjustRightInd w:val="0"/>
        <w:spacing w:after="0" w:line="240" w:lineRule="auto"/>
        <w:ind w:left="-90"/>
        <w:rPr>
          <w:rFonts w:ascii="Times New Roman" w:hAnsi="Times New Roman" w:cs="Times New Roman"/>
          <w:sz w:val="24"/>
          <w:szCs w:val="24"/>
        </w:rPr>
      </w:pPr>
      <w:r>
        <w:rPr>
          <w:rFonts w:ascii="Times New Roman" w:hAnsi="Times New Roman" w:cs="Times New Roman"/>
          <w:sz w:val="24"/>
          <w:szCs w:val="24"/>
        </w:rPr>
        <w:t>4a.</w:t>
      </w:r>
      <w:r>
        <w:rPr>
          <w:rFonts w:ascii="Times New Roman" w:hAnsi="Times New Roman" w:cs="Times New Roman"/>
          <w:sz w:val="24"/>
          <w:szCs w:val="24"/>
        </w:rPr>
        <w:tab/>
      </w:r>
      <w:r w:rsidRPr="00061737">
        <w:rPr>
          <w:rFonts w:ascii="Times New Roman" w:hAnsi="Times New Roman" w:cs="Times New Roman"/>
          <w:sz w:val="24"/>
          <w:szCs w:val="24"/>
        </w:rPr>
        <w:t>Consider a portfolio comprised of Security A and Security B, with an equal investment in each. Security A’s returns have an expected return of 3% and a standard deviation of 4%. Security B’s returns have an expected return of 5% and standard deviation of 6%. Complete the following table:</w:t>
      </w:r>
      <w:r>
        <w:rPr>
          <w:rFonts w:ascii="Times New Roman" w:hAnsi="Times New Roman" w:cs="Times New Roman"/>
          <w:sz w:val="24"/>
          <w:szCs w:val="24"/>
        </w:rPr>
        <w:t xml:space="preserve"> (16 mks)</w:t>
      </w:r>
    </w:p>
    <w:p w:rsidR="005300AD" w:rsidRDefault="005300AD" w:rsidP="005300AD">
      <w:pPr>
        <w:pStyle w:val="ListParagraph"/>
        <w:autoSpaceDE w:val="0"/>
        <w:autoSpaceDN w:val="0"/>
        <w:adjustRightInd w:val="0"/>
        <w:spacing w:after="0" w:line="240" w:lineRule="auto"/>
        <w:ind w:left="-90"/>
        <w:rPr>
          <w:rFonts w:ascii="Times New Roman" w:hAnsi="Times New Roman" w:cs="Times New Roman"/>
          <w:sz w:val="24"/>
          <w:szCs w:val="24"/>
        </w:rPr>
      </w:pPr>
    </w:p>
    <w:tbl>
      <w:tblPr>
        <w:tblStyle w:val="TableGrid"/>
        <w:tblW w:w="0" w:type="auto"/>
        <w:tblLook w:val="04A0"/>
      </w:tblPr>
      <w:tblGrid>
        <w:gridCol w:w="2189"/>
        <w:gridCol w:w="1176"/>
        <w:gridCol w:w="2066"/>
        <w:gridCol w:w="1299"/>
        <w:gridCol w:w="1838"/>
      </w:tblGrid>
      <w:tr w:rsidR="005300AD" w:rsidTr="00B86967">
        <w:trPr>
          <w:trHeight w:val="277"/>
        </w:trPr>
        <w:tc>
          <w:tcPr>
            <w:tcW w:w="2189" w:type="dxa"/>
          </w:tcPr>
          <w:p w:rsidR="005300AD" w:rsidRPr="00061737" w:rsidRDefault="005300AD" w:rsidP="005300AD">
            <w:pPr>
              <w:pStyle w:val="ListParagraph"/>
              <w:autoSpaceDE w:val="0"/>
              <w:autoSpaceDN w:val="0"/>
              <w:adjustRightInd w:val="0"/>
              <w:ind w:left="-90"/>
              <w:rPr>
                <w:rFonts w:ascii="Times New Roman" w:hAnsi="Times New Roman" w:cs="Times New Roman"/>
                <w:b/>
                <w:sz w:val="24"/>
                <w:szCs w:val="24"/>
              </w:rPr>
            </w:pPr>
            <w:r w:rsidRPr="00061737">
              <w:rPr>
                <w:rFonts w:ascii="Times New Roman" w:hAnsi="Times New Roman" w:cs="Times New Roman"/>
                <w:b/>
                <w:sz w:val="24"/>
                <w:szCs w:val="24"/>
              </w:rPr>
              <w:t>Correlation</w:t>
            </w:r>
            <w:r>
              <w:rPr>
                <w:rFonts w:ascii="Times New Roman" w:hAnsi="Times New Roman" w:cs="Times New Roman"/>
                <w:b/>
                <w:sz w:val="24"/>
                <w:szCs w:val="24"/>
              </w:rPr>
              <w:t xml:space="preserve"> </w:t>
            </w:r>
            <w:r w:rsidRPr="00061737">
              <w:rPr>
                <w:rFonts w:ascii="Times New Roman" w:hAnsi="Times New Roman" w:cs="Times New Roman"/>
                <w:b/>
                <w:sz w:val="24"/>
                <w:szCs w:val="24"/>
              </w:rPr>
              <w:t>Coefficient</w:t>
            </w:r>
          </w:p>
          <w:p w:rsidR="005300AD" w:rsidRPr="00061737" w:rsidRDefault="005300AD" w:rsidP="005300AD">
            <w:pPr>
              <w:pStyle w:val="ListParagraph"/>
              <w:autoSpaceDE w:val="0"/>
              <w:autoSpaceDN w:val="0"/>
              <w:adjustRightInd w:val="0"/>
              <w:ind w:left="-90"/>
              <w:rPr>
                <w:rFonts w:ascii="Times New Roman" w:hAnsi="Times New Roman" w:cs="Times New Roman"/>
                <w:b/>
                <w:sz w:val="24"/>
                <w:szCs w:val="24"/>
              </w:rPr>
            </w:pPr>
            <w:r w:rsidRPr="00061737">
              <w:rPr>
                <w:rFonts w:ascii="Times New Roman" w:hAnsi="Times New Roman" w:cs="Times New Roman"/>
                <w:b/>
                <w:sz w:val="24"/>
                <w:szCs w:val="24"/>
              </w:rPr>
              <w:t>of Returns on</w:t>
            </w:r>
            <w:r>
              <w:rPr>
                <w:rFonts w:ascii="Times New Roman" w:hAnsi="Times New Roman" w:cs="Times New Roman"/>
                <w:b/>
                <w:sz w:val="24"/>
                <w:szCs w:val="24"/>
              </w:rPr>
              <w:t xml:space="preserve"> </w:t>
            </w:r>
            <w:r w:rsidRPr="00061737">
              <w:rPr>
                <w:rFonts w:ascii="Times New Roman" w:hAnsi="Times New Roman" w:cs="Times New Roman"/>
                <w:b/>
                <w:sz w:val="24"/>
                <w:szCs w:val="24"/>
              </w:rPr>
              <w:t>Securities A and B</w:t>
            </w:r>
          </w:p>
        </w:tc>
        <w:tc>
          <w:tcPr>
            <w:tcW w:w="1176" w:type="dxa"/>
            <w:tcBorders>
              <w:bottom w:val="single" w:sz="4" w:space="0" w:color="000000" w:themeColor="text1"/>
            </w:tcBorders>
          </w:tcPr>
          <w:p w:rsidR="005300AD" w:rsidRPr="00061737" w:rsidRDefault="005300AD" w:rsidP="005300AD">
            <w:pPr>
              <w:pStyle w:val="ListParagraph"/>
              <w:autoSpaceDE w:val="0"/>
              <w:autoSpaceDN w:val="0"/>
              <w:adjustRightInd w:val="0"/>
              <w:ind w:left="-90"/>
              <w:rPr>
                <w:rFonts w:ascii="Times New Roman" w:hAnsi="Times New Roman" w:cs="Times New Roman"/>
                <w:b/>
                <w:sz w:val="24"/>
                <w:szCs w:val="24"/>
              </w:rPr>
            </w:pPr>
            <w:r w:rsidRPr="00061737">
              <w:rPr>
                <w:rFonts w:ascii="Times New Roman" w:hAnsi="Times New Roman" w:cs="Times New Roman"/>
                <w:b/>
                <w:sz w:val="24"/>
                <w:szCs w:val="24"/>
              </w:rPr>
              <w:t>Portfolio</w:t>
            </w:r>
          </w:p>
          <w:p w:rsidR="005300AD" w:rsidRPr="00061737" w:rsidRDefault="005300AD" w:rsidP="005300AD">
            <w:pPr>
              <w:pStyle w:val="ListParagraph"/>
              <w:autoSpaceDE w:val="0"/>
              <w:autoSpaceDN w:val="0"/>
              <w:adjustRightInd w:val="0"/>
              <w:ind w:left="-90"/>
              <w:rPr>
                <w:rFonts w:ascii="Times New Roman" w:hAnsi="Times New Roman" w:cs="Times New Roman"/>
                <w:b/>
                <w:sz w:val="24"/>
                <w:szCs w:val="24"/>
              </w:rPr>
            </w:pPr>
            <w:r w:rsidRPr="00061737">
              <w:rPr>
                <w:rFonts w:ascii="Times New Roman" w:hAnsi="Times New Roman" w:cs="Times New Roman"/>
                <w:b/>
                <w:sz w:val="24"/>
                <w:szCs w:val="24"/>
              </w:rPr>
              <w:t>Return</w:t>
            </w:r>
          </w:p>
        </w:tc>
        <w:tc>
          <w:tcPr>
            <w:tcW w:w="2066" w:type="dxa"/>
            <w:tcBorders>
              <w:bottom w:val="single" w:sz="4" w:space="0" w:color="000000" w:themeColor="text1"/>
            </w:tcBorders>
          </w:tcPr>
          <w:p w:rsidR="005300AD" w:rsidRPr="00061737" w:rsidRDefault="005300AD" w:rsidP="005300AD">
            <w:pPr>
              <w:pStyle w:val="ListParagraph"/>
              <w:autoSpaceDE w:val="0"/>
              <w:autoSpaceDN w:val="0"/>
              <w:adjustRightInd w:val="0"/>
              <w:ind w:left="-90"/>
              <w:rPr>
                <w:rFonts w:ascii="Times New Roman" w:hAnsi="Times New Roman" w:cs="Times New Roman"/>
                <w:b/>
                <w:sz w:val="24"/>
                <w:szCs w:val="24"/>
              </w:rPr>
            </w:pPr>
            <w:r w:rsidRPr="00061737">
              <w:rPr>
                <w:rFonts w:ascii="Times New Roman" w:hAnsi="Times New Roman" w:cs="Times New Roman"/>
                <w:b/>
                <w:sz w:val="24"/>
                <w:szCs w:val="24"/>
              </w:rPr>
              <w:t>Covariance</w:t>
            </w:r>
          </w:p>
          <w:p w:rsidR="005300AD" w:rsidRPr="00061737" w:rsidRDefault="005300AD" w:rsidP="005300AD">
            <w:pPr>
              <w:pStyle w:val="ListParagraph"/>
              <w:autoSpaceDE w:val="0"/>
              <w:autoSpaceDN w:val="0"/>
              <w:adjustRightInd w:val="0"/>
              <w:ind w:left="-90"/>
              <w:rPr>
                <w:rFonts w:ascii="Times New Roman" w:hAnsi="Times New Roman" w:cs="Times New Roman"/>
                <w:b/>
                <w:sz w:val="24"/>
                <w:szCs w:val="24"/>
              </w:rPr>
            </w:pPr>
            <w:r w:rsidRPr="00061737">
              <w:rPr>
                <w:rFonts w:ascii="Times New Roman" w:hAnsi="Times New Roman" w:cs="Times New Roman"/>
                <w:b/>
                <w:sz w:val="24"/>
                <w:szCs w:val="24"/>
              </w:rPr>
              <w:t>Between</w:t>
            </w:r>
            <w:r>
              <w:rPr>
                <w:rFonts w:ascii="Times New Roman" w:hAnsi="Times New Roman" w:cs="Times New Roman"/>
                <w:b/>
                <w:sz w:val="24"/>
                <w:szCs w:val="24"/>
              </w:rPr>
              <w:t xml:space="preserve"> </w:t>
            </w:r>
            <w:r w:rsidRPr="00061737">
              <w:rPr>
                <w:rFonts w:ascii="Times New Roman" w:hAnsi="Times New Roman" w:cs="Times New Roman"/>
                <w:b/>
                <w:sz w:val="24"/>
                <w:szCs w:val="24"/>
              </w:rPr>
              <w:t>Returns on</w:t>
            </w:r>
            <w:r>
              <w:rPr>
                <w:rFonts w:ascii="Times New Roman" w:hAnsi="Times New Roman" w:cs="Times New Roman"/>
                <w:b/>
                <w:sz w:val="24"/>
                <w:szCs w:val="24"/>
              </w:rPr>
              <w:t xml:space="preserve"> </w:t>
            </w:r>
            <w:r w:rsidRPr="00061737">
              <w:rPr>
                <w:rFonts w:ascii="Times New Roman" w:hAnsi="Times New Roman" w:cs="Times New Roman"/>
                <w:b/>
                <w:sz w:val="24"/>
                <w:szCs w:val="24"/>
              </w:rPr>
              <w:t>Securities A and B</w:t>
            </w:r>
          </w:p>
        </w:tc>
        <w:tc>
          <w:tcPr>
            <w:tcW w:w="1299" w:type="dxa"/>
            <w:tcBorders>
              <w:bottom w:val="single" w:sz="4" w:space="0" w:color="000000" w:themeColor="text1"/>
            </w:tcBorders>
          </w:tcPr>
          <w:p w:rsidR="005300AD" w:rsidRPr="00061737" w:rsidRDefault="005300AD" w:rsidP="005300AD">
            <w:pPr>
              <w:pStyle w:val="ListParagraph"/>
              <w:autoSpaceDE w:val="0"/>
              <w:autoSpaceDN w:val="0"/>
              <w:adjustRightInd w:val="0"/>
              <w:ind w:left="-90"/>
              <w:rPr>
                <w:rFonts w:ascii="Times New Roman" w:hAnsi="Times New Roman" w:cs="Times New Roman"/>
                <w:b/>
                <w:sz w:val="24"/>
                <w:szCs w:val="24"/>
              </w:rPr>
            </w:pPr>
            <w:r w:rsidRPr="00061737">
              <w:rPr>
                <w:rFonts w:ascii="Times New Roman" w:hAnsi="Times New Roman" w:cs="Times New Roman"/>
                <w:b/>
                <w:sz w:val="24"/>
                <w:szCs w:val="24"/>
              </w:rPr>
              <w:t>Portfolio</w:t>
            </w:r>
          </w:p>
          <w:p w:rsidR="005300AD" w:rsidRPr="00061737" w:rsidRDefault="005300AD" w:rsidP="005300AD">
            <w:pPr>
              <w:pStyle w:val="ListParagraph"/>
              <w:autoSpaceDE w:val="0"/>
              <w:autoSpaceDN w:val="0"/>
              <w:adjustRightInd w:val="0"/>
              <w:ind w:left="-90"/>
              <w:rPr>
                <w:rFonts w:ascii="Times New Roman" w:hAnsi="Times New Roman" w:cs="Times New Roman"/>
                <w:b/>
                <w:sz w:val="24"/>
                <w:szCs w:val="24"/>
              </w:rPr>
            </w:pPr>
            <w:r w:rsidRPr="00061737">
              <w:rPr>
                <w:rFonts w:ascii="Times New Roman" w:hAnsi="Times New Roman" w:cs="Times New Roman"/>
                <w:b/>
                <w:sz w:val="24"/>
                <w:szCs w:val="24"/>
              </w:rPr>
              <w:t>Variance</w:t>
            </w:r>
          </w:p>
        </w:tc>
        <w:tc>
          <w:tcPr>
            <w:tcW w:w="1838" w:type="dxa"/>
            <w:tcBorders>
              <w:bottom w:val="single" w:sz="4" w:space="0" w:color="000000" w:themeColor="text1"/>
            </w:tcBorders>
          </w:tcPr>
          <w:p w:rsidR="005300AD" w:rsidRPr="00061737" w:rsidRDefault="005300AD" w:rsidP="005300AD">
            <w:pPr>
              <w:pStyle w:val="ListParagraph"/>
              <w:autoSpaceDE w:val="0"/>
              <w:autoSpaceDN w:val="0"/>
              <w:adjustRightInd w:val="0"/>
              <w:ind w:left="-90"/>
              <w:rPr>
                <w:rFonts w:ascii="Times New Roman" w:hAnsi="Times New Roman" w:cs="Times New Roman"/>
                <w:b/>
                <w:sz w:val="24"/>
                <w:szCs w:val="24"/>
              </w:rPr>
            </w:pPr>
            <w:r w:rsidRPr="00061737">
              <w:rPr>
                <w:rFonts w:ascii="Times New Roman" w:hAnsi="Times New Roman" w:cs="Times New Roman"/>
                <w:b/>
                <w:sz w:val="24"/>
                <w:szCs w:val="24"/>
              </w:rPr>
              <w:t>Portfolio</w:t>
            </w:r>
          </w:p>
          <w:p w:rsidR="005300AD" w:rsidRPr="00061737" w:rsidRDefault="005300AD" w:rsidP="005300AD">
            <w:pPr>
              <w:pStyle w:val="ListParagraph"/>
              <w:autoSpaceDE w:val="0"/>
              <w:autoSpaceDN w:val="0"/>
              <w:adjustRightInd w:val="0"/>
              <w:ind w:left="-90"/>
              <w:rPr>
                <w:rFonts w:ascii="Times New Roman" w:hAnsi="Times New Roman" w:cs="Times New Roman"/>
                <w:b/>
                <w:sz w:val="24"/>
                <w:szCs w:val="24"/>
              </w:rPr>
            </w:pPr>
            <w:r w:rsidRPr="00061737">
              <w:rPr>
                <w:rFonts w:ascii="Times New Roman" w:hAnsi="Times New Roman" w:cs="Times New Roman"/>
                <w:b/>
                <w:sz w:val="24"/>
                <w:szCs w:val="24"/>
              </w:rPr>
              <w:t>Standard Deviation</w:t>
            </w:r>
          </w:p>
        </w:tc>
      </w:tr>
      <w:tr w:rsidR="005300AD" w:rsidTr="00B86967">
        <w:trPr>
          <w:trHeight w:val="277"/>
        </w:trPr>
        <w:tc>
          <w:tcPr>
            <w:tcW w:w="2189" w:type="dxa"/>
          </w:tcPr>
          <w:p w:rsidR="005300AD" w:rsidRDefault="005300AD" w:rsidP="005300AD">
            <w:pPr>
              <w:autoSpaceDE w:val="0"/>
              <w:autoSpaceDN w:val="0"/>
              <w:adjustRightInd w:val="0"/>
              <w:ind w:left="-90"/>
              <w:rPr>
                <w:rFonts w:ascii="Times New Roman" w:hAnsi="Times New Roman" w:cs="Times New Roman"/>
                <w:sz w:val="24"/>
                <w:szCs w:val="24"/>
              </w:rPr>
            </w:pPr>
            <w:r>
              <w:rPr>
                <w:rFonts w:ascii="Times New Roman" w:hAnsi="Times New Roman" w:cs="Times New Roman"/>
                <w:sz w:val="24"/>
                <w:szCs w:val="24"/>
              </w:rPr>
              <w:t>1.00</w:t>
            </w:r>
          </w:p>
        </w:tc>
        <w:tc>
          <w:tcPr>
            <w:tcW w:w="1176" w:type="dxa"/>
            <w:shd w:val="pct5" w:color="auto" w:fill="auto"/>
          </w:tcPr>
          <w:p w:rsidR="005300AD" w:rsidRDefault="005300AD" w:rsidP="005300AD">
            <w:pPr>
              <w:autoSpaceDE w:val="0"/>
              <w:autoSpaceDN w:val="0"/>
              <w:adjustRightInd w:val="0"/>
              <w:ind w:left="-90"/>
              <w:rPr>
                <w:rFonts w:ascii="Times New Roman" w:hAnsi="Times New Roman" w:cs="Times New Roman"/>
                <w:sz w:val="24"/>
                <w:szCs w:val="24"/>
              </w:rPr>
            </w:pPr>
          </w:p>
        </w:tc>
        <w:tc>
          <w:tcPr>
            <w:tcW w:w="2066" w:type="dxa"/>
            <w:shd w:val="pct5" w:color="auto" w:fill="auto"/>
          </w:tcPr>
          <w:p w:rsidR="005300AD" w:rsidRDefault="005300AD" w:rsidP="005300AD">
            <w:pPr>
              <w:autoSpaceDE w:val="0"/>
              <w:autoSpaceDN w:val="0"/>
              <w:adjustRightInd w:val="0"/>
              <w:ind w:left="-90"/>
              <w:rPr>
                <w:rFonts w:ascii="Times New Roman" w:hAnsi="Times New Roman" w:cs="Times New Roman"/>
                <w:sz w:val="24"/>
                <w:szCs w:val="24"/>
              </w:rPr>
            </w:pPr>
          </w:p>
        </w:tc>
        <w:tc>
          <w:tcPr>
            <w:tcW w:w="1299" w:type="dxa"/>
            <w:shd w:val="pct5" w:color="auto" w:fill="auto"/>
          </w:tcPr>
          <w:p w:rsidR="005300AD" w:rsidRDefault="005300AD" w:rsidP="005300AD">
            <w:pPr>
              <w:autoSpaceDE w:val="0"/>
              <w:autoSpaceDN w:val="0"/>
              <w:adjustRightInd w:val="0"/>
              <w:ind w:left="-90"/>
              <w:rPr>
                <w:rFonts w:ascii="Times New Roman" w:hAnsi="Times New Roman" w:cs="Times New Roman"/>
                <w:sz w:val="24"/>
                <w:szCs w:val="24"/>
              </w:rPr>
            </w:pPr>
          </w:p>
        </w:tc>
        <w:tc>
          <w:tcPr>
            <w:tcW w:w="1838" w:type="dxa"/>
            <w:shd w:val="pct5" w:color="auto" w:fill="auto"/>
          </w:tcPr>
          <w:p w:rsidR="005300AD" w:rsidRDefault="005300AD" w:rsidP="005300AD">
            <w:pPr>
              <w:autoSpaceDE w:val="0"/>
              <w:autoSpaceDN w:val="0"/>
              <w:adjustRightInd w:val="0"/>
              <w:ind w:left="-90"/>
              <w:rPr>
                <w:rFonts w:ascii="Times New Roman" w:hAnsi="Times New Roman" w:cs="Times New Roman"/>
                <w:sz w:val="24"/>
                <w:szCs w:val="24"/>
              </w:rPr>
            </w:pPr>
          </w:p>
        </w:tc>
      </w:tr>
      <w:tr w:rsidR="005300AD" w:rsidTr="00B86967">
        <w:trPr>
          <w:trHeight w:val="277"/>
        </w:trPr>
        <w:tc>
          <w:tcPr>
            <w:tcW w:w="2189" w:type="dxa"/>
          </w:tcPr>
          <w:p w:rsidR="005300AD" w:rsidRDefault="005300AD" w:rsidP="005300AD">
            <w:pPr>
              <w:autoSpaceDE w:val="0"/>
              <w:autoSpaceDN w:val="0"/>
              <w:adjustRightInd w:val="0"/>
              <w:ind w:left="-90"/>
              <w:rPr>
                <w:rFonts w:ascii="Times New Roman" w:hAnsi="Times New Roman" w:cs="Times New Roman"/>
                <w:sz w:val="24"/>
                <w:szCs w:val="24"/>
              </w:rPr>
            </w:pPr>
            <w:r>
              <w:rPr>
                <w:rFonts w:ascii="Times New Roman" w:hAnsi="Times New Roman" w:cs="Times New Roman"/>
                <w:sz w:val="24"/>
                <w:szCs w:val="24"/>
              </w:rPr>
              <w:t>0.50</w:t>
            </w:r>
          </w:p>
        </w:tc>
        <w:tc>
          <w:tcPr>
            <w:tcW w:w="1176" w:type="dxa"/>
            <w:shd w:val="pct5" w:color="auto" w:fill="auto"/>
          </w:tcPr>
          <w:p w:rsidR="005300AD" w:rsidRDefault="005300AD" w:rsidP="005300AD">
            <w:pPr>
              <w:autoSpaceDE w:val="0"/>
              <w:autoSpaceDN w:val="0"/>
              <w:adjustRightInd w:val="0"/>
              <w:ind w:left="-90"/>
              <w:rPr>
                <w:rFonts w:ascii="Times New Roman" w:hAnsi="Times New Roman" w:cs="Times New Roman"/>
                <w:sz w:val="24"/>
                <w:szCs w:val="24"/>
              </w:rPr>
            </w:pPr>
          </w:p>
        </w:tc>
        <w:tc>
          <w:tcPr>
            <w:tcW w:w="2066" w:type="dxa"/>
            <w:shd w:val="pct5" w:color="auto" w:fill="auto"/>
          </w:tcPr>
          <w:p w:rsidR="005300AD" w:rsidRDefault="005300AD" w:rsidP="005300AD">
            <w:pPr>
              <w:autoSpaceDE w:val="0"/>
              <w:autoSpaceDN w:val="0"/>
              <w:adjustRightInd w:val="0"/>
              <w:ind w:left="-90"/>
              <w:rPr>
                <w:rFonts w:ascii="Times New Roman" w:hAnsi="Times New Roman" w:cs="Times New Roman"/>
                <w:sz w:val="24"/>
                <w:szCs w:val="24"/>
              </w:rPr>
            </w:pPr>
          </w:p>
        </w:tc>
        <w:tc>
          <w:tcPr>
            <w:tcW w:w="1299" w:type="dxa"/>
            <w:shd w:val="pct5" w:color="auto" w:fill="auto"/>
          </w:tcPr>
          <w:p w:rsidR="005300AD" w:rsidRDefault="005300AD" w:rsidP="005300AD">
            <w:pPr>
              <w:autoSpaceDE w:val="0"/>
              <w:autoSpaceDN w:val="0"/>
              <w:adjustRightInd w:val="0"/>
              <w:ind w:left="-90"/>
              <w:rPr>
                <w:rFonts w:ascii="Times New Roman" w:hAnsi="Times New Roman" w:cs="Times New Roman"/>
                <w:sz w:val="24"/>
                <w:szCs w:val="24"/>
              </w:rPr>
            </w:pPr>
          </w:p>
        </w:tc>
        <w:tc>
          <w:tcPr>
            <w:tcW w:w="1838" w:type="dxa"/>
            <w:shd w:val="pct5" w:color="auto" w:fill="auto"/>
          </w:tcPr>
          <w:p w:rsidR="005300AD" w:rsidRDefault="005300AD" w:rsidP="005300AD">
            <w:pPr>
              <w:autoSpaceDE w:val="0"/>
              <w:autoSpaceDN w:val="0"/>
              <w:adjustRightInd w:val="0"/>
              <w:ind w:left="-90"/>
              <w:rPr>
                <w:rFonts w:ascii="Times New Roman" w:hAnsi="Times New Roman" w:cs="Times New Roman"/>
                <w:sz w:val="24"/>
                <w:szCs w:val="24"/>
              </w:rPr>
            </w:pPr>
          </w:p>
        </w:tc>
      </w:tr>
      <w:tr w:rsidR="005300AD" w:rsidTr="00B86967">
        <w:trPr>
          <w:trHeight w:val="277"/>
        </w:trPr>
        <w:tc>
          <w:tcPr>
            <w:tcW w:w="2189" w:type="dxa"/>
          </w:tcPr>
          <w:p w:rsidR="005300AD" w:rsidRDefault="005300AD" w:rsidP="005300AD">
            <w:pPr>
              <w:autoSpaceDE w:val="0"/>
              <w:autoSpaceDN w:val="0"/>
              <w:adjustRightInd w:val="0"/>
              <w:ind w:left="-90"/>
              <w:rPr>
                <w:rFonts w:ascii="Times New Roman" w:hAnsi="Times New Roman" w:cs="Times New Roman"/>
                <w:sz w:val="24"/>
                <w:szCs w:val="24"/>
              </w:rPr>
            </w:pPr>
            <w:r>
              <w:rPr>
                <w:rFonts w:ascii="Times New Roman" w:hAnsi="Times New Roman" w:cs="Times New Roman"/>
                <w:sz w:val="24"/>
                <w:szCs w:val="24"/>
              </w:rPr>
              <w:t>-0.50</w:t>
            </w:r>
          </w:p>
        </w:tc>
        <w:tc>
          <w:tcPr>
            <w:tcW w:w="1176" w:type="dxa"/>
            <w:shd w:val="pct5" w:color="auto" w:fill="auto"/>
          </w:tcPr>
          <w:p w:rsidR="005300AD" w:rsidRDefault="005300AD" w:rsidP="005300AD">
            <w:pPr>
              <w:autoSpaceDE w:val="0"/>
              <w:autoSpaceDN w:val="0"/>
              <w:adjustRightInd w:val="0"/>
              <w:ind w:left="-90"/>
              <w:rPr>
                <w:rFonts w:ascii="Times New Roman" w:hAnsi="Times New Roman" w:cs="Times New Roman"/>
                <w:sz w:val="24"/>
                <w:szCs w:val="24"/>
              </w:rPr>
            </w:pPr>
          </w:p>
        </w:tc>
        <w:tc>
          <w:tcPr>
            <w:tcW w:w="2066" w:type="dxa"/>
            <w:shd w:val="pct5" w:color="auto" w:fill="auto"/>
          </w:tcPr>
          <w:p w:rsidR="005300AD" w:rsidRDefault="005300AD" w:rsidP="005300AD">
            <w:pPr>
              <w:autoSpaceDE w:val="0"/>
              <w:autoSpaceDN w:val="0"/>
              <w:adjustRightInd w:val="0"/>
              <w:ind w:left="-90"/>
              <w:rPr>
                <w:rFonts w:ascii="Times New Roman" w:hAnsi="Times New Roman" w:cs="Times New Roman"/>
                <w:sz w:val="24"/>
                <w:szCs w:val="24"/>
              </w:rPr>
            </w:pPr>
          </w:p>
        </w:tc>
        <w:tc>
          <w:tcPr>
            <w:tcW w:w="1299" w:type="dxa"/>
            <w:shd w:val="pct5" w:color="auto" w:fill="auto"/>
          </w:tcPr>
          <w:p w:rsidR="005300AD" w:rsidRDefault="005300AD" w:rsidP="005300AD">
            <w:pPr>
              <w:autoSpaceDE w:val="0"/>
              <w:autoSpaceDN w:val="0"/>
              <w:adjustRightInd w:val="0"/>
              <w:ind w:left="-90"/>
              <w:rPr>
                <w:rFonts w:ascii="Times New Roman" w:hAnsi="Times New Roman" w:cs="Times New Roman"/>
                <w:sz w:val="24"/>
                <w:szCs w:val="24"/>
              </w:rPr>
            </w:pPr>
          </w:p>
        </w:tc>
        <w:tc>
          <w:tcPr>
            <w:tcW w:w="1838" w:type="dxa"/>
            <w:shd w:val="pct5" w:color="auto" w:fill="auto"/>
          </w:tcPr>
          <w:p w:rsidR="005300AD" w:rsidRDefault="005300AD" w:rsidP="005300AD">
            <w:pPr>
              <w:autoSpaceDE w:val="0"/>
              <w:autoSpaceDN w:val="0"/>
              <w:adjustRightInd w:val="0"/>
              <w:ind w:left="-90"/>
              <w:rPr>
                <w:rFonts w:ascii="Times New Roman" w:hAnsi="Times New Roman" w:cs="Times New Roman"/>
                <w:sz w:val="24"/>
                <w:szCs w:val="24"/>
              </w:rPr>
            </w:pPr>
          </w:p>
        </w:tc>
      </w:tr>
      <w:tr w:rsidR="005300AD" w:rsidTr="00B86967">
        <w:trPr>
          <w:trHeight w:val="292"/>
        </w:trPr>
        <w:tc>
          <w:tcPr>
            <w:tcW w:w="2189" w:type="dxa"/>
          </w:tcPr>
          <w:p w:rsidR="005300AD" w:rsidRDefault="005300AD" w:rsidP="005300AD">
            <w:pPr>
              <w:autoSpaceDE w:val="0"/>
              <w:autoSpaceDN w:val="0"/>
              <w:adjustRightInd w:val="0"/>
              <w:ind w:left="-90"/>
              <w:rPr>
                <w:rFonts w:ascii="Times New Roman" w:hAnsi="Times New Roman" w:cs="Times New Roman"/>
                <w:sz w:val="24"/>
                <w:szCs w:val="24"/>
              </w:rPr>
            </w:pPr>
            <w:r>
              <w:rPr>
                <w:rFonts w:ascii="Times New Roman" w:hAnsi="Times New Roman" w:cs="Times New Roman"/>
                <w:sz w:val="24"/>
                <w:szCs w:val="24"/>
              </w:rPr>
              <w:t>-1.00</w:t>
            </w:r>
          </w:p>
        </w:tc>
        <w:tc>
          <w:tcPr>
            <w:tcW w:w="1176" w:type="dxa"/>
            <w:shd w:val="pct5" w:color="auto" w:fill="auto"/>
          </w:tcPr>
          <w:p w:rsidR="005300AD" w:rsidRDefault="005300AD" w:rsidP="005300AD">
            <w:pPr>
              <w:autoSpaceDE w:val="0"/>
              <w:autoSpaceDN w:val="0"/>
              <w:adjustRightInd w:val="0"/>
              <w:ind w:left="-90"/>
              <w:rPr>
                <w:rFonts w:ascii="Times New Roman" w:hAnsi="Times New Roman" w:cs="Times New Roman"/>
                <w:sz w:val="24"/>
                <w:szCs w:val="24"/>
              </w:rPr>
            </w:pPr>
          </w:p>
        </w:tc>
        <w:tc>
          <w:tcPr>
            <w:tcW w:w="2066" w:type="dxa"/>
            <w:shd w:val="pct5" w:color="auto" w:fill="auto"/>
          </w:tcPr>
          <w:p w:rsidR="005300AD" w:rsidRDefault="005300AD" w:rsidP="005300AD">
            <w:pPr>
              <w:autoSpaceDE w:val="0"/>
              <w:autoSpaceDN w:val="0"/>
              <w:adjustRightInd w:val="0"/>
              <w:ind w:left="-90"/>
              <w:rPr>
                <w:rFonts w:ascii="Times New Roman" w:hAnsi="Times New Roman" w:cs="Times New Roman"/>
                <w:sz w:val="24"/>
                <w:szCs w:val="24"/>
              </w:rPr>
            </w:pPr>
          </w:p>
        </w:tc>
        <w:tc>
          <w:tcPr>
            <w:tcW w:w="1299" w:type="dxa"/>
            <w:shd w:val="pct5" w:color="auto" w:fill="auto"/>
          </w:tcPr>
          <w:p w:rsidR="005300AD" w:rsidRDefault="005300AD" w:rsidP="005300AD">
            <w:pPr>
              <w:autoSpaceDE w:val="0"/>
              <w:autoSpaceDN w:val="0"/>
              <w:adjustRightInd w:val="0"/>
              <w:ind w:left="-90"/>
              <w:rPr>
                <w:rFonts w:ascii="Times New Roman" w:hAnsi="Times New Roman" w:cs="Times New Roman"/>
                <w:sz w:val="24"/>
                <w:szCs w:val="24"/>
              </w:rPr>
            </w:pPr>
          </w:p>
        </w:tc>
        <w:tc>
          <w:tcPr>
            <w:tcW w:w="1838" w:type="dxa"/>
            <w:shd w:val="pct5" w:color="auto" w:fill="auto"/>
          </w:tcPr>
          <w:p w:rsidR="005300AD" w:rsidRDefault="005300AD" w:rsidP="005300AD">
            <w:pPr>
              <w:autoSpaceDE w:val="0"/>
              <w:autoSpaceDN w:val="0"/>
              <w:adjustRightInd w:val="0"/>
              <w:ind w:left="-90"/>
              <w:rPr>
                <w:rFonts w:ascii="Times New Roman" w:hAnsi="Times New Roman" w:cs="Times New Roman"/>
                <w:sz w:val="24"/>
                <w:szCs w:val="24"/>
              </w:rPr>
            </w:pPr>
          </w:p>
        </w:tc>
      </w:tr>
    </w:tbl>
    <w:p w:rsidR="005300AD" w:rsidRDefault="005300AD" w:rsidP="005300AD">
      <w:pPr>
        <w:autoSpaceDE w:val="0"/>
        <w:autoSpaceDN w:val="0"/>
        <w:adjustRightInd w:val="0"/>
        <w:spacing w:after="0" w:line="240" w:lineRule="auto"/>
        <w:ind w:left="-90"/>
        <w:rPr>
          <w:rFonts w:ascii="Times New Roman" w:hAnsi="Times New Roman" w:cs="Times New Roman"/>
          <w:sz w:val="24"/>
          <w:szCs w:val="24"/>
        </w:rPr>
      </w:pPr>
    </w:p>
    <w:p w:rsidR="005300AD" w:rsidRDefault="005300AD" w:rsidP="005300AD">
      <w:pPr>
        <w:autoSpaceDE w:val="0"/>
        <w:autoSpaceDN w:val="0"/>
        <w:adjustRightInd w:val="0"/>
        <w:spacing w:after="0" w:line="240" w:lineRule="auto"/>
        <w:ind w:left="-9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Pr="008E5BA4">
        <w:rPr>
          <w:rFonts w:ascii="Times New Roman" w:hAnsi="Times New Roman" w:cs="Times New Roman"/>
          <w:sz w:val="24"/>
          <w:szCs w:val="24"/>
        </w:rPr>
        <w:t>Abel, an astute investor, buys redeemable preference shares and bonds and always holds them to maturity. He claims that because he holds these bonds to maturity, there is no risk. Is he correct? Explain, citing the risks (if any) that he assumes</w:t>
      </w:r>
      <w:r>
        <w:rPr>
          <w:rFonts w:ascii="Times New Roman" w:hAnsi="Times New Roman" w:cs="Times New Roman"/>
          <w:sz w:val="24"/>
          <w:szCs w:val="24"/>
        </w:rPr>
        <w:t xml:space="preserve"> (7.5 mks)</w:t>
      </w:r>
    </w:p>
    <w:p w:rsidR="00314F9E" w:rsidRDefault="00314F9E" w:rsidP="00314F9E"/>
    <w:p w:rsidR="00314F9E" w:rsidRPr="00314F9E" w:rsidRDefault="00314F9E" w:rsidP="00314F9E">
      <w:pPr>
        <w:pStyle w:val="ListParagraph"/>
        <w:numPr>
          <w:ilvl w:val="0"/>
          <w:numId w:val="6"/>
        </w:numPr>
        <w:ind w:left="270"/>
        <w:rPr>
          <w:rFonts w:ascii="Times New Roman" w:hAnsi="Times New Roman" w:cs="Times New Roman"/>
          <w:sz w:val="24"/>
          <w:szCs w:val="24"/>
        </w:rPr>
      </w:pPr>
      <w:r w:rsidRPr="00314F9E">
        <w:rPr>
          <w:rFonts w:ascii="Times New Roman" w:hAnsi="Times New Roman" w:cs="Times New Roman"/>
          <w:sz w:val="24"/>
          <w:szCs w:val="24"/>
        </w:rPr>
        <w:t>Write short notes on the following bond terminology.</w:t>
      </w:r>
    </w:p>
    <w:p w:rsidR="00314F9E" w:rsidRPr="00314F9E" w:rsidRDefault="00314F9E" w:rsidP="00314F9E">
      <w:pPr>
        <w:pStyle w:val="ListParagraph"/>
        <w:numPr>
          <w:ilvl w:val="1"/>
          <w:numId w:val="5"/>
        </w:numPr>
        <w:rPr>
          <w:rFonts w:ascii="Times New Roman" w:hAnsi="Times New Roman" w:cs="Times New Roman"/>
          <w:sz w:val="24"/>
          <w:szCs w:val="24"/>
        </w:rPr>
      </w:pPr>
      <w:r w:rsidRPr="00314F9E">
        <w:rPr>
          <w:rFonts w:ascii="Times New Roman" w:hAnsi="Times New Roman" w:cs="Times New Roman"/>
          <w:sz w:val="24"/>
          <w:szCs w:val="24"/>
        </w:rPr>
        <w:t>Coupon rate (2 mks)</w:t>
      </w:r>
    </w:p>
    <w:p w:rsidR="00314F9E" w:rsidRPr="00314F9E" w:rsidRDefault="00314F9E" w:rsidP="00314F9E">
      <w:pPr>
        <w:pStyle w:val="ListParagraph"/>
        <w:numPr>
          <w:ilvl w:val="1"/>
          <w:numId w:val="5"/>
        </w:numPr>
        <w:rPr>
          <w:rFonts w:ascii="Times New Roman" w:hAnsi="Times New Roman" w:cs="Times New Roman"/>
          <w:sz w:val="24"/>
          <w:szCs w:val="24"/>
        </w:rPr>
      </w:pPr>
      <w:r w:rsidRPr="00314F9E">
        <w:rPr>
          <w:rFonts w:ascii="Times New Roman" w:hAnsi="Times New Roman" w:cs="Times New Roman"/>
          <w:sz w:val="24"/>
          <w:szCs w:val="24"/>
        </w:rPr>
        <w:t>Notes (2 mks)</w:t>
      </w:r>
    </w:p>
    <w:p w:rsidR="00314F9E" w:rsidRPr="00314F9E" w:rsidRDefault="00314F9E" w:rsidP="00314F9E">
      <w:pPr>
        <w:pStyle w:val="ListParagraph"/>
        <w:numPr>
          <w:ilvl w:val="1"/>
          <w:numId w:val="5"/>
        </w:numPr>
        <w:rPr>
          <w:rFonts w:ascii="Times New Roman" w:hAnsi="Times New Roman" w:cs="Times New Roman"/>
          <w:sz w:val="24"/>
          <w:szCs w:val="24"/>
        </w:rPr>
      </w:pPr>
      <w:r w:rsidRPr="00314F9E">
        <w:rPr>
          <w:rFonts w:ascii="Times New Roman" w:hAnsi="Times New Roman" w:cs="Times New Roman"/>
          <w:sz w:val="24"/>
          <w:szCs w:val="24"/>
        </w:rPr>
        <w:t>Par value (2 mks)</w:t>
      </w:r>
    </w:p>
    <w:p w:rsidR="00314F9E" w:rsidRPr="00314F9E" w:rsidRDefault="00314F9E" w:rsidP="00314F9E">
      <w:pPr>
        <w:pStyle w:val="ListParagraph"/>
        <w:numPr>
          <w:ilvl w:val="1"/>
          <w:numId w:val="5"/>
        </w:numPr>
        <w:rPr>
          <w:rFonts w:ascii="Times New Roman" w:hAnsi="Times New Roman" w:cs="Times New Roman"/>
          <w:sz w:val="24"/>
          <w:szCs w:val="24"/>
        </w:rPr>
      </w:pPr>
      <w:r w:rsidRPr="00314F9E">
        <w:rPr>
          <w:rFonts w:ascii="Times New Roman" w:hAnsi="Times New Roman" w:cs="Times New Roman"/>
          <w:sz w:val="24"/>
          <w:szCs w:val="24"/>
        </w:rPr>
        <w:t>Maturity (2 mks)</w:t>
      </w:r>
    </w:p>
    <w:p w:rsidR="00314F9E" w:rsidRPr="00314F9E" w:rsidRDefault="00314F9E" w:rsidP="00314F9E">
      <w:pPr>
        <w:pStyle w:val="ListParagraph"/>
        <w:numPr>
          <w:ilvl w:val="1"/>
          <w:numId w:val="5"/>
        </w:numPr>
        <w:rPr>
          <w:rFonts w:ascii="Times New Roman" w:hAnsi="Times New Roman" w:cs="Times New Roman"/>
          <w:sz w:val="24"/>
          <w:szCs w:val="24"/>
        </w:rPr>
      </w:pPr>
      <w:r w:rsidRPr="00314F9E">
        <w:rPr>
          <w:rFonts w:ascii="Times New Roman" w:hAnsi="Times New Roman" w:cs="Times New Roman"/>
          <w:sz w:val="24"/>
          <w:szCs w:val="24"/>
        </w:rPr>
        <w:t xml:space="preserve">Indenture </w:t>
      </w:r>
      <w:r w:rsidR="00111611">
        <w:rPr>
          <w:rFonts w:ascii="Times New Roman" w:hAnsi="Times New Roman" w:cs="Times New Roman"/>
          <w:sz w:val="24"/>
          <w:szCs w:val="24"/>
        </w:rPr>
        <w:t>(6</w:t>
      </w:r>
      <w:r w:rsidRPr="00314F9E">
        <w:rPr>
          <w:rFonts w:ascii="Times New Roman" w:hAnsi="Times New Roman" w:cs="Times New Roman"/>
          <w:sz w:val="24"/>
          <w:szCs w:val="24"/>
        </w:rPr>
        <w:t xml:space="preserve"> mks)</w:t>
      </w:r>
    </w:p>
    <w:p w:rsidR="00314F9E" w:rsidRPr="00314F9E" w:rsidRDefault="00111611" w:rsidP="00314F9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Debt ratings (6</w:t>
      </w:r>
      <w:r w:rsidR="00314F9E" w:rsidRPr="00314F9E">
        <w:rPr>
          <w:rFonts w:ascii="Times New Roman" w:hAnsi="Times New Roman" w:cs="Times New Roman"/>
          <w:sz w:val="24"/>
          <w:szCs w:val="24"/>
        </w:rPr>
        <w:t xml:space="preserve"> mks)</w:t>
      </w:r>
    </w:p>
    <w:p w:rsidR="00314F9E" w:rsidRDefault="00314F9E" w:rsidP="00314F9E">
      <w:pPr>
        <w:pStyle w:val="ListParagraph"/>
        <w:ind w:left="1440"/>
      </w:pPr>
    </w:p>
    <w:p w:rsidR="005300AD" w:rsidRPr="005300AD" w:rsidRDefault="005300AD" w:rsidP="00C76A20">
      <w:pPr>
        <w:pStyle w:val="ListParagraph"/>
        <w:ind w:left="360"/>
        <w:rPr>
          <w:rFonts w:ascii="Cambria Math" w:hAnsi="Cambria Math"/>
        </w:rPr>
      </w:pPr>
    </w:p>
    <w:sectPr w:rsidR="005300AD" w:rsidRPr="005300AD" w:rsidSect="00D573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Sabon-Roman">
    <w:panose1 w:val="00000000000000000000"/>
    <w:charset w:val="00"/>
    <w:family w:val="auto"/>
    <w:notTrueType/>
    <w:pitch w:val="default"/>
    <w:sig w:usb0="00000003" w:usb1="00000000" w:usb2="00000000" w:usb3="00000000" w:csb0="00000001" w:csb1="00000000"/>
  </w:font>
  <w:font w:name="Sabon-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292A"/>
    <w:multiLevelType w:val="hybridMultilevel"/>
    <w:tmpl w:val="F04C3EF0"/>
    <w:lvl w:ilvl="0" w:tplc="08090019">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1A4A2E"/>
    <w:multiLevelType w:val="hybridMultilevel"/>
    <w:tmpl w:val="BAC0EB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E2877"/>
    <w:multiLevelType w:val="hybridMultilevel"/>
    <w:tmpl w:val="284AE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567CA5"/>
    <w:multiLevelType w:val="hybridMultilevel"/>
    <w:tmpl w:val="37A4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3622C7"/>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992084"/>
    <w:multiLevelType w:val="hybridMultilevel"/>
    <w:tmpl w:val="96CED0F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427E4A28">
      <w:start w:val="3"/>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76A20"/>
    <w:rsid w:val="00111611"/>
    <w:rsid w:val="00314F9E"/>
    <w:rsid w:val="005300AD"/>
    <w:rsid w:val="00B86967"/>
    <w:rsid w:val="00C76A20"/>
    <w:rsid w:val="00D573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3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C76A20"/>
    <w:pPr>
      <w:spacing w:after="0" w:line="240" w:lineRule="auto"/>
      <w:ind w:left="1440"/>
    </w:pPr>
    <w:rPr>
      <w:rFonts w:ascii="Times New Roman" w:eastAsia="Times New Roman" w:hAnsi="Times New Roman" w:cs="Times New Roman"/>
      <w:b/>
      <w:bCs/>
      <w:sz w:val="24"/>
      <w:szCs w:val="24"/>
    </w:rPr>
  </w:style>
  <w:style w:type="character" w:customStyle="1" w:styleId="BodyTextIndentChar">
    <w:name w:val="Body Text Indent Char"/>
    <w:basedOn w:val="DefaultParagraphFont"/>
    <w:link w:val="BodyTextIndent"/>
    <w:semiHidden/>
    <w:rsid w:val="00C76A20"/>
    <w:rPr>
      <w:rFonts w:ascii="Times New Roman" w:eastAsia="Times New Roman" w:hAnsi="Times New Roman" w:cs="Times New Roman"/>
      <w:b/>
      <w:bCs/>
      <w:sz w:val="24"/>
      <w:szCs w:val="24"/>
    </w:rPr>
  </w:style>
  <w:style w:type="table" w:styleId="TableGrid">
    <w:name w:val="Table Grid"/>
    <w:basedOn w:val="TableNormal"/>
    <w:uiPriority w:val="59"/>
    <w:rsid w:val="00C76A20"/>
    <w:pPr>
      <w:spacing w:after="0" w:line="240" w:lineRule="auto"/>
    </w:pPr>
    <w:rPr>
      <w:lang w:val="en-GB"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76A2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Karuitha</dc:creator>
  <cp:keywords/>
  <dc:description/>
  <cp:lastModifiedBy>Karuitha</cp:lastModifiedBy>
  <cp:revision>5</cp:revision>
  <dcterms:created xsi:type="dcterms:W3CDTF">2011-06-23T10:52:00Z</dcterms:created>
  <dcterms:modified xsi:type="dcterms:W3CDTF">2011-06-23T18:30:00Z</dcterms:modified>
</cp:coreProperties>
</file>