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03" w:rsidRPr="00B811BC" w:rsidRDefault="00D015AB" w:rsidP="00B70D4A">
      <w:pPr>
        <w:spacing w:before="100" w:beforeAutospacing="1" w:after="0" w:line="240" w:lineRule="auto"/>
        <w:ind w:left="-540"/>
        <w:outlineLvl w:val="4"/>
        <w:rPr>
          <w:rFonts w:ascii="Times New Roman" w:eastAsia="Times New Roman" w:hAnsi="Times New Roman" w:cs="Times New Roman"/>
          <w:bCs/>
          <w:i/>
          <w:sz w:val="24"/>
          <w:szCs w:val="24"/>
        </w:rPr>
      </w:pPr>
      <w:r>
        <w:rPr>
          <w:rFonts w:ascii="Times New Roman" w:eastAsia="Times New Roman" w:hAnsi="Times New Roman" w:cs="Times New Roman"/>
          <w:b/>
          <w:bCs/>
          <w:sz w:val="20"/>
          <w:szCs w:val="20"/>
        </w:rPr>
        <w:t xml:space="preserve">BCOM 335: </w:t>
      </w:r>
      <w:r w:rsidR="00BB0803" w:rsidRPr="00390AFD">
        <w:rPr>
          <w:rFonts w:ascii="Times New Roman" w:eastAsia="Times New Roman" w:hAnsi="Times New Roman" w:cs="Times New Roman"/>
          <w:b/>
          <w:bCs/>
          <w:sz w:val="20"/>
          <w:szCs w:val="20"/>
        </w:rPr>
        <w:t>FINANCIAL MANAGEMENT</w:t>
      </w:r>
      <w:r w:rsidR="00B811BC">
        <w:rPr>
          <w:rFonts w:ascii="Times New Roman" w:eastAsia="Times New Roman" w:hAnsi="Times New Roman" w:cs="Times New Roman"/>
          <w:b/>
          <w:bCs/>
          <w:sz w:val="24"/>
          <w:szCs w:val="24"/>
        </w:rPr>
        <w:t xml:space="preserve"> </w:t>
      </w:r>
      <w:r w:rsidR="00390AFD">
        <w:rPr>
          <w:rFonts w:ascii="Times New Roman" w:eastAsia="Times New Roman" w:hAnsi="Times New Roman" w:cs="Times New Roman"/>
          <w:bCs/>
          <w:i/>
          <w:sz w:val="24"/>
          <w:szCs w:val="24"/>
        </w:rPr>
        <w:t>(F</w:t>
      </w:r>
      <w:r w:rsidR="00B811BC" w:rsidRPr="00B811BC">
        <w:rPr>
          <w:rFonts w:ascii="Times New Roman" w:eastAsia="Times New Roman" w:hAnsi="Times New Roman" w:cs="Times New Roman"/>
          <w:bCs/>
          <w:i/>
          <w:sz w:val="24"/>
          <w:szCs w:val="24"/>
        </w:rPr>
        <w:t>acilitator: John K. Karuitha</w:t>
      </w:r>
      <w:r w:rsidR="00661B47">
        <w:rPr>
          <w:rFonts w:ascii="Times New Roman" w:eastAsia="Times New Roman" w:hAnsi="Times New Roman" w:cs="Times New Roman"/>
          <w:bCs/>
          <w:i/>
          <w:sz w:val="24"/>
          <w:szCs w:val="24"/>
        </w:rPr>
        <w:t xml:space="preserve">, </w:t>
      </w:r>
      <w:r w:rsidR="003B77C2">
        <w:rPr>
          <w:rFonts w:ascii="Times New Roman" w:eastAsia="Times New Roman" w:hAnsi="Times New Roman" w:cs="Times New Roman"/>
          <w:bCs/>
          <w:i/>
          <w:sz w:val="24"/>
          <w:szCs w:val="24"/>
        </w:rPr>
        <w:t>Cell phone: 0724466061)</w:t>
      </w:r>
      <w:r w:rsidR="00B811BC" w:rsidRPr="00B811BC">
        <w:rPr>
          <w:rFonts w:ascii="Times New Roman" w:eastAsia="Times New Roman" w:hAnsi="Times New Roman" w:cs="Times New Roman"/>
          <w:bCs/>
          <w:i/>
          <w:sz w:val="24"/>
          <w:szCs w:val="24"/>
        </w:rPr>
        <w:t>.</w:t>
      </w:r>
    </w:p>
    <w:p w:rsidR="00BB0803" w:rsidRPr="00BB0803" w:rsidRDefault="00BB0803" w:rsidP="00B70D4A">
      <w:pPr>
        <w:spacing w:before="100" w:beforeAutospacing="1" w:after="0" w:line="240" w:lineRule="auto"/>
        <w:ind w:left="-540"/>
        <w:outlineLvl w:val="4"/>
        <w:rPr>
          <w:rFonts w:ascii="Times New Roman" w:eastAsia="Times New Roman" w:hAnsi="Times New Roman" w:cs="Times New Roman"/>
          <w:b/>
          <w:bCs/>
          <w:sz w:val="24"/>
          <w:szCs w:val="24"/>
        </w:rPr>
      </w:pPr>
      <w:r w:rsidRPr="00BB0803">
        <w:rPr>
          <w:rFonts w:ascii="Times New Roman" w:eastAsia="Times New Roman" w:hAnsi="Times New Roman" w:cs="Times New Roman"/>
          <w:b/>
          <w:bCs/>
          <w:sz w:val="24"/>
          <w:szCs w:val="24"/>
        </w:rPr>
        <w:t>Course Description</w:t>
      </w:r>
    </w:p>
    <w:p w:rsidR="009C1211" w:rsidRDefault="00BB0803" w:rsidP="009C1211">
      <w:pPr>
        <w:spacing w:before="165" w:after="0" w:line="240" w:lineRule="auto"/>
        <w:ind w:left="-540"/>
        <w:jc w:val="both"/>
        <w:rPr>
          <w:rFonts w:ascii="Verdana" w:eastAsia="Times New Roman" w:hAnsi="Verdana" w:cs="Times New Roman"/>
          <w:sz w:val="17"/>
          <w:szCs w:val="17"/>
        </w:rPr>
      </w:pPr>
      <w:r w:rsidRPr="00BB0803">
        <w:rPr>
          <w:rFonts w:ascii="Verdana" w:eastAsia="Times New Roman" w:hAnsi="Verdana" w:cs="Times New Roman"/>
          <w:sz w:val="17"/>
          <w:szCs w:val="17"/>
        </w:rPr>
        <w:t>Financial Management studies corporate finance and capital markets, emphasizing the financial aspects of managerial decisions. It touches on all areas of finance, including the valuation of real and financial assets, risk management and financial derivatives, the trade-off betwe</w:t>
      </w:r>
      <w:r w:rsidR="00901D69">
        <w:rPr>
          <w:rFonts w:ascii="Verdana" w:eastAsia="Times New Roman" w:hAnsi="Verdana" w:cs="Times New Roman"/>
          <w:sz w:val="17"/>
          <w:szCs w:val="17"/>
        </w:rPr>
        <w:t xml:space="preserve">en risk and expected return, </w:t>
      </w:r>
      <w:r w:rsidR="00901D69" w:rsidRPr="00BB0803">
        <w:rPr>
          <w:rFonts w:ascii="Verdana" w:eastAsia="Times New Roman" w:hAnsi="Verdana" w:cs="Times New Roman"/>
          <w:sz w:val="17"/>
          <w:szCs w:val="17"/>
        </w:rPr>
        <w:t>corporate</w:t>
      </w:r>
      <w:r w:rsidRPr="00BB0803">
        <w:rPr>
          <w:rFonts w:ascii="Verdana" w:eastAsia="Times New Roman" w:hAnsi="Verdana" w:cs="Times New Roman"/>
          <w:sz w:val="17"/>
          <w:szCs w:val="17"/>
        </w:rPr>
        <w:t xml:space="preserve"> financing and dividend policy. The course draws heavily on empirical research to help guide managerial decisions.</w:t>
      </w:r>
    </w:p>
    <w:p w:rsidR="009C1211" w:rsidRDefault="009C1211" w:rsidP="009C1211">
      <w:pPr>
        <w:spacing w:before="165" w:after="0" w:line="240" w:lineRule="auto"/>
        <w:ind w:left="-540"/>
        <w:jc w:val="both"/>
        <w:rPr>
          <w:rFonts w:ascii="Verdana" w:eastAsia="Times New Roman" w:hAnsi="Verdana" w:cs="Times New Roman"/>
          <w:b/>
          <w:sz w:val="17"/>
          <w:szCs w:val="17"/>
        </w:rPr>
      </w:pPr>
      <w:r w:rsidRPr="009C1211">
        <w:rPr>
          <w:rFonts w:ascii="Verdana" w:eastAsia="Times New Roman" w:hAnsi="Verdana" w:cs="Times New Roman"/>
          <w:b/>
          <w:sz w:val="17"/>
          <w:szCs w:val="17"/>
        </w:rPr>
        <w:t>Objective</w:t>
      </w:r>
      <w:r>
        <w:rPr>
          <w:rFonts w:ascii="Verdana" w:eastAsia="Times New Roman" w:hAnsi="Verdana" w:cs="Times New Roman"/>
          <w:b/>
          <w:sz w:val="17"/>
          <w:szCs w:val="17"/>
        </w:rPr>
        <w:t>s:</w:t>
      </w:r>
    </w:p>
    <w:p w:rsidR="009C1211" w:rsidRDefault="009C1211" w:rsidP="009C1211">
      <w:pPr>
        <w:spacing w:before="165" w:after="0" w:line="240" w:lineRule="auto"/>
        <w:ind w:left="-540"/>
        <w:jc w:val="both"/>
        <w:rPr>
          <w:rFonts w:ascii="Verdana" w:eastAsia="Times New Roman" w:hAnsi="Verdana" w:cs="Times New Roman"/>
          <w:sz w:val="17"/>
          <w:szCs w:val="17"/>
        </w:rPr>
      </w:pPr>
      <w:r>
        <w:rPr>
          <w:rFonts w:ascii="Verdana" w:eastAsia="Times New Roman" w:hAnsi="Verdana" w:cs="Times New Roman"/>
          <w:sz w:val="17"/>
          <w:szCs w:val="17"/>
        </w:rPr>
        <w:t>By the end of the course the students should be able to:</w:t>
      </w:r>
    </w:p>
    <w:p w:rsidR="009C1211" w:rsidRDefault="009C1211" w:rsidP="009C1211">
      <w:pPr>
        <w:pStyle w:val="ListParagraph"/>
        <w:numPr>
          <w:ilvl w:val="0"/>
          <w:numId w:val="5"/>
        </w:numPr>
        <w:spacing w:before="165" w:after="0" w:line="240" w:lineRule="auto"/>
        <w:jc w:val="both"/>
        <w:rPr>
          <w:rFonts w:ascii="Verdana" w:eastAsia="Times New Roman" w:hAnsi="Verdana" w:cs="Times New Roman"/>
          <w:sz w:val="17"/>
          <w:szCs w:val="17"/>
        </w:rPr>
      </w:pPr>
      <w:r>
        <w:rPr>
          <w:rFonts w:ascii="Verdana" w:eastAsia="Times New Roman" w:hAnsi="Verdana" w:cs="Times New Roman"/>
          <w:sz w:val="17"/>
          <w:szCs w:val="17"/>
        </w:rPr>
        <w:t>Value primitive (ordinary and preference shares), and derivative securities.</w:t>
      </w:r>
    </w:p>
    <w:p w:rsidR="009C1211" w:rsidRDefault="009C1211" w:rsidP="009C1211">
      <w:pPr>
        <w:pStyle w:val="ListParagraph"/>
        <w:numPr>
          <w:ilvl w:val="0"/>
          <w:numId w:val="5"/>
        </w:numPr>
        <w:spacing w:before="165" w:after="0" w:line="240" w:lineRule="auto"/>
        <w:jc w:val="both"/>
        <w:rPr>
          <w:rFonts w:ascii="Verdana" w:eastAsia="Times New Roman" w:hAnsi="Verdana" w:cs="Times New Roman"/>
          <w:sz w:val="17"/>
          <w:szCs w:val="17"/>
        </w:rPr>
      </w:pPr>
      <w:r>
        <w:rPr>
          <w:rFonts w:ascii="Verdana" w:eastAsia="Times New Roman" w:hAnsi="Verdana" w:cs="Times New Roman"/>
          <w:sz w:val="17"/>
          <w:szCs w:val="17"/>
        </w:rPr>
        <w:t>Apply the risk-return concepts to capital markets.</w:t>
      </w:r>
    </w:p>
    <w:p w:rsidR="009C1211" w:rsidRDefault="009C1211" w:rsidP="009C1211">
      <w:pPr>
        <w:pStyle w:val="ListParagraph"/>
        <w:numPr>
          <w:ilvl w:val="0"/>
          <w:numId w:val="5"/>
        </w:numPr>
        <w:spacing w:before="165" w:after="0" w:line="240" w:lineRule="auto"/>
        <w:jc w:val="both"/>
        <w:rPr>
          <w:rFonts w:ascii="Verdana" w:eastAsia="Times New Roman" w:hAnsi="Verdana" w:cs="Times New Roman"/>
          <w:sz w:val="17"/>
          <w:szCs w:val="17"/>
        </w:rPr>
      </w:pPr>
      <w:r>
        <w:rPr>
          <w:rFonts w:ascii="Verdana" w:eastAsia="Times New Roman" w:hAnsi="Verdana" w:cs="Times New Roman"/>
          <w:sz w:val="17"/>
          <w:szCs w:val="17"/>
        </w:rPr>
        <w:t>Determine the cost of capital of a firm (MCC/WACC), and identify factors that affect cost of capital.</w:t>
      </w:r>
    </w:p>
    <w:p w:rsidR="009C1211" w:rsidRPr="009C1211" w:rsidRDefault="009C1211" w:rsidP="009C1211">
      <w:pPr>
        <w:pStyle w:val="ListParagraph"/>
        <w:numPr>
          <w:ilvl w:val="0"/>
          <w:numId w:val="5"/>
        </w:numPr>
        <w:spacing w:before="165" w:after="0" w:line="240" w:lineRule="auto"/>
        <w:jc w:val="both"/>
        <w:rPr>
          <w:rFonts w:ascii="Verdana" w:eastAsia="Times New Roman" w:hAnsi="Verdana" w:cs="Times New Roman"/>
          <w:sz w:val="17"/>
          <w:szCs w:val="17"/>
        </w:rPr>
      </w:pPr>
      <w:r>
        <w:rPr>
          <w:rFonts w:ascii="Verdana" w:eastAsia="Times New Roman" w:hAnsi="Verdana" w:cs="Times New Roman"/>
          <w:sz w:val="17"/>
          <w:szCs w:val="17"/>
        </w:rPr>
        <w:t>Apply financial planning tools in a corporate setting.</w:t>
      </w:r>
    </w:p>
    <w:p w:rsidR="009C1211" w:rsidRPr="009C1211" w:rsidRDefault="009C1211" w:rsidP="009C1211">
      <w:pPr>
        <w:spacing w:before="165" w:after="0" w:line="240" w:lineRule="auto"/>
        <w:ind w:left="-540"/>
        <w:jc w:val="both"/>
        <w:rPr>
          <w:rFonts w:ascii="Verdana" w:eastAsia="Times New Roman" w:hAnsi="Verdana" w:cs="Times New Roman"/>
          <w:sz w:val="17"/>
          <w:szCs w:val="17"/>
        </w:rPr>
      </w:pPr>
    </w:p>
    <w:tbl>
      <w:tblPr>
        <w:tblW w:w="5285"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57"/>
        <w:gridCol w:w="469"/>
        <w:gridCol w:w="9280"/>
        <w:gridCol w:w="41"/>
      </w:tblGrid>
      <w:tr w:rsidR="00BB0803" w:rsidRPr="00BB0803"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1 - Introduction</w:t>
            </w:r>
          </w:p>
        </w:tc>
      </w:tr>
      <w:tr w:rsidR="00BB0803"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w:t>
            </w:r>
            <w:r w:rsidR="00413378">
              <w:rPr>
                <w:rFonts w:ascii="Verdana" w:eastAsia="Times New Roman" w:hAnsi="Verdana" w:cs="Times New Roman"/>
                <w:sz w:val="17"/>
                <w:szCs w:val="17"/>
              </w:rPr>
              <w:t xml:space="preserve"> to Financial management</w:t>
            </w:r>
            <w:r w:rsidR="00BB026B">
              <w:rPr>
                <w:rFonts w:ascii="Verdana" w:eastAsia="Times New Roman" w:hAnsi="Verdana" w:cs="Times New Roman"/>
                <w:sz w:val="17"/>
                <w:szCs w:val="17"/>
              </w:rPr>
              <w:t xml:space="preserve"> (Definition, scope, agency conflict and its solutions)</w:t>
            </w:r>
          </w:p>
        </w:tc>
        <w:tc>
          <w:tcPr>
            <w:tcW w:w="20"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2</w:t>
            </w:r>
          </w:p>
        </w:tc>
        <w:tc>
          <w:tcPr>
            <w:tcW w:w="4572"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8D15F9">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Principles of Valuation</w:t>
            </w:r>
            <w:r w:rsidR="00413378">
              <w:rPr>
                <w:rFonts w:ascii="Verdana" w:eastAsia="Times New Roman" w:hAnsi="Verdana" w:cs="Times New Roman"/>
                <w:sz w:val="17"/>
                <w:szCs w:val="17"/>
              </w:rPr>
              <w:t>: Time value of money</w:t>
            </w:r>
            <w:r w:rsidR="008D15F9">
              <w:rPr>
                <w:rFonts w:ascii="Verdana" w:eastAsia="Times New Roman" w:hAnsi="Verdana" w:cs="Times New Roman"/>
                <w:sz w:val="17"/>
                <w:szCs w:val="17"/>
              </w:rPr>
              <w:t xml:space="preserve"> (Discounting/ Compounding)</w:t>
            </w:r>
            <w:r w:rsidR="00413378">
              <w:rPr>
                <w:rFonts w:ascii="Verdana" w:eastAsia="Times New Roman" w:hAnsi="Verdana" w:cs="Times New Roman"/>
                <w:sz w:val="17"/>
                <w:szCs w:val="17"/>
              </w:rPr>
              <w:t>, annuities and perpetuities.</w:t>
            </w:r>
          </w:p>
        </w:tc>
        <w:tc>
          <w:tcPr>
            <w:tcW w:w="20"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 xml:space="preserve">Part 2 </w:t>
            </w:r>
            <w:r w:rsidR="00413378">
              <w:rPr>
                <w:rFonts w:ascii="Verdana" w:eastAsia="Times New Roman" w:hAnsi="Verdana" w:cs="Times New Roman"/>
                <w:b/>
                <w:bCs/>
                <w:sz w:val="17"/>
              </w:rPr>
              <w:t>–</w:t>
            </w:r>
            <w:r w:rsidRPr="00BB0803">
              <w:rPr>
                <w:rFonts w:ascii="Verdana" w:eastAsia="Times New Roman" w:hAnsi="Verdana" w:cs="Times New Roman"/>
                <w:b/>
                <w:bCs/>
                <w:sz w:val="17"/>
              </w:rPr>
              <w:t xml:space="preserve"> </w:t>
            </w:r>
            <w:r w:rsidR="00413378">
              <w:rPr>
                <w:rFonts w:ascii="Verdana" w:eastAsia="Times New Roman" w:hAnsi="Verdana" w:cs="Times New Roman"/>
                <w:b/>
                <w:bCs/>
                <w:sz w:val="17"/>
              </w:rPr>
              <w:t>Valuation of Assets and Investments</w:t>
            </w:r>
          </w:p>
        </w:tc>
      </w:tr>
      <w:tr w:rsidR="00BB0803"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2</w:t>
            </w: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3</w:t>
            </w:r>
          </w:p>
        </w:tc>
        <w:tc>
          <w:tcPr>
            <w:tcW w:w="4572"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8D15F9"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 xml:space="preserve">Concept of Value, </w:t>
            </w:r>
            <w:r w:rsidR="00413378">
              <w:rPr>
                <w:rFonts w:ascii="Verdana" w:eastAsia="Times New Roman" w:hAnsi="Verdana" w:cs="Times New Roman"/>
                <w:sz w:val="17"/>
                <w:szCs w:val="17"/>
              </w:rPr>
              <w:t>Valuation of ordinary and preference shares, and bonds</w:t>
            </w:r>
            <w:r>
              <w:rPr>
                <w:rFonts w:ascii="Verdana" w:eastAsia="Times New Roman" w:hAnsi="Verdana" w:cs="Times New Roman"/>
                <w:sz w:val="17"/>
                <w:szCs w:val="17"/>
              </w:rPr>
              <w:t>.</w:t>
            </w:r>
          </w:p>
        </w:tc>
        <w:tc>
          <w:tcPr>
            <w:tcW w:w="20"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365ABC">
              <w:rPr>
                <w:rFonts w:ascii="Verdana" w:eastAsia="Times New Roman" w:hAnsi="Verdana" w:cs="Times New Roman"/>
                <w:sz w:val="17"/>
                <w:szCs w:val="17"/>
              </w:rPr>
              <w:t>4</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Firm Valuation</w:t>
            </w:r>
            <w:r w:rsidR="008D15F9">
              <w:rPr>
                <w:rFonts w:ascii="Verdana" w:eastAsia="Times New Roman" w:hAnsi="Verdana" w:cs="Times New Roman"/>
                <w:sz w:val="17"/>
                <w:szCs w:val="17"/>
              </w:rPr>
              <w:t>.</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70D4A" w:rsidRDefault="00365ABC" w:rsidP="00B70D4A">
            <w:pPr>
              <w:pStyle w:val="ListParagraph"/>
              <w:numPr>
                <w:ilvl w:val="0"/>
                <w:numId w:val="2"/>
              </w:numPr>
              <w:ind w:left="-450" w:firstLine="0"/>
              <w:rPr>
                <w:rFonts w:ascii="Arial" w:hAnsi="Arial" w:cs="Arial"/>
                <w:color w:val="333333"/>
                <w:sz w:val="18"/>
                <w:szCs w:val="18"/>
              </w:rPr>
            </w:pPr>
            <w:r w:rsidRPr="00BB0803">
              <w:rPr>
                <w:rFonts w:ascii="Verdana" w:eastAsia="Times New Roman" w:hAnsi="Verdana" w:cs="Times New Roman"/>
                <w:b/>
                <w:bCs/>
                <w:sz w:val="17"/>
              </w:rPr>
              <w:t xml:space="preserve">Part 3 - </w:t>
            </w:r>
            <w:r w:rsidR="00B70D4A" w:rsidRPr="00725752">
              <w:rPr>
                <w:rFonts w:ascii="Verdana" w:eastAsia="Times New Roman" w:hAnsi="Verdana" w:cs="Times New Roman"/>
                <w:b/>
                <w:bCs/>
                <w:sz w:val="17"/>
              </w:rPr>
              <w:t>Applications of risk and return concepts in capital assets.</w:t>
            </w:r>
            <w:r w:rsidR="00B70D4A" w:rsidRPr="0025215B">
              <w:rPr>
                <w:rFonts w:ascii="Arial" w:hAnsi="Arial" w:cs="Arial"/>
                <w:color w:val="333333"/>
                <w:sz w:val="18"/>
                <w:szCs w:val="18"/>
              </w:rPr>
              <w:t xml:space="preserve"> </w:t>
            </w: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5</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 to Risk and Return</w:t>
            </w:r>
            <w:r w:rsidR="008D15F9">
              <w:rPr>
                <w:rFonts w:ascii="Verdana" w:eastAsia="Times New Roman" w:hAnsi="Verdana" w:cs="Times New Roman"/>
                <w:sz w:val="17"/>
                <w:szCs w:val="17"/>
              </w:rPr>
              <w:t>.</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725752"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Pr="00BB0803" w:rsidRDefault="00725752"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Default="00725752"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6</w:t>
            </w:r>
          </w:p>
        </w:tc>
        <w:tc>
          <w:tcPr>
            <w:tcW w:w="4572"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Pr="00BB0803" w:rsidRDefault="00725752"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CAPM</w:t>
            </w:r>
            <w:r>
              <w:rPr>
                <w:rFonts w:ascii="Verdana" w:eastAsia="Times New Roman" w:hAnsi="Verdana" w:cs="Times New Roman"/>
                <w:sz w:val="17"/>
                <w:szCs w:val="17"/>
              </w:rPr>
              <w:t xml:space="preserve"> and The arbitrage pricing model</w:t>
            </w:r>
            <w:r w:rsidR="008D15F9">
              <w:rPr>
                <w:rFonts w:ascii="Verdana" w:eastAsia="Times New Roman" w:hAnsi="Verdana" w:cs="Times New Roman"/>
                <w:sz w:val="17"/>
                <w:szCs w:val="17"/>
              </w:rPr>
              <w:t>.</w:t>
            </w:r>
          </w:p>
        </w:tc>
        <w:tc>
          <w:tcPr>
            <w:tcW w:w="20" w:type="pct"/>
            <w:vAlign w:val="center"/>
            <w:hideMark/>
          </w:tcPr>
          <w:p w:rsidR="00725752" w:rsidRPr="00BB0803" w:rsidRDefault="00725752" w:rsidP="00BB0803">
            <w:pPr>
              <w:spacing w:after="0" w:line="240" w:lineRule="auto"/>
              <w:rPr>
                <w:rFonts w:ascii="Times New Roman" w:eastAsia="Times New Roman" w:hAnsi="Times New Roman" w:cs="Times New Roman"/>
                <w:sz w:val="20"/>
                <w:szCs w:val="20"/>
              </w:rPr>
            </w:pPr>
          </w:p>
        </w:tc>
      </w:tr>
      <w:tr w:rsidR="00365ABC" w:rsidRPr="00BB0803" w:rsidTr="009D3BE9">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4 - Financing Policy</w:t>
            </w: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4</w:t>
            </w: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BB0803" w:rsidRDefault="00725752"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7</w:t>
            </w:r>
          </w:p>
        </w:tc>
        <w:tc>
          <w:tcPr>
            <w:tcW w:w="4572"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BB0803" w:rsidRDefault="00026781"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C</w:t>
            </w:r>
            <w:r w:rsidR="00365ABC">
              <w:rPr>
                <w:rFonts w:ascii="Verdana" w:eastAsia="Times New Roman" w:hAnsi="Verdana" w:cs="Times New Roman"/>
                <w:sz w:val="17"/>
                <w:szCs w:val="17"/>
              </w:rPr>
              <w:t>apital</w:t>
            </w:r>
            <w:r w:rsidR="00BC1F8C">
              <w:rPr>
                <w:rFonts w:ascii="Verdana" w:eastAsia="Times New Roman" w:hAnsi="Verdana" w:cs="Times New Roman"/>
                <w:sz w:val="17"/>
                <w:szCs w:val="17"/>
              </w:rPr>
              <w:t xml:space="preserve"> Budgeting: WACC/ MCC Calculation</w:t>
            </w:r>
            <w:r>
              <w:rPr>
                <w:rFonts w:ascii="Verdana" w:eastAsia="Times New Roman" w:hAnsi="Verdana" w:cs="Times New Roman"/>
                <w:sz w:val="17"/>
                <w:szCs w:val="17"/>
              </w:rPr>
              <w:t>, capital budgeting under conditions of risk</w:t>
            </w:r>
            <w:r w:rsidR="008B770A">
              <w:rPr>
                <w:rFonts w:ascii="Verdana" w:eastAsia="Times New Roman" w:hAnsi="Verdana" w:cs="Times New Roman"/>
                <w:sz w:val="17"/>
                <w:szCs w:val="17"/>
              </w:rPr>
              <w:t>, inflation</w:t>
            </w:r>
            <w:r>
              <w:rPr>
                <w:rFonts w:ascii="Verdana" w:eastAsia="Times New Roman" w:hAnsi="Verdana" w:cs="Times New Roman"/>
                <w:sz w:val="17"/>
                <w:szCs w:val="17"/>
              </w:rPr>
              <w:t>.</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725752"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8</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026781"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Cost of Capital: Breaks in the MCC curve.</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9D3BE9" w:rsidRPr="00BB0803" w:rsidTr="009D3BE9">
        <w:trPr>
          <w:trHeight w:val="432"/>
        </w:trPr>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9D3BE9" w:rsidRPr="00BB0803" w:rsidRDefault="009D3BE9"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9D3BE9" w:rsidRDefault="009D3BE9" w:rsidP="009D3BE9">
            <w:pPr>
              <w:spacing w:before="165" w:after="0" w:line="240" w:lineRule="auto"/>
              <w:jc w:val="center"/>
              <w:rPr>
                <w:rFonts w:ascii="Verdana" w:eastAsia="Times New Roman" w:hAnsi="Verdana" w:cs="Times New Roman"/>
                <w:sz w:val="17"/>
                <w:szCs w:val="17"/>
              </w:rPr>
            </w:pPr>
            <w:r>
              <w:rPr>
                <w:rFonts w:ascii="Verdana" w:eastAsia="Times New Roman" w:hAnsi="Verdana" w:cs="Times New Roman"/>
                <w:sz w:val="17"/>
                <w:szCs w:val="17"/>
              </w:rPr>
              <w:t>9</w:t>
            </w:r>
          </w:p>
        </w:tc>
        <w:tc>
          <w:tcPr>
            <w:tcW w:w="4572"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9D3BE9" w:rsidRPr="009D3BE9" w:rsidRDefault="009D3BE9" w:rsidP="009D3BE9">
            <w:pPr>
              <w:pStyle w:val="ListParagraph"/>
              <w:numPr>
                <w:ilvl w:val="0"/>
                <w:numId w:val="2"/>
              </w:numPr>
              <w:ind w:left="-450" w:firstLine="0"/>
              <w:rPr>
                <w:rFonts w:ascii="Verdana" w:eastAsia="Times New Roman" w:hAnsi="Verdana" w:cs="Times New Roman"/>
                <w:sz w:val="17"/>
                <w:szCs w:val="17"/>
              </w:rPr>
            </w:pPr>
            <w:r w:rsidRPr="009D3BE9">
              <w:rPr>
                <w:rFonts w:ascii="Verdana" w:eastAsia="Times New Roman" w:hAnsi="Verdana" w:cs="Times New Roman"/>
                <w:sz w:val="17"/>
                <w:szCs w:val="17"/>
              </w:rPr>
              <w:t xml:space="preserve">Financial and operating leverage. </w:t>
            </w:r>
          </w:p>
        </w:tc>
        <w:tc>
          <w:tcPr>
            <w:tcW w:w="20" w:type="pct"/>
            <w:vAlign w:val="center"/>
            <w:hideMark/>
          </w:tcPr>
          <w:p w:rsidR="009D3BE9" w:rsidRPr="00BB0803" w:rsidRDefault="009D3BE9" w:rsidP="00BB0803">
            <w:pPr>
              <w:spacing w:after="0" w:line="240" w:lineRule="auto"/>
              <w:rPr>
                <w:rFonts w:ascii="Times New Roman" w:eastAsia="Times New Roman" w:hAnsi="Times New Roman" w:cs="Times New Roman"/>
                <w:sz w:val="20"/>
                <w:szCs w:val="20"/>
              </w:rPr>
            </w:pPr>
          </w:p>
        </w:tc>
      </w:tr>
      <w:tr w:rsidR="009D3BE9" w:rsidRPr="00BB0803" w:rsidTr="00390E2B">
        <w:trPr>
          <w:trHeight w:val="468"/>
        </w:trPr>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9D3BE9" w:rsidRPr="00BB0803" w:rsidRDefault="009D3BE9"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9D3BE9" w:rsidRDefault="009D3BE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10</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9D3BE9" w:rsidRPr="009D3BE9" w:rsidRDefault="005230D8" w:rsidP="009D3BE9">
            <w:pPr>
              <w:pStyle w:val="ListParagraph"/>
              <w:numPr>
                <w:ilvl w:val="0"/>
                <w:numId w:val="2"/>
              </w:numPr>
              <w:ind w:left="-450" w:firstLine="0"/>
              <w:rPr>
                <w:rFonts w:ascii="Arial" w:hAnsi="Arial" w:cs="Arial"/>
                <w:color w:val="333333"/>
                <w:sz w:val="18"/>
                <w:szCs w:val="18"/>
              </w:rPr>
            </w:pPr>
            <w:r>
              <w:rPr>
                <w:rFonts w:ascii="Verdana" w:eastAsia="Times New Roman" w:hAnsi="Verdana" w:cs="Times New Roman"/>
                <w:sz w:val="17"/>
                <w:szCs w:val="17"/>
              </w:rPr>
              <w:t xml:space="preserve">Strategy, </w:t>
            </w:r>
            <w:r w:rsidR="009D3BE9" w:rsidRPr="00FF5744">
              <w:rPr>
                <w:rFonts w:ascii="Verdana" w:eastAsia="Times New Roman" w:hAnsi="Verdana" w:cs="Times New Roman"/>
                <w:sz w:val="17"/>
                <w:szCs w:val="17"/>
              </w:rPr>
              <w:t>Financial planning and control.</w:t>
            </w:r>
            <w:r w:rsidR="009D3BE9" w:rsidRPr="0025215B">
              <w:rPr>
                <w:rFonts w:ascii="Arial" w:hAnsi="Arial" w:cs="Arial"/>
                <w:color w:val="333333"/>
                <w:sz w:val="18"/>
                <w:szCs w:val="18"/>
              </w:rPr>
              <w:t xml:space="preserve"> </w:t>
            </w:r>
          </w:p>
        </w:tc>
        <w:tc>
          <w:tcPr>
            <w:tcW w:w="20" w:type="pct"/>
            <w:vAlign w:val="center"/>
            <w:hideMark/>
          </w:tcPr>
          <w:p w:rsidR="009D3BE9" w:rsidRPr="00BB0803" w:rsidRDefault="009D3BE9" w:rsidP="00BB0803">
            <w:pPr>
              <w:spacing w:after="0" w:line="240" w:lineRule="auto"/>
              <w:rPr>
                <w:rFonts w:ascii="Times New Roman" w:eastAsia="Times New Roman" w:hAnsi="Times New Roman" w:cs="Times New Roman"/>
                <w:sz w:val="20"/>
                <w:szCs w:val="20"/>
              </w:rPr>
            </w:pPr>
          </w:p>
        </w:tc>
      </w:tr>
      <w:tr w:rsidR="00B70D4A" w:rsidRPr="00BB0803" w:rsidTr="00B70D4A">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70D4A" w:rsidRDefault="00B70D4A"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b/>
                <w:bCs/>
                <w:sz w:val="17"/>
              </w:rPr>
              <w:t xml:space="preserve">Part 5- </w:t>
            </w:r>
            <w:r w:rsidRPr="00B70D4A">
              <w:rPr>
                <w:rFonts w:ascii="Verdana" w:eastAsia="Times New Roman" w:hAnsi="Verdana" w:cs="Times New Roman"/>
                <w:b/>
                <w:bCs/>
                <w:sz w:val="17"/>
              </w:rPr>
              <w:t>Derivative securities</w:t>
            </w:r>
          </w:p>
        </w:tc>
        <w:tc>
          <w:tcPr>
            <w:tcW w:w="20" w:type="pct"/>
            <w:vAlign w:val="center"/>
            <w:hideMark/>
          </w:tcPr>
          <w:p w:rsidR="00B70D4A" w:rsidRPr="00BB0803" w:rsidRDefault="00B70D4A" w:rsidP="00BB0803">
            <w:pPr>
              <w:spacing w:after="0" w:line="240" w:lineRule="auto"/>
              <w:rPr>
                <w:rFonts w:ascii="Times New Roman" w:eastAsia="Times New Roman" w:hAnsi="Times New Roman" w:cs="Times New Roman"/>
                <w:sz w:val="20"/>
                <w:szCs w:val="20"/>
              </w:rPr>
            </w:pP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725752" w:rsidP="00901D69">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9</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B70D4A" w:rsidP="00AC6AF5">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Derivative securities: Derivatives, Option pricing models.</w:t>
            </w:r>
          </w:p>
        </w:tc>
        <w:tc>
          <w:tcPr>
            <w:tcW w:w="20" w:type="pct"/>
            <w:tcBorders>
              <w:bottom w:val="single" w:sz="6" w:space="0" w:color="999999"/>
            </w:tcBorders>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bl>
    <w:p w:rsidR="00467881" w:rsidRDefault="00467881">
      <w:pPr>
        <w:rPr>
          <w:u w:val="single"/>
        </w:rPr>
      </w:pPr>
    </w:p>
    <w:p w:rsidR="008F690E" w:rsidRPr="008F690E" w:rsidRDefault="008F690E">
      <w:pPr>
        <w:rPr>
          <w:b/>
          <w:u w:val="single"/>
        </w:rPr>
      </w:pPr>
      <w:r w:rsidRPr="008F690E">
        <w:rPr>
          <w:b/>
          <w:u w:val="single"/>
        </w:rPr>
        <w:lastRenderedPageBreak/>
        <w:t>References</w:t>
      </w:r>
    </w:p>
    <w:p w:rsidR="008F690E" w:rsidRPr="008F690E" w:rsidRDefault="008F690E" w:rsidP="008F690E">
      <w:pPr>
        <w:pStyle w:val="ListParagraph"/>
        <w:numPr>
          <w:ilvl w:val="0"/>
          <w:numId w:val="3"/>
        </w:numPr>
        <w:spacing w:line="240" w:lineRule="auto"/>
        <w:rPr>
          <w:rFonts w:ascii="Verdana" w:eastAsia="Times New Roman" w:hAnsi="Verdana" w:cs="Times New Roman"/>
          <w:sz w:val="17"/>
          <w:szCs w:val="17"/>
        </w:rPr>
      </w:pPr>
      <w:r w:rsidRPr="008F690E">
        <w:rPr>
          <w:rFonts w:ascii="Verdana" w:eastAsia="Times New Roman" w:hAnsi="Verdana" w:cs="Times New Roman"/>
          <w:sz w:val="17"/>
          <w:szCs w:val="17"/>
        </w:rPr>
        <w:t xml:space="preserve">Reilly - Brown, </w:t>
      </w:r>
      <w:r w:rsidRPr="008808E6">
        <w:rPr>
          <w:rFonts w:ascii="Verdana" w:eastAsia="Times New Roman" w:hAnsi="Verdana" w:cs="Times New Roman"/>
          <w:i/>
          <w:sz w:val="17"/>
          <w:szCs w:val="17"/>
        </w:rPr>
        <w:t>Investment Analysis and Portfolio Management, 7th edition</w:t>
      </w:r>
      <w:r w:rsidRPr="008F690E">
        <w:rPr>
          <w:rFonts w:ascii="Verdana" w:eastAsia="Times New Roman" w:hAnsi="Verdana" w:cs="Times New Roman"/>
          <w:sz w:val="17"/>
          <w:szCs w:val="17"/>
        </w:rPr>
        <w:t>, Addison Wesley, 2000.</w:t>
      </w:r>
    </w:p>
    <w:p w:rsidR="008F690E" w:rsidRPr="008F690E" w:rsidRDefault="008F690E" w:rsidP="008F690E">
      <w:pPr>
        <w:pStyle w:val="ListParagraph"/>
        <w:spacing w:line="240" w:lineRule="auto"/>
        <w:rPr>
          <w:rFonts w:ascii="Verdana" w:eastAsia="Times New Roman" w:hAnsi="Verdana" w:cs="Times New Roman"/>
          <w:sz w:val="17"/>
          <w:szCs w:val="17"/>
        </w:rPr>
      </w:pPr>
    </w:p>
    <w:p w:rsidR="008F690E" w:rsidRPr="008F690E" w:rsidRDefault="008F690E" w:rsidP="008F690E">
      <w:pPr>
        <w:pStyle w:val="ListParagraph"/>
        <w:numPr>
          <w:ilvl w:val="0"/>
          <w:numId w:val="3"/>
        </w:numPr>
        <w:autoSpaceDE w:val="0"/>
        <w:autoSpaceDN w:val="0"/>
        <w:adjustRightInd w:val="0"/>
        <w:spacing w:after="0" w:line="240" w:lineRule="auto"/>
        <w:rPr>
          <w:rFonts w:ascii="Verdana" w:eastAsia="Times New Roman" w:hAnsi="Verdana" w:cs="Times New Roman"/>
          <w:sz w:val="17"/>
          <w:szCs w:val="17"/>
        </w:rPr>
      </w:pPr>
      <w:r w:rsidRPr="008F690E">
        <w:rPr>
          <w:rFonts w:ascii="Verdana" w:eastAsia="Times New Roman" w:hAnsi="Verdana" w:cs="Times New Roman"/>
          <w:sz w:val="17"/>
          <w:szCs w:val="17"/>
        </w:rPr>
        <w:t xml:space="preserve">Mishkin, Frederic S.The </w:t>
      </w:r>
      <w:r w:rsidRPr="008808E6">
        <w:rPr>
          <w:rFonts w:ascii="Verdana" w:eastAsia="Times New Roman" w:hAnsi="Verdana" w:cs="Times New Roman"/>
          <w:i/>
          <w:sz w:val="17"/>
          <w:szCs w:val="17"/>
        </w:rPr>
        <w:t>economics of money, banking, and financial markets</w:t>
      </w:r>
      <w:r w:rsidRPr="008F690E">
        <w:rPr>
          <w:rFonts w:ascii="Verdana" w:eastAsia="Times New Roman" w:hAnsi="Verdana" w:cs="Times New Roman"/>
          <w:sz w:val="17"/>
          <w:szCs w:val="17"/>
        </w:rPr>
        <w:t xml:space="preserve"> / Frederic S. Mishkin.—7th ed. p. cm. — (The Addison-Wesley series in economics)</w:t>
      </w:r>
    </w:p>
    <w:p w:rsidR="008F690E" w:rsidRPr="008F690E" w:rsidRDefault="008F690E" w:rsidP="008F690E">
      <w:pPr>
        <w:autoSpaceDE w:val="0"/>
        <w:autoSpaceDN w:val="0"/>
        <w:adjustRightInd w:val="0"/>
        <w:spacing w:after="0" w:line="240" w:lineRule="auto"/>
        <w:rPr>
          <w:rFonts w:ascii="Verdana" w:eastAsia="Times New Roman" w:hAnsi="Verdana" w:cs="Times New Roman"/>
          <w:sz w:val="17"/>
          <w:szCs w:val="17"/>
        </w:rPr>
      </w:pPr>
    </w:p>
    <w:p w:rsidR="008F690E" w:rsidRPr="008F690E" w:rsidRDefault="008F690E" w:rsidP="008F690E">
      <w:pPr>
        <w:pStyle w:val="ListParagraph"/>
        <w:numPr>
          <w:ilvl w:val="0"/>
          <w:numId w:val="3"/>
        </w:numPr>
        <w:autoSpaceDE w:val="0"/>
        <w:autoSpaceDN w:val="0"/>
        <w:adjustRightInd w:val="0"/>
        <w:spacing w:after="0" w:line="240" w:lineRule="auto"/>
        <w:rPr>
          <w:rFonts w:ascii="Verdana" w:eastAsia="Times New Roman" w:hAnsi="Verdana" w:cs="Times New Roman"/>
          <w:sz w:val="17"/>
          <w:szCs w:val="17"/>
        </w:rPr>
      </w:pPr>
      <w:r w:rsidRPr="008F690E">
        <w:rPr>
          <w:rFonts w:ascii="Verdana" w:eastAsia="Times New Roman" w:hAnsi="Verdana" w:cs="Times New Roman"/>
          <w:sz w:val="17"/>
          <w:szCs w:val="17"/>
        </w:rPr>
        <w:t xml:space="preserve">Bodie−Kane−Marcus: </w:t>
      </w:r>
      <w:r w:rsidRPr="008808E6">
        <w:rPr>
          <w:rFonts w:ascii="Verdana" w:eastAsia="Times New Roman" w:hAnsi="Verdana" w:cs="Times New Roman"/>
          <w:i/>
          <w:sz w:val="17"/>
          <w:szCs w:val="17"/>
        </w:rPr>
        <w:t>Investments, Fifth Edition</w:t>
      </w:r>
      <w:r w:rsidRPr="008F690E">
        <w:rPr>
          <w:rFonts w:ascii="Verdana" w:eastAsia="Times New Roman" w:hAnsi="Verdana" w:cs="Times New Roman"/>
          <w:sz w:val="17"/>
          <w:szCs w:val="17"/>
        </w:rPr>
        <w:t>, The McGraw−Hill Companies, 2001</w:t>
      </w:r>
    </w:p>
    <w:p w:rsidR="008F690E" w:rsidRPr="008F690E" w:rsidRDefault="008F690E" w:rsidP="008F690E">
      <w:pPr>
        <w:autoSpaceDE w:val="0"/>
        <w:autoSpaceDN w:val="0"/>
        <w:adjustRightInd w:val="0"/>
        <w:spacing w:after="0" w:line="240" w:lineRule="auto"/>
        <w:rPr>
          <w:rFonts w:ascii="Verdana" w:eastAsia="Times New Roman" w:hAnsi="Verdana" w:cs="Times New Roman"/>
          <w:sz w:val="17"/>
          <w:szCs w:val="17"/>
        </w:rPr>
      </w:pPr>
    </w:p>
    <w:p w:rsidR="008F690E" w:rsidRPr="008F690E" w:rsidRDefault="008F690E" w:rsidP="008F690E">
      <w:pPr>
        <w:pStyle w:val="ListParagraph"/>
        <w:numPr>
          <w:ilvl w:val="0"/>
          <w:numId w:val="3"/>
        </w:numPr>
        <w:autoSpaceDE w:val="0"/>
        <w:autoSpaceDN w:val="0"/>
        <w:adjustRightInd w:val="0"/>
        <w:spacing w:after="0" w:line="240" w:lineRule="auto"/>
        <w:rPr>
          <w:rFonts w:ascii="Verdana" w:eastAsia="Times New Roman" w:hAnsi="Verdana" w:cs="Times New Roman"/>
          <w:sz w:val="17"/>
          <w:szCs w:val="17"/>
        </w:rPr>
      </w:pPr>
      <w:r w:rsidRPr="008F690E">
        <w:rPr>
          <w:rFonts w:ascii="Verdana" w:eastAsia="Times New Roman" w:hAnsi="Verdana" w:cs="Times New Roman"/>
          <w:sz w:val="17"/>
          <w:szCs w:val="17"/>
        </w:rPr>
        <w:t xml:space="preserve">Brealey−Meyers: </w:t>
      </w:r>
      <w:r w:rsidRPr="008808E6">
        <w:rPr>
          <w:rFonts w:ascii="Verdana" w:eastAsia="Times New Roman" w:hAnsi="Verdana" w:cs="Times New Roman"/>
          <w:i/>
          <w:sz w:val="17"/>
          <w:szCs w:val="17"/>
        </w:rPr>
        <w:t>Principles of Corporate Finance, Seventh Edition</w:t>
      </w:r>
      <w:r w:rsidRPr="008F690E">
        <w:rPr>
          <w:rFonts w:ascii="Verdana" w:eastAsia="Times New Roman" w:hAnsi="Verdana" w:cs="Times New Roman"/>
          <w:sz w:val="17"/>
          <w:szCs w:val="17"/>
        </w:rPr>
        <w:t>, The McGraw−Hill Companies, 2003.</w:t>
      </w:r>
    </w:p>
    <w:p w:rsidR="008F690E" w:rsidRPr="008F690E" w:rsidRDefault="008F690E" w:rsidP="008F690E">
      <w:pPr>
        <w:pStyle w:val="ListParagraph"/>
        <w:rPr>
          <w:rFonts w:ascii="Verdana" w:eastAsia="Times New Roman" w:hAnsi="Verdana" w:cs="Times New Roman"/>
          <w:sz w:val="17"/>
          <w:szCs w:val="17"/>
        </w:rPr>
      </w:pPr>
    </w:p>
    <w:p w:rsidR="008F690E" w:rsidRPr="008F690E" w:rsidRDefault="008F690E" w:rsidP="008F690E">
      <w:pPr>
        <w:pStyle w:val="ListParagraph"/>
        <w:numPr>
          <w:ilvl w:val="0"/>
          <w:numId w:val="3"/>
        </w:numPr>
        <w:autoSpaceDE w:val="0"/>
        <w:autoSpaceDN w:val="0"/>
        <w:adjustRightInd w:val="0"/>
        <w:spacing w:after="0" w:line="240" w:lineRule="auto"/>
        <w:rPr>
          <w:rFonts w:ascii="Verdana" w:eastAsia="Times New Roman" w:hAnsi="Verdana" w:cs="Times New Roman"/>
          <w:sz w:val="17"/>
          <w:szCs w:val="17"/>
        </w:rPr>
      </w:pPr>
      <w:r w:rsidRPr="008F690E">
        <w:rPr>
          <w:rFonts w:ascii="Verdana" w:eastAsia="Times New Roman" w:hAnsi="Verdana" w:cs="Times New Roman"/>
          <w:sz w:val="17"/>
          <w:szCs w:val="17"/>
        </w:rPr>
        <w:t xml:space="preserve">Fabozzi- Peterson, </w:t>
      </w:r>
      <w:r w:rsidRPr="008808E6">
        <w:rPr>
          <w:rFonts w:ascii="Verdana" w:eastAsia="Times New Roman" w:hAnsi="Verdana" w:cs="Times New Roman"/>
          <w:i/>
          <w:sz w:val="17"/>
          <w:szCs w:val="17"/>
        </w:rPr>
        <w:t>Financial management and analysis, 2nd edition</w:t>
      </w:r>
      <w:r w:rsidRPr="008F690E">
        <w:rPr>
          <w:rFonts w:ascii="Verdana" w:eastAsia="Times New Roman" w:hAnsi="Verdana" w:cs="Times New Roman"/>
          <w:sz w:val="17"/>
          <w:szCs w:val="17"/>
        </w:rPr>
        <w:t>, John Wiley &amp; Sons, Inc., Hoboken, New Jersey (2003).</w:t>
      </w:r>
    </w:p>
    <w:p w:rsidR="008F690E" w:rsidRPr="008F690E" w:rsidRDefault="008F690E" w:rsidP="008F690E">
      <w:pPr>
        <w:autoSpaceDE w:val="0"/>
        <w:autoSpaceDN w:val="0"/>
        <w:adjustRightInd w:val="0"/>
        <w:spacing w:after="0" w:line="240" w:lineRule="auto"/>
        <w:rPr>
          <w:rFonts w:ascii="Verdana" w:eastAsia="Times New Roman" w:hAnsi="Verdana" w:cs="Times New Roman"/>
          <w:sz w:val="17"/>
          <w:szCs w:val="17"/>
        </w:rPr>
      </w:pPr>
    </w:p>
    <w:p w:rsidR="008F690E" w:rsidRPr="008F690E" w:rsidRDefault="008F690E" w:rsidP="008F690E">
      <w:pPr>
        <w:pStyle w:val="ListParagraph"/>
        <w:numPr>
          <w:ilvl w:val="0"/>
          <w:numId w:val="3"/>
        </w:numPr>
        <w:autoSpaceDE w:val="0"/>
        <w:autoSpaceDN w:val="0"/>
        <w:adjustRightInd w:val="0"/>
        <w:spacing w:after="0" w:line="240" w:lineRule="auto"/>
        <w:rPr>
          <w:rFonts w:ascii="Verdana" w:eastAsia="Times New Roman" w:hAnsi="Verdana" w:cs="Times New Roman"/>
          <w:sz w:val="17"/>
          <w:szCs w:val="17"/>
        </w:rPr>
      </w:pPr>
      <w:r w:rsidRPr="008F690E">
        <w:rPr>
          <w:rFonts w:ascii="Verdana" w:eastAsia="Times New Roman" w:hAnsi="Verdana" w:cs="Times New Roman"/>
          <w:sz w:val="17"/>
          <w:szCs w:val="17"/>
        </w:rPr>
        <w:t xml:space="preserve">Mishkin, Frederic and Stanley G. Eakins, </w:t>
      </w:r>
      <w:r w:rsidRPr="008808E6">
        <w:rPr>
          <w:rFonts w:ascii="Verdana" w:eastAsia="Times New Roman" w:hAnsi="Verdana" w:cs="Times New Roman"/>
          <w:i/>
          <w:sz w:val="17"/>
          <w:szCs w:val="17"/>
        </w:rPr>
        <w:t>Financial Markets &amp; Institutions, 4th edition</w:t>
      </w:r>
      <w:r w:rsidRPr="008F690E">
        <w:rPr>
          <w:rFonts w:ascii="Verdana" w:eastAsia="Times New Roman" w:hAnsi="Verdana" w:cs="Times New Roman"/>
          <w:sz w:val="17"/>
          <w:szCs w:val="17"/>
        </w:rPr>
        <w:t>, Addison Wesley, 2003.</w:t>
      </w:r>
    </w:p>
    <w:p w:rsidR="008F690E" w:rsidRPr="008F690E" w:rsidRDefault="008F690E" w:rsidP="008F690E">
      <w:pPr>
        <w:pStyle w:val="ListParagraph"/>
        <w:rPr>
          <w:rFonts w:ascii="Verdana" w:eastAsia="Times New Roman" w:hAnsi="Verdana" w:cs="Times New Roman"/>
          <w:sz w:val="17"/>
          <w:szCs w:val="17"/>
        </w:rPr>
      </w:pPr>
    </w:p>
    <w:p w:rsidR="00B811BC" w:rsidRDefault="008F690E" w:rsidP="008F690E">
      <w:pPr>
        <w:pStyle w:val="ListParagraph"/>
        <w:numPr>
          <w:ilvl w:val="0"/>
          <w:numId w:val="3"/>
        </w:numPr>
        <w:autoSpaceDE w:val="0"/>
        <w:autoSpaceDN w:val="0"/>
        <w:adjustRightInd w:val="0"/>
        <w:spacing w:after="0" w:line="240" w:lineRule="auto"/>
        <w:rPr>
          <w:rFonts w:ascii="Verdana" w:eastAsia="Times New Roman" w:hAnsi="Verdana" w:cs="Times New Roman"/>
          <w:sz w:val="17"/>
          <w:szCs w:val="17"/>
        </w:rPr>
      </w:pPr>
      <w:r w:rsidRPr="008F690E">
        <w:rPr>
          <w:rFonts w:ascii="Verdana" w:eastAsia="Times New Roman" w:hAnsi="Verdana" w:cs="Times New Roman"/>
          <w:sz w:val="17"/>
          <w:szCs w:val="17"/>
        </w:rPr>
        <w:t>Other texts in Financial Economics, Investment management and financial management.</w:t>
      </w:r>
    </w:p>
    <w:p w:rsidR="00A8683E" w:rsidRPr="00A8683E" w:rsidRDefault="00A8683E" w:rsidP="00A8683E">
      <w:pPr>
        <w:pStyle w:val="ListParagraph"/>
        <w:rPr>
          <w:rFonts w:ascii="Verdana" w:eastAsia="Times New Roman" w:hAnsi="Verdana" w:cs="Times New Roman"/>
          <w:sz w:val="17"/>
          <w:szCs w:val="17"/>
        </w:rPr>
      </w:pPr>
    </w:p>
    <w:p w:rsidR="00A8683E" w:rsidRPr="00A8683E" w:rsidRDefault="00A8683E" w:rsidP="00A8683E">
      <w:pPr>
        <w:pStyle w:val="ListParagraph"/>
        <w:autoSpaceDE w:val="0"/>
        <w:autoSpaceDN w:val="0"/>
        <w:adjustRightInd w:val="0"/>
        <w:spacing w:after="0" w:line="240" w:lineRule="auto"/>
        <w:rPr>
          <w:rFonts w:ascii="Verdana" w:eastAsia="Times New Roman" w:hAnsi="Verdana" w:cs="Times New Roman"/>
          <w:sz w:val="17"/>
          <w:szCs w:val="17"/>
        </w:rPr>
      </w:pPr>
    </w:p>
    <w:p w:rsidR="00A8683E" w:rsidRDefault="00B4548D" w:rsidP="008F690E">
      <w:r>
        <w:rPr>
          <w:b/>
        </w:rPr>
        <w:t xml:space="preserve">CAT 1 </w:t>
      </w:r>
      <w:r w:rsidRPr="00B4548D">
        <w:t>will cover topic 1 through 3. This will be after the three topics are covered.</w:t>
      </w:r>
    </w:p>
    <w:p w:rsidR="005335E1" w:rsidRPr="00B4548D" w:rsidRDefault="005335E1" w:rsidP="008F690E">
      <w:r w:rsidRPr="005335E1">
        <w:rPr>
          <w:b/>
        </w:rPr>
        <w:t>CAT</w:t>
      </w:r>
      <w:r>
        <w:rPr>
          <w:b/>
        </w:rPr>
        <w:t xml:space="preserve"> </w:t>
      </w:r>
      <w:r w:rsidRPr="005335E1">
        <w:rPr>
          <w:b/>
        </w:rPr>
        <w:t>2</w:t>
      </w:r>
      <w:r>
        <w:t xml:space="preserve"> will cover the remainder of the course outline.</w:t>
      </w:r>
      <w:r w:rsidR="00D436CC">
        <w:t xml:space="preserve"> The date will be agreed upon in class.</w:t>
      </w:r>
    </w:p>
    <w:sectPr w:rsidR="005335E1" w:rsidRPr="00B4548D" w:rsidSect="00467881">
      <w:pgSz w:w="11906" w:h="16838"/>
      <w:pgMar w:top="630" w:right="110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72D" w:rsidRDefault="00D8272D" w:rsidP="00365ABC">
      <w:pPr>
        <w:spacing w:after="0" w:line="240" w:lineRule="auto"/>
      </w:pPr>
      <w:r>
        <w:separator/>
      </w:r>
    </w:p>
  </w:endnote>
  <w:endnote w:type="continuationSeparator" w:id="1">
    <w:p w:rsidR="00D8272D" w:rsidRDefault="00D8272D" w:rsidP="0036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72D" w:rsidRDefault="00D8272D" w:rsidP="00365ABC">
      <w:pPr>
        <w:spacing w:after="0" w:line="240" w:lineRule="auto"/>
      </w:pPr>
      <w:r>
        <w:separator/>
      </w:r>
    </w:p>
  </w:footnote>
  <w:footnote w:type="continuationSeparator" w:id="1">
    <w:p w:rsidR="00D8272D" w:rsidRDefault="00D8272D" w:rsidP="0036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15F"/>
    <w:multiLevelType w:val="hybridMultilevel"/>
    <w:tmpl w:val="994A2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612CA"/>
    <w:multiLevelType w:val="hybridMultilevel"/>
    <w:tmpl w:val="3AE6D4A6"/>
    <w:lvl w:ilvl="0" w:tplc="492EE0B0">
      <w:start w:val="1"/>
      <w:numFmt w:val="decimal"/>
      <w:lvlText w:val="%1."/>
      <w:lvlJc w:val="left"/>
      <w:pPr>
        <w:ind w:left="720" w:hanging="360"/>
      </w:pPr>
      <w:rPr>
        <w:rFonts w:ascii="Verdana" w:hAnsi="Verdana" w:hint="default"/>
        <w:sz w:val="17"/>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B938F6"/>
    <w:multiLevelType w:val="hybridMultilevel"/>
    <w:tmpl w:val="C34E29D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7C8668AA"/>
    <w:multiLevelType w:val="hybridMultilevel"/>
    <w:tmpl w:val="CF243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B0803"/>
    <w:rsid w:val="00026781"/>
    <w:rsid w:val="001953C0"/>
    <w:rsid w:val="001D015C"/>
    <w:rsid w:val="00355C95"/>
    <w:rsid w:val="00365ABC"/>
    <w:rsid w:val="00390AFD"/>
    <w:rsid w:val="00390E2B"/>
    <w:rsid w:val="003956E5"/>
    <w:rsid w:val="003B77C2"/>
    <w:rsid w:val="00413378"/>
    <w:rsid w:val="004506FF"/>
    <w:rsid w:val="00467881"/>
    <w:rsid w:val="004D000B"/>
    <w:rsid w:val="00503DB8"/>
    <w:rsid w:val="005130ED"/>
    <w:rsid w:val="005230D8"/>
    <w:rsid w:val="005335E1"/>
    <w:rsid w:val="005E3737"/>
    <w:rsid w:val="00621785"/>
    <w:rsid w:val="00661B47"/>
    <w:rsid w:val="00671BA4"/>
    <w:rsid w:val="00687721"/>
    <w:rsid w:val="006A08C8"/>
    <w:rsid w:val="006E7124"/>
    <w:rsid w:val="00725752"/>
    <w:rsid w:val="0078196A"/>
    <w:rsid w:val="008808E6"/>
    <w:rsid w:val="008B770A"/>
    <w:rsid w:val="008D15F9"/>
    <w:rsid w:val="008F690E"/>
    <w:rsid w:val="00901D69"/>
    <w:rsid w:val="00964E4F"/>
    <w:rsid w:val="009733C5"/>
    <w:rsid w:val="009A7568"/>
    <w:rsid w:val="009C1211"/>
    <w:rsid w:val="009D3BE9"/>
    <w:rsid w:val="009E454E"/>
    <w:rsid w:val="00A656FF"/>
    <w:rsid w:val="00A65A76"/>
    <w:rsid w:val="00A82619"/>
    <w:rsid w:val="00A8683E"/>
    <w:rsid w:val="00AE3C3C"/>
    <w:rsid w:val="00AF2623"/>
    <w:rsid w:val="00AF483D"/>
    <w:rsid w:val="00B4548D"/>
    <w:rsid w:val="00B70D4A"/>
    <w:rsid w:val="00B73D9A"/>
    <w:rsid w:val="00B811BC"/>
    <w:rsid w:val="00BB026B"/>
    <w:rsid w:val="00BB0803"/>
    <w:rsid w:val="00BC1F8C"/>
    <w:rsid w:val="00CD7444"/>
    <w:rsid w:val="00D015AB"/>
    <w:rsid w:val="00D436CC"/>
    <w:rsid w:val="00D8272D"/>
    <w:rsid w:val="00DF18EF"/>
    <w:rsid w:val="00EE1217"/>
    <w:rsid w:val="00F10951"/>
    <w:rsid w:val="00F63231"/>
    <w:rsid w:val="00FF5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paragraph" w:styleId="Header">
    <w:name w:val="header"/>
    <w:basedOn w:val="Normal"/>
    <w:link w:val="HeaderChar"/>
    <w:uiPriority w:val="99"/>
    <w:semiHidden/>
    <w:unhideWhenUsed/>
    <w:rsid w:val="00365A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ABC"/>
  </w:style>
  <w:style w:type="paragraph" w:styleId="Footer">
    <w:name w:val="footer"/>
    <w:basedOn w:val="Normal"/>
    <w:link w:val="FooterChar"/>
    <w:uiPriority w:val="99"/>
    <w:semiHidden/>
    <w:unhideWhenUsed/>
    <w:rsid w:val="00365A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ABC"/>
  </w:style>
  <w:style w:type="paragraph" w:styleId="ListParagraph">
    <w:name w:val="List Paragraph"/>
    <w:basedOn w:val="Normal"/>
    <w:uiPriority w:val="34"/>
    <w:qFormat/>
    <w:rsid w:val="00A65A76"/>
    <w:pPr>
      <w:ind w:left="720"/>
      <w:contextualSpacing/>
    </w:pPr>
  </w:style>
  <w:style w:type="character" w:styleId="Hyperlink">
    <w:name w:val="Hyperlink"/>
    <w:basedOn w:val="DefaultParagraphFont"/>
    <w:uiPriority w:val="99"/>
    <w:semiHidden/>
    <w:unhideWhenUsed/>
    <w:rsid w:val="008F690E"/>
    <w:rPr>
      <w:color w:val="0000FF"/>
      <w:u w:val="single"/>
    </w:rPr>
  </w:style>
</w:styles>
</file>

<file path=word/webSettings.xml><?xml version="1.0" encoding="utf-8"?>
<w:webSettings xmlns:r="http://schemas.openxmlformats.org/officeDocument/2006/relationships" xmlns:w="http://schemas.openxmlformats.org/wordprocessingml/2006/main">
  <w:divs>
    <w:div w:id="402993131">
      <w:bodyDiv w:val="1"/>
      <w:marLeft w:val="0"/>
      <w:marRight w:val="0"/>
      <w:marTop w:val="0"/>
      <w:marBottom w:val="0"/>
      <w:divBdr>
        <w:top w:val="none" w:sz="0" w:space="0" w:color="auto"/>
        <w:left w:val="none" w:sz="0" w:space="0" w:color="auto"/>
        <w:bottom w:val="none" w:sz="0" w:space="0" w:color="auto"/>
        <w:right w:val="none" w:sz="0" w:space="0" w:color="auto"/>
      </w:divBdr>
    </w:div>
    <w:div w:id="1099301347">
      <w:bodyDiv w:val="1"/>
      <w:marLeft w:val="0"/>
      <w:marRight w:val="0"/>
      <w:marTop w:val="0"/>
      <w:marBottom w:val="0"/>
      <w:divBdr>
        <w:top w:val="none" w:sz="0" w:space="0" w:color="auto"/>
        <w:left w:val="none" w:sz="0" w:space="0" w:color="auto"/>
        <w:bottom w:val="none" w:sz="0" w:space="0" w:color="auto"/>
        <w:right w:val="none" w:sz="0" w:space="0" w:color="auto"/>
      </w:divBdr>
      <w:divsChild>
        <w:div w:id="222982584">
          <w:marLeft w:val="0"/>
          <w:marRight w:val="0"/>
          <w:marTop w:val="0"/>
          <w:marBottom w:val="0"/>
          <w:divBdr>
            <w:top w:val="single" w:sz="2" w:space="0" w:color="A2A191"/>
            <w:left w:val="single" w:sz="6" w:space="0" w:color="A2A191"/>
            <w:bottom w:val="single" w:sz="2" w:space="0" w:color="A2A191"/>
            <w:right w:val="single" w:sz="6" w:space="0" w:color="A2A191"/>
          </w:divBdr>
          <w:divsChild>
            <w:div w:id="716203079">
              <w:marLeft w:val="0"/>
              <w:marRight w:val="0"/>
              <w:marTop w:val="0"/>
              <w:marBottom w:val="0"/>
              <w:divBdr>
                <w:top w:val="none" w:sz="0" w:space="0" w:color="auto"/>
                <w:left w:val="none" w:sz="0" w:space="0" w:color="auto"/>
                <w:bottom w:val="none" w:sz="0" w:space="0" w:color="auto"/>
                <w:right w:val="none" w:sz="0" w:space="0" w:color="auto"/>
              </w:divBdr>
              <w:divsChild>
                <w:div w:id="819466552">
                  <w:marLeft w:val="0"/>
                  <w:marRight w:val="0"/>
                  <w:marTop w:val="0"/>
                  <w:marBottom w:val="0"/>
                  <w:divBdr>
                    <w:top w:val="none" w:sz="0" w:space="0" w:color="auto"/>
                    <w:left w:val="none" w:sz="0" w:space="0" w:color="auto"/>
                    <w:bottom w:val="none" w:sz="0" w:space="0" w:color="auto"/>
                    <w:right w:val="none" w:sz="0" w:space="0" w:color="auto"/>
                  </w:divBdr>
                  <w:divsChild>
                    <w:div w:id="1109661055">
                      <w:marLeft w:val="30"/>
                      <w:marRight w:val="0"/>
                      <w:marTop w:val="0"/>
                      <w:marBottom w:val="0"/>
                      <w:divBdr>
                        <w:top w:val="none" w:sz="0" w:space="0" w:color="auto"/>
                        <w:left w:val="none" w:sz="0" w:space="0" w:color="auto"/>
                        <w:bottom w:val="none" w:sz="0" w:space="0" w:color="auto"/>
                        <w:right w:val="none" w:sz="0" w:space="0" w:color="auto"/>
                      </w:divBdr>
                      <w:divsChild>
                        <w:div w:id="2047826809">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8057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375">
      <w:bodyDiv w:val="1"/>
      <w:marLeft w:val="0"/>
      <w:marRight w:val="0"/>
      <w:marTop w:val="0"/>
      <w:marBottom w:val="0"/>
      <w:divBdr>
        <w:top w:val="none" w:sz="0" w:space="0" w:color="auto"/>
        <w:left w:val="none" w:sz="0" w:space="0" w:color="auto"/>
        <w:bottom w:val="none" w:sz="0" w:space="0" w:color="auto"/>
        <w:right w:val="none" w:sz="0" w:space="0" w:color="auto"/>
      </w:divBdr>
      <w:divsChild>
        <w:div w:id="901251285">
          <w:marLeft w:val="0"/>
          <w:marRight w:val="0"/>
          <w:marTop w:val="0"/>
          <w:marBottom w:val="0"/>
          <w:divBdr>
            <w:top w:val="single" w:sz="2" w:space="0" w:color="A2A191"/>
            <w:left w:val="single" w:sz="6" w:space="0" w:color="A2A191"/>
            <w:bottom w:val="single" w:sz="2" w:space="0" w:color="A2A191"/>
            <w:right w:val="single" w:sz="6" w:space="0" w:color="A2A191"/>
          </w:divBdr>
          <w:divsChild>
            <w:div w:id="366805380">
              <w:marLeft w:val="0"/>
              <w:marRight w:val="0"/>
              <w:marTop w:val="0"/>
              <w:marBottom w:val="0"/>
              <w:divBdr>
                <w:top w:val="none" w:sz="0" w:space="0" w:color="auto"/>
                <w:left w:val="none" w:sz="0" w:space="0" w:color="auto"/>
                <w:bottom w:val="none" w:sz="0" w:space="0" w:color="auto"/>
                <w:right w:val="none" w:sz="0" w:space="0" w:color="auto"/>
              </w:divBdr>
              <w:divsChild>
                <w:div w:id="1332952132">
                  <w:marLeft w:val="0"/>
                  <w:marRight w:val="0"/>
                  <w:marTop w:val="0"/>
                  <w:marBottom w:val="0"/>
                  <w:divBdr>
                    <w:top w:val="none" w:sz="0" w:space="0" w:color="auto"/>
                    <w:left w:val="none" w:sz="0" w:space="0" w:color="auto"/>
                    <w:bottom w:val="none" w:sz="0" w:space="0" w:color="auto"/>
                    <w:right w:val="none" w:sz="0" w:space="0" w:color="auto"/>
                  </w:divBdr>
                  <w:divsChild>
                    <w:div w:id="1369914461">
                      <w:marLeft w:val="0"/>
                      <w:marRight w:val="0"/>
                      <w:marTop w:val="0"/>
                      <w:marBottom w:val="0"/>
                      <w:divBdr>
                        <w:top w:val="none" w:sz="0" w:space="0" w:color="auto"/>
                        <w:left w:val="none" w:sz="0" w:space="0" w:color="auto"/>
                        <w:bottom w:val="none" w:sz="0" w:space="0" w:color="auto"/>
                        <w:right w:val="none" w:sz="0" w:space="0" w:color="auto"/>
                      </w:divBdr>
                      <w:divsChild>
                        <w:div w:id="1053038606">
                          <w:marLeft w:val="0"/>
                          <w:marRight w:val="0"/>
                          <w:marTop w:val="0"/>
                          <w:marBottom w:val="0"/>
                          <w:divBdr>
                            <w:top w:val="none" w:sz="0" w:space="0" w:color="auto"/>
                            <w:left w:val="none" w:sz="0" w:space="0" w:color="auto"/>
                            <w:bottom w:val="none" w:sz="0" w:space="0" w:color="auto"/>
                            <w:right w:val="none" w:sz="0" w:space="0" w:color="auto"/>
                          </w:divBdr>
                          <w:divsChild>
                            <w:div w:id="861278">
                              <w:marLeft w:val="0"/>
                              <w:marRight w:val="0"/>
                              <w:marTop w:val="0"/>
                              <w:marBottom w:val="0"/>
                              <w:divBdr>
                                <w:top w:val="none" w:sz="0" w:space="0" w:color="auto"/>
                                <w:left w:val="none" w:sz="0" w:space="0" w:color="auto"/>
                                <w:bottom w:val="none" w:sz="0" w:space="0" w:color="auto"/>
                                <w:right w:val="none" w:sz="0" w:space="0" w:color="auto"/>
                              </w:divBdr>
                              <w:divsChild>
                                <w:div w:id="1064451496">
                                  <w:marLeft w:val="0"/>
                                  <w:marRight w:val="0"/>
                                  <w:marTop w:val="150"/>
                                  <w:marBottom w:val="0"/>
                                  <w:divBdr>
                                    <w:top w:val="none" w:sz="0" w:space="0" w:color="auto"/>
                                    <w:left w:val="none" w:sz="0" w:space="0" w:color="auto"/>
                                    <w:bottom w:val="none" w:sz="0" w:space="0" w:color="auto"/>
                                    <w:right w:val="none" w:sz="0" w:space="0" w:color="auto"/>
                                  </w:divBdr>
                                  <w:divsChild>
                                    <w:div w:id="1934313729">
                                      <w:marLeft w:val="0"/>
                                      <w:marRight w:val="0"/>
                                      <w:marTop w:val="0"/>
                                      <w:marBottom w:val="180"/>
                                      <w:divBdr>
                                        <w:top w:val="none" w:sz="0" w:space="0" w:color="auto"/>
                                        <w:left w:val="none" w:sz="0" w:space="0" w:color="auto"/>
                                        <w:bottom w:val="none" w:sz="0" w:space="0" w:color="auto"/>
                                        <w:right w:val="none" w:sz="0" w:space="0" w:color="auto"/>
                                      </w:divBdr>
                                      <w:divsChild>
                                        <w:div w:id="542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Karuitha</cp:lastModifiedBy>
  <cp:revision>35</cp:revision>
  <dcterms:created xsi:type="dcterms:W3CDTF">2010-09-19T16:52:00Z</dcterms:created>
  <dcterms:modified xsi:type="dcterms:W3CDTF">2011-05-16T14:39:00Z</dcterms:modified>
</cp:coreProperties>
</file>