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D3" w:rsidRPr="00B21AD3" w:rsidRDefault="00B21AD3">
      <w:pPr>
        <w:rPr>
          <w:b/>
          <w:u w:val="single"/>
        </w:rPr>
      </w:pPr>
      <w:r w:rsidRPr="00B21AD3">
        <w:rPr>
          <w:b/>
          <w:u w:val="single"/>
        </w:rPr>
        <w:t>MATERIALITY AND RISK: DISCUSSION CASE</w:t>
      </w:r>
    </w:p>
    <w:p w:rsidR="009571DE" w:rsidRDefault="00385550">
      <w:r>
        <w:t>As an auditor of the star manufacturing company, you have obtained a trial balance from the books of star one month before year end.</w:t>
      </w:r>
    </w:p>
    <w:tbl>
      <w:tblPr>
        <w:tblStyle w:val="TableGrid"/>
        <w:tblW w:w="0" w:type="auto"/>
        <w:tblLook w:val="04A0"/>
      </w:tblPr>
      <w:tblGrid>
        <w:gridCol w:w="4219"/>
        <w:gridCol w:w="2016"/>
        <w:gridCol w:w="3007"/>
      </w:tblGrid>
      <w:tr w:rsidR="00385550" w:rsidTr="00385550">
        <w:tc>
          <w:tcPr>
            <w:tcW w:w="4219" w:type="dxa"/>
          </w:tcPr>
          <w:p w:rsidR="00385550" w:rsidRDefault="00385550">
            <w:r>
              <w:t>ACCOUNT</w:t>
            </w:r>
          </w:p>
        </w:tc>
        <w:tc>
          <w:tcPr>
            <w:tcW w:w="2016" w:type="dxa"/>
          </w:tcPr>
          <w:p w:rsidR="00385550" w:rsidRDefault="00385550">
            <w:r>
              <w:t>RISK WEIGHT</w:t>
            </w:r>
          </w:p>
        </w:tc>
        <w:tc>
          <w:tcPr>
            <w:tcW w:w="3007" w:type="dxa"/>
          </w:tcPr>
          <w:p w:rsidR="00385550" w:rsidRDefault="00385550">
            <w:r>
              <w:t>DR (CR)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/>
        </w:tc>
        <w:tc>
          <w:tcPr>
            <w:tcW w:w="2016" w:type="dxa"/>
          </w:tcPr>
          <w:p w:rsidR="00385550" w:rsidRDefault="00385550"/>
        </w:tc>
        <w:tc>
          <w:tcPr>
            <w:tcW w:w="3007" w:type="dxa"/>
          </w:tcPr>
          <w:p w:rsidR="00385550" w:rsidRDefault="00385550">
            <w:r>
              <w:t>Ksh. 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Cash in Bank</w:t>
            </w:r>
          </w:p>
        </w:tc>
        <w:tc>
          <w:tcPr>
            <w:tcW w:w="2016" w:type="dxa"/>
          </w:tcPr>
          <w:p w:rsidR="00385550" w:rsidRDefault="00C71C91">
            <w:r>
              <w:t>0.97</w:t>
            </w:r>
          </w:p>
        </w:tc>
        <w:tc>
          <w:tcPr>
            <w:tcW w:w="3007" w:type="dxa"/>
          </w:tcPr>
          <w:p w:rsidR="00385550" w:rsidRDefault="00385550">
            <w:r>
              <w:t>87,000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Trade accounts receivables</w:t>
            </w:r>
          </w:p>
        </w:tc>
        <w:tc>
          <w:tcPr>
            <w:tcW w:w="2016" w:type="dxa"/>
          </w:tcPr>
          <w:p w:rsidR="00385550" w:rsidRDefault="00C71C91">
            <w:r>
              <w:t>0.25</w:t>
            </w:r>
          </w:p>
        </w:tc>
        <w:tc>
          <w:tcPr>
            <w:tcW w:w="3007" w:type="dxa"/>
          </w:tcPr>
          <w:p w:rsidR="00385550" w:rsidRDefault="00385550">
            <w:r>
              <w:t>345,000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Notes receivable</w:t>
            </w:r>
          </w:p>
        </w:tc>
        <w:tc>
          <w:tcPr>
            <w:tcW w:w="2016" w:type="dxa"/>
          </w:tcPr>
          <w:p w:rsidR="00385550" w:rsidRDefault="00B21AD3">
            <w:r>
              <w:t>0.2</w:t>
            </w:r>
            <w:r w:rsidR="00C71C91">
              <w:t>1</w:t>
            </w:r>
          </w:p>
        </w:tc>
        <w:tc>
          <w:tcPr>
            <w:tcW w:w="3007" w:type="dxa"/>
          </w:tcPr>
          <w:p w:rsidR="00385550" w:rsidRDefault="00385550">
            <w:r>
              <w:t>125,000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Inventories</w:t>
            </w:r>
          </w:p>
        </w:tc>
        <w:tc>
          <w:tcPr>
            <w:tcW w:w="2016" w:type="dxa"/>
          </w:tcPr>
          <w:p w:rsidR="00385550" w:rsidRDefault="00C71C91">
            <w:r>
              <w:t>0.74</w:t>
            </w:r>
          </w:p>
        </w:tc>
        <w:tc>
          <w:tcPr>
            <w:tcW w:w="3007" w:type="dxa"/>
          </w:tcPr>
          <w:p w:rsidR="00385550" w:rsidRDefault="00385550">
            <w:r>
              <w:t>317,000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Land</w:t>
            </w:r>
          </w:p>
        </w:tc>
        <w:tc>
          <w:tcPr>
            <w:tcW w:w="2016" w:type="dxa"/>
          </w:tcPr>
          <w:p w:rsidR="00385550" w:rsidRDefault="00C71C91">
            <w:r>
              <w:t>0.11</w:t>
            </w:r>
          </w:p>
        </w:tc>
        <w:tc>
          <w:tcPr>
            <w:tcW w:w="3007" w:type="dxa"/>
          </w:tcPr>
          <w:p w:rsidR="00385550" w:rsidRDefault="00385550">
            <w:r>
              <w:t>66,000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Buildings (net)</w:t>
            </w:r>
          </w:p>
        </w:tc>
        <w:tc>
          <w:tcPr>
            <w:tcW w:w="2016" w:type="dxa"/>
          </w:tcPr>
          <w:p w:rsidR="00385550" w:rsidRDefault="00C71C91">
            <w:r>
              <w:t>0.17</w:t>
            </w:r>
          </w:p>
        </w:tc>
        <w:tc>
          <w:tcPr>
            <w:tcW w:w="3007" w:type="dxa"/>
          </w:tcPr>
          <w:p w:rsidR="00385550" w:rsidRDefault="00385550">
            <w:r>
              <w:t>350,000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Furniture, fixtures and equipment, net</w:t>
            </w:r>
          </w:p>
        </w:tc>
        <w:tc>
          <w:tcPr>
            <w:tcW w:w="2016" w:type="dxa"/>
          </w:tcPr>
          <w:p w:rsidR="00385550" w:rsidRDefault="00C71C91">
            <w:r>
              <w:t>0.23</w:t>
            </w:r>
          </w:p>
        </w:tc>
        <w:tc>
          <w:tcPr>
            <w:tcW w:w="3007" w:type="dxa"/>
          </w:tcPr>
          <w:p w:rsidR="00385550" w:rsidRDefault="00385550">
            <w:r>
              <w:t>325,000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Trade accounts payable</w:t>
            </w:r>
          </w:p>
        </w:tc>
        <w:tc>
          <w:tcPr>
            <w:tcW w:w="2016" w:type="dxa"/>
          </w:tcPr>
          <w:p w:rsidR="00385550" w:rsidRDefault="00C71C91">
            <w:r>
              <w:t>0.38</w:t>
            </w:r>
          </w:p>
        </w:tc>
        <w:tc>
          <w:tcPr>
            <w:tcW w:w="3007" w:type="dxa"/>
          </w:tcPr>
          <w:p w:rsidR="00385550" w:rsidRDefault="00385550">
            <w:r>
              <w:t>(235,000)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Mortgage payable</w:t>
            </w:r>
          </w:p>
        </w:tc>
        <w:tc>
          <w:tcPr>
            <w:tcW w:w="2016" w:type="dxa"/>
          </w:tcPr>
          <w:p w:rsidR="00385550" w:rsidRDefault="00C71C91">
            <w:r>
              <w:t>0.30</w:t>
            </w:r>
          </w:p>
        </w:tc>
        <w:tc>
          <w:tcPr>
            <w:tcW w:w="3007" w:type="dxa"/>
          </w:tcPr>
          <w:p w:rsidR="00385550" w:rsidRDefault="00385550">
            <w:r>
              <w:t>(400,000)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Capital stock</w:t>
            </w:r>
          </w:p>
        </w:tc>
        <w:tc>
          <w:tcPr>
            <w:tcW w:w="2016" w:type="dxa"/>
          </w:tcPr>
          <w:p w:rsidR="00385550" w:rsidRDefault="00C71C91">
            <w:r>
              <w:t>0.</w:t>
            </w:r>
            <w:r w:rsidR="00B21AD3">
              <w:t>05</w:t>
            </w:r>
          </w:p>
        </w:tc>
        <w:tc>
          <w:tcPr>
            <w:tcW w:w="3007" w:type="dxa"/>
          </w:tcPr>
          <w:p w:rsidR="00385550" w:rsidRDefault="00385550">
            <w:r>
              <w:t>(300,000)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Retained earnings</w:t>
            </w:r>
          </w:p>
        </w:tc>
        <w:tc>
          <w:tcPr>
            <w:tcW w:w="2016" w:type="dxa"/>
          </w:tcPr>
          <w:p w:rsidR="00385550" w:rsidRDefault="00B21AD3">
            <w:r>
              <w:t>0.85</w:t>
            </w:r>
          </w:p>
        </w:tc>
        <w:tc>
          <w:tcPr>
            <w:tcW w:w="3007" w:type="dxa"/>
          </w:tcPr>
          <w:p w:rsidR="00385550" w:rsidRDefault="00385550">
            <w:r>
              <w:t>(510,000)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Sales</w:t>
            </w:r>
          </w:p>
        </w:tc>
        <w:tc>
          <w:tcPr>
            <w:tcW w:w="2016" w:type="dxa"/>
          </w:tcPr>
          <w:p w:rsidR="00385550" w:rsidRDefault="00B21AD3">
            <w:r>
              <w:t>0.43</w:t>
            </w:r>
          </w:p>
        </w:tc>
        <w:tc>
          <w:tcPr>
            <w:tcW w:w="3007" w:type="dxa"/>
          </w:tcPr>
          <w:p w:rsidR="00385550" w:rsidRDefault="00385550">
            <w:r>
              <w:t>(3,130,000)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Cost of sales</w:t>
            </w:r>
          </w:p>
        </w:tc>
        <w:tc>
          <w:tcPr>
            <w:tcW w:w="2016" w:type="dxa"/>
          </w:tcPr>
          <w:p w:rsidR="00385550" w:rsidRDefault="00B21AD3">
            <w:r>
              <w:t>0.86</w:t>
            </w:r>
          </w:p>
        </w:tc>
        <w:tc>
          <w:tcPr>
            <w:tcW w:w="3007" w:type="dxa"/>
          </w:tcPr>
          <w:p w:rsidR="00385550" w:rsidRDefault="00385550">
            <w:r>
              <w:t>2,300,000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General and administrative expenses</w:t>
            </w:r>
          </w:p>
        </w:tc>
        <w:tc>
          <w:tcPr>
            <w:tcW w:w="2016" w:type="dxa"/>
          </w:tcPr>
          <w:p w:rsidR="00385550" w:rsidRDefault="00B21AD3">
            <w:r>
              <w:t>0.91</w:t>
            </w:r>
          </w:p>
        </w:tc>
        <w:tc>
          <w:tcPr>
            <w:tcW w:w="3007" w:type="dxa"/>
          </w:tcPr>
          <w:p w:rsidR="00385550" w:rsidRDefault="00385550">
            <w:r>
              <w:t>622,000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Legal and professional fees</w:t>
            </w:r>
          </w:p>
        </w:tc>
        <w:tc>
          <w:tcPr>
            <w:tcW w:w="2016" w:type="dxa"/>
          </w:tcPr>
          <w:p w:rsidR="00385550" w:rsidRDefault="00B21AD3">
            <w:r>
              <w:t>0.45</w:t>
            </w:r>
          </w:p>
        </w:tc>
        <w:tc>
          <w:tcPr>
            <w:tcW w:w="3007" w:type="dxa"/>
          </w:tcPr>
          <w:p w:rsidR="00385550" w:rsidRDefault="00385550">
            <w:r>
              <w:t>3,000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>
            <w:r>
              <w:t>Interest expense</w:t>
            </w:r>
          </w:p>
        </w:tc>
        <w:tc>
          <w:tcPr>
            <w:tcW w:w="2016" w:type="dxa"/>
          </w:tcPr>
          <w:p w:rsidR="00385550" w:rsidRDefault="00B21AD3">
            <w:r>
              <w:t>0.03</w:t>
            </w:r>
          </w:p>
        </w:tc>
        <w:tc>
          <w:tcPr>
            <w:tcW w:w="3007" w:type="dxa"/>
          </w:tcPr>
          <w:p w:rsidR="00385550" w:rsidRDefault="00385550">
            <w:r>
              <w:t>35,000</w:t>
            </w:r>
          </w:p>
        </w:tc>
      </w:tr>
      <w:tr w:rsidR="00385550" w:rsidTr="00385550">
        <w:tc>
          <w:tcPr>
            <w:tcW w:w="4219" w:type="dxa"/>
          </w:tcPr>
          <w:p w:rsidR="00385550" w:rsidRDefault="00385550"/>
        </w:tc>
        <w:tc>
          <w:tcPr>
            <w:tcW w:w="2016" w:type="dxa"/>
          </w:tcPr>
          <w:p w:rsidR="00385550" w:rsidRDefault="00385550"/>
        </w:tc>
        <w:tc>
          <w:tcPr>
            <w:tcW w:w="3007" w:type="dxa"/>
          </w:tcPr>
          <w:p w:rsidR="00385550" w:rsidRDefault="00385550"/>
        </w:tc>
      </w:tr>
    </w:tbl>
    <w:p w:rsidR="00385550" w:rsidRDefault="00385550"/>
    <w:p w:rsidR="00385550" w:rsidRDefault="00385550">
      <w:r>
        <w:t>There are no inventories consigned either in or out.</w:t>
      </w:r>
    </w:p>
    <w:p w:rsidR="00385550" w:rsidRDefault="00385550">
      <w:r>
        <w:t>All notes receivable are due from outsiders and held by star.</w:t>
      </w:r>
    </w:p>
    <w:p w:rsidR="00385550" w:rsidRDefault="00385550">
      <w:r>
        <w:t>The risk weights have been deduced by the auditor from past experience. Risk weight gives the probability that the account in question may be materially misstated.</w:t>
      </w:r>
    </w:p>
    <w:p w:rsidR="00C945B8" w:rsidRDefault="00C945B8">
      <w:r>
        <w:t>Required:</w:t>
      </w:r>
    </w:p>
    <w:p w:rsidR="00C945B8" w:rsidRDefault="00C945B8" w:rsidP="00C945B8">
      <w:pPr>
        <w:pStyle w:val="ListParagraph"/>
        <w:numPr>
          <w:ilvl w:val="0"/>
          <w:numId w:val="1"/>
        </w:numPr>
      </w:pPr>
      <w:r>
        <w:t>Which accounts should be confirmed with outside sources? Briefly describe from whom they should be confirmed. Organize your answer in the following way.</w:t>
      </w:r>
      <w:r w:rsidR="00D33163">
        <w:t xml:space="preserve"> (WE SHALL COVER THIS IN THE TOPIC ON AUDIT EVIDENCE).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945B8" w:rsidTr="00C945B8">
        <w:tc>
          <w:tcPr>
            <w:tcW w:w="3080" w:type="dxa"/>
          </w:tcPr>
          <w:p w:rsidR="00C945B8" w:rsidRDefault="00C945B8">
            <w:r>
              <w:t>Account</w:t>
            </w:r>
          </w:p>
        </w:tc>
        <w:tc>
          <w:tcPr>
            <w:tcW w:w="3081" w:type="dxa"/>
          </w:tcPr>
          <w:p w:rsidR="00C945B8" w:rsidRDefault="00C945B8">
            <w:r>
              <w:t>From whom confirmed</w:t>
            </w:r>
          </w:p>
        </w:tc>
        <w:tc>
          <w:tcPr>
            <w:tcW w:w="3081" w:type="dxa"/>
          </w:tcPr>
          <w:p w:rsidR="00C945B8" w:rsidRDefault="00C945B8">
            <w:r>
              <w:t>Information to be confirmed</w:t>
            </w:r>
          </w:p>
        </w:tc>
      </w:tr>
      <w:tr w:rsidR="00C945B8" w:rsidTr="00C945B8">
        <w:tc>
          <w:tcPr>
            <w:tcW w:w="3080" w:type="dxa"/>
          </w:tcPr>
          <w:p w:rsidR="00C945B8" w:rsidRDefault="00C945B8"/>
        </w:tc>
        <w:tc>
          <w:tcPr>
            <w:tcW w:w="3081" w:type="dxa"/>
          </w:tcPr>
          <w:p w:rsidR="00C945B8" w:rsidRDefault="00C945B8"/>
        </w:tc>
        <w:tc>
          <w:tcPr>
            <w:tcW w:w="3081" w:type="dxa"/>
          </w:tcPr>
          <w:p w:rsidR="00C945B8" w:rsidRDefault="00C945B8"/>
        </w:tc>
      </w:tr>
    </w:tbl>
    <w:p w:rsidR="00C945B8" w:rsidRDefault="00C945B8"/>
    <w:p w:rsidR="00C945B8" w:rsidRDefault="00C71C91" w:rsidP="00C945B8">
      <w:pPr>
        <w:pStyle w:val="ListParagraph"/>
        <w:numPr>
          <w:ilvl w:val="0"/>
          <w:numId w:val="1"/>
        </w:numPr>
      </w:pPr>
      <w:r>
        <w:t>Compute the risk that each of the accounts may be materially misstated. Rank the accounts in the order of riskiness. Also, plot on a graph the risk map for the accounts.</w:t>
      </w:r>
    </w:p>
    <w:p w:rsidR="00C71C91" w:rsidRDefault="00C71C91" w:rsidP="00C71C91">
      <w:r w:rsidRPr="00C71C91">
        <w:rPr>
          <w:b/>
        </w:rPr>
        <w:t>NB:</w:t>
      </w:r>
      <w:r>
        <w:t xml:space="preserve"> The easiest way to conceptualize risk is as a product of probability of misstatement and the impact.</w:t>
      </w:r>
    </w:p>
    <w:p w:rsidR="00C71C91" w:rsidRDefault="00C71C91" w:rsidP="00C71C91">
      <w:r>
        <w:t>Risk = Probability * Impact</w:t>
      </w:r>
    </w:p>
    <w:p w:rsidR="00C71C91" w:rsidRDefault="00C71C91" w:rsidP="00C71C91">
      <w:r>
        <w:t>The impact here will be represented by the account in question. For example in the case of cash, the Ksh. 87,000,000 represents the impact.</w:t>
      </w:r>
    </w:p>
    <w:sectPr w:rsidR="00C71C91" w:rsidSect="00F035E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05968"/>
    <w:multiLevelType w:val="hybridMultilevel"/>
    <w:tmpl w:val="6F64C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5550"/>
    <w:rsid w:val="00385550"/>
    <w:rsid w:val="009571DE"/>
    <w:rsid w:val="00B21AD3"/>
    <w:rsid w:val="00C71C91"/>
    <w:rsid w:val="00C945B8"/>
    <w:rsid w:val="00D33163"/>
    <w:rsid w:val="00F0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Karuitha John King’athia; John King'athia Karuitha; Muya</dc:creator>
  <cp:keywords>Notes</cp:keywords>
  <dc:description/>
  <cp:lastModifiedBy>Muya</cp:lastModifiedBy>
  <cp:revision>5</cp:revision>
  <dcterms:created xsi:type="dcterms:W3CDTF">2012-02-06T06:49:00Z</dcterms:created>
  <dcterms:modified xsi:type="dcterms:W3CDTF">2012-02-06T13:44:00Z</dcterms:modified>
</cp:coreProperties>
</file>