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color w:val="000000"/>
        </w:rPr>
      </w:pPr>
      <w:r>
        <w:rPr>
          <w:rFonts w:eastAsia="Times New Roman" w:cs="Times New Roman" w:ascii="Book Antiqua" w:hAnsi="Book Antiqua"/>
          <w:b/>
          <w:color w:val="000000"/>
          <w:sz w:val="72"/>
          <w:szCs w:val="56"/>
        </w:rPr>
        <w:drawing>
          <wp:inline distT="0" distB="0" distL="0" distR="0">
            <wp:extent cx="1733550" cy="1600200"/>
            <wp:effectExtent l="0" t="0" r="0" b="0"/>
            <wp:docPr id="1" name="Picture 5" descr="C:\Users\N.N.A\Desktop\remake-logo-kar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N.N.A\Desktop\remake-logo-karuc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color w:val="000000"/>
        </w:rPr>
      </w:pPr>
      <w:r>
        <w:rPr>
          <w:rFonts w:eastAsia="Times New Roman" w:cs="Times New Roman" w:ascii="Book Antiqua" w:hAnsi="Book Antiqua"/>
          <w:b/>
          <w:color w:val="000000"/>
          <w:sz w:val="72"/>
          <w:szCs w:val="56"/>
        </w:rPr>
        <w:t xml:space="preserve">KARATINA UNIVERSITY 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hanging="0"/>
        <w:jc w:val="center"/>
        <w:rPr>
          <w:color w:val="000000"/>
        </w:rPr>
      </w:pPr>
      <w:r>
        <w:rPr>
          <w:rFonts w:eastAsia="Times New Roman" w:cs="Times New Roman" w:ascii="Book Antiqua" w:hAnsi="Book Antiqua"/>
          <w:b/>
          <w:color w:val="000000"/>
          <w:sz w:val="44"/>
          <w:szCs w:val="44"/>
        </w:rPr>
        <w:t>UNIVERSITY EXAMINATIONS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jc w:val="center"/>
        <w:rPr>
          <w:rFonts w:ascii="Book Antiqua" w:hAnsi="Book Antiqua" w:eastAsia="Times New Roman" w:cs="Times New Roman"/>
          <w:b/>
          <w:b/>
          <w:color w:val="000000"/>
          <w:sz w:val="44"/>
          <w:szCs w:val="44"/>
        </w:rPr>
      </w:pPr>
      <w:r>
        <w:rPr>
          <w:rFonts w:eastAsia="Times New Roman" w:cs="Times New Roman" w:ascii="Book Antiqua" w:hAnsi="Book Antiqua"/>
          <w:b/>
          <w:color w:val="000000"/>
          <w:sz w:val="44"/>
          <w:szCs w:val="44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hanging="0"/>
        <w:jc w:val="center"/>
        <w:rPr>
          <w:color w:val="000000"/>
        </w:rPr>
      </w:pPr>
      <w:r>
        <w:rPr>
          <w:rFonts w:eastAsia="Times New Roman" w:cs="Times New Roman" w:ascii="Book Antiqua" w:hAnsi="Book Antiqua"/>
          <w:b/>
          <w:color w:val="000000"/>
          <w:sz w:val="44"/>
          <w:szCs w:val="44"/>
        </w:rPr>
        <w:t>2021/2022 ACADEMIC YEAR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before="0" w:after="0"/>
        <w:ind w:right="-900" w:hanging="0"/>
        <w:jc w:val="center"/>
        <w:rPr>
          <w:color w:val="000000"/>
        </w:rPr>
      </w:pPr>
      <w:r>
        <w:rPr>
          <w:rFonts w:eastAsia="Times New Roman" w:cs="Times New Roman" w:ascii="Book Antiqua" w:hAnsi="Book Antiqua"/>
          <w:b/>
          <w:color w:val="000000"/>
          <w:sz w:val="40"/>
          <w:szCs w:val="40"/>
          <w:u w:val="single"/>
        </w:rPr>
        <w:t>SECOND</w:t>
      </w:r>
      <w:r>
        <w:rPr>
          <w:rFonts w:eastAsia="Times New Roman" w:cs="Times New Roman" w:ascii="Book Antiqua" w:hAnsi="Book Antiqua"/>
          <w:color w:val="000000"/>
          <w:sz w:val="40"/>
          <w:szCs w:val="40"/>
        </w:rPr>
        <w:t xml:space="preserve"> YEAR </w:t>
      </w:r>
      <w:r>
        <w:rPr>
          <w:rFonts w:eastAsia="Times New Roman" w:cs="Times New Roman" w:ascii="Book Antiqua" w:hAnsi="Book Antiqua"/>
          <w:b/>
          <w:color w:val="000000"/>
          <w:sz w:val="40"/>
          <w:szCs w:val="40"/>
          <w:u w:val="single"/>
        </w:rPr>
        <w:t xml:space="preserve">FIRST </w:t>
      </w:r>
      <w:r>
        <w:rPr>
          <w:rFonts w:eastAsia="Times New Roman" w:cs="Times New Roman" w:ascii="Book Antiqua" w:hAnsi="Book Antiqua"/>
          <w:color w:val="000000"/>
          <w:sz w:val="40"/>
          <w:szCs w:val="40"/>
        </w:rPr>
        <w:t>SEMESTER EXAMINATION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before="0" w:after="0"/>
        <w:jc w:val="center"/>
        <w:rPr>
          <w:rFonts w:ascii="Book Antiqua" w:hAnsi="Book Antiqua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</w:r>
    </w:p>
    <w:p>
      <w:pPr>
        <w:pStyle w:val="Normal"/>
        <w:spacing w:lineRule="auto" w:line="259" w:before="0" w:after="0"/>
        <w:ind w:hanging="0"/>
        <w:jc w:val="center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  <w:t xml:space="preserve">BACHELOR OF BUSINESS MANAGEMENT </w:t>
      </w:r>
    </w:p>
    <w:p>
      <w:pPr>
        <w:pStyle w:val="Normal"/>
        <w:spacing w:lineRule="auto" w:line="259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rPr>
          <w:rFonts w:ascii="Book Antiqua" w:hAnsi="Book Antiqua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rPr>
          <w:rFonts w:ascii="Book Antiqua" w:hAnsi="Book Antiqua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  <w:t xml:space="preserve">COURSE CODE: BBM </w:t>
      </w: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  <w:t>304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rFonts w:ascii="Book Antiqua" w:hAnsi="Book Antiqua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color w:val="000000"/>
        </w:rPr>
      </w:pP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  <w:t xml:space="preserve">COURSE TITLE: </w:t>
      </w:r>
      <w:r>
        <w:rPr>
          <w:rFonts w:eastAsia="Times New Roman" w:cs="Times New Roman" w:ascii="Book Antiqua" w:hAnsi="Book Antiqua"/>
          <w:b/>
          <w:color w:val="000000"/>
          <w:sz w:val="32"/>
          <w:szCs w:val="36"/>
        </w:rPr>
        <w:t>AUDITING &amp; INTERNAL REVIEW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color w:val="000000"/>
        </w:rPr>
      </w:pP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  <w:t xml:space="preserve">DATE: </w:t>
      </w: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  <w:t>18</w:t>
      </w:r>
      <w:r>
        <w:rPr>
          <w:rFonts w:eastAsia="Times New Roman" w:cs="Times New Roman" w:ascii="Book Antiqua" w:hAnsi="Book Antiqua"/>
          <w:b/>
          <w:color w:val="000000"/>
          <w:sz w:val="36"/>
          <w:szCs w:val="36"/>
          <w:vertAlign w:val="superscript"/>
        </w:rPr>
        <w:t>th</w:t>
      </w: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  <w:t xml:space="preserve"> FEBRUARY, 2022</w:t>
        <w:tab/>
        <w:tab/>
        <w:t xml:space="preserve">TIME: </w:t>
      </w: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  <w:t>1400</w:t>
      </w: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  <w:t>-1</w:t>
      </w:r>
      <w:r>
        <w:rPr>
          <w:rFonts w:eastAsia="Times New Roman" w:cs="Times New Roman" w:ascii="Book Antiqua" w:hAnsi="Book Antiqua"/>
          <w:b/>
          <w:color w:val="000000"/>
          <w:sz w:val="36"/>
          <w:szCs w:val="36"/>
        </w:rPr>
        <w:t>700HRS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color w:val="000000"/>
        </w:rPr>
      </w:r>
    </w:p>
    <w:p>
      <w:pPr>
        <w:pStyle w:val="Normal"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INSTRUCTIONS</w:t>
      </w:r>
    </w:p>
    <w:p>
      <w:pPr>
        <w:pStyle w:val="ListParagraph"/>
        <w:rPr>
          <w:rFonts w:cs="Times New Roman"/>
          <w:b/>
          <w:b/>
          <w:u w:val="single"/>
        </w:rPr>
      </w:pPr>
      <w:r>
        <w:rPr>
          <w:rFonts w:ascii="EB Garamond 12" w:hAnsi="EB Garamond 12"/>
          <w:color w:val="000000"/>
          <w:sz w:val="24"/>
          <w:szCs w:val="24"/>
        </w:rPr>
      </w:r>
    </w:p>
    <w:p>
      <w:pPr>
        <w:pStyle w:val="ListParagraph"/>
        <w:rPr>
          <w:rFonts w:cs="Times New Roman"/>
          <w:b/>
          <w:b/>
          <w:u w:val="single"/>
        </w:rPr>
      </w:pPr>
      <w:r>
        <w:rPr>
          <w:rFonts w:ascii="EB Garamond 12" w:hAnsi="EB Garamond 12"/>
          <w:color w:val="000000"/>
          <w:sz w:val="24"/>
          <w:szCs w:val="24"/>
        </w:rPr>
      </w:r>
    </w:p>
    <w:p>
      <w:pPr>
        <w:pStyle w:val="ListParagraph"/>
        <w:rPr>
          <w:rFonts w:cs="Times New Roman"/>
          <w:b/>
          <w:b/>
          <w:u w:val="single"/>
        </w:rPr>
      </w:pPr>
      <w:r>
        <w:rPr>
          <w:rFonts w:ascii="EB Garamond 12" w:hAnsi="EB Garamond 12"/>
          <w:color w:val="000000"/>
          <w:sz w:val="24"/>
          <w:szCs w:val="24"/>
        </w:rPr>
      </w:r>
    </w:p>
    <w:p>
      <w:pPr>
        <w:pStyle w:val="ListParagraph"/>
        <w:rPr>
          <w:rFonts w:cs="Times New Roman"/>
          <w:b/>
          <w:b/>
          <w:u w:val="single"/>
        </w:rPr>
      </w:pPr>
      <w:r>
        <w:rPr>
          <w:rFonts w:ascii="EB Garamond 12" w:hAnsi="EB Garamond 12"/>
          <w:color w:val="000000"/>
          <w:sz w:val="24"/>
          <w:szCs w:val="24"/>
        </w:rPr>
      </w:r>
    </w:p>
    <w:p>
      <w:pPr>
        <w:pStyle w:val="ListParagraph"/>
        <w:rPr>
          <w:rFonts w:cs="Times New Roman"/>
          <w:b/>
          <w:b/>
          <w:u w:val="single"/>
        </w:rPr>
      </w:pPr>
      <w:r>
        <w:rPr>
          <w:rFonts w:ascii="EB Garamond 12" w:hAnsi="EB Garamond 12"/>
          <w:color w:val="000000"/>
          <w:sz w:val="24"/>
          <w:szCs w:val="24"/>
        </w:rPr>
      </w:r>
    </w:p>
    <w:p>
      <w:pPr>
        <w:pStyle w:val="ListParagraph"/>
        <w:rPr>
          <w:rFonts w:cs="Times New Roman"/>
          <w:b/>
          <w:b/>
          <w:u w:val="single"/>
        </w:rPr>
      </w:pPr>
      <w:r>
        <w:rPr>
          <w:rFonts w:ascii="EB Garamond 12" w:hAnsi="EB Garamond 12"/>
          <w:color w:val="000000"/>
          <w:sz w:val="24"/>
          <w:szCs w:val="24"/>
        </w:rPr>
      </w:r>
    </w:p>
    <w:p>
      <w:pPr>
        <w:pStyle w:val="ListParagraph"/>
        <w:rPr>
          <w:rFonts w:cs="Times New Roman"/>
          <w:b/>
          <w:b/>
          <w:u w:val="single"/>
        </w:rPr>
      </w:pPr>
      <w:r>
        <w:rPr>
          <w:rFonts w:ascii="EB Garamond 12" w:hAnsi="EB Garamond 12"/>
          <w:color w:val="000000"/>
          <w:sz w:val="24"/>
          <w:szCs w:val="24"/>
        </w:rPr>
      </w:r>
    </w:p>
    <w:p>
      <w:pPr>
        <w:pStyle w:val="ListParagraph"/>
        <w:rPr>
          <w:rFonts w:cs="Times New Roman"/>
          <w:b/>
          <w:b/>
          <w:u w:val="single"/>
        </w:rPr>
      </w:pPr>
      <w:r>
        <w:rPr>
          <w:rFonts w:ascii="EB Garamond 12" w:hAnsi="EB Garamond 12"/>
          <w:color w:val="000000"/>
          <w:sz w:val="24"/>
          <w:szCs w:val="24"/>
        </w:rPr>
      </w:r>
    </w:p>
    <w:p>
      <w:pPr>
        <w:pStyle w:val="ListParagraph"/>
        <w:rPr>
          <w:rFonts w:cs="Times New Roman"/>
          <w:b/>
          <w:b/>
          <w:u w:val="single"/>
        </w:rPr>
      </w:pPr>
      <w:r>
        <w:rPr>
          <w:rFonts w:ascii="EB Garamond 12" w:hAnsi="EB Garamond 12"/>
          <w:color w:val="000000"/>
          <w:sz w:val="24"/>
          <w:szCs w:val="24"/>
        </w:rPr>
      </w:r>
    </w:p>
    <w:p>
      <w:pPr>
        <w:pStyle w:val="ListParagraph"/>
        <w:ind w:hanging="0"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b/>
          <w:color w:val="000000"/>
          <w:sz w:val="24"/>
          <w:szCs w:val="24"/>
          <w:u w:val="single"/>
        </w:rPr>
        <w:t>Attempt Question ONE and choose THREE other questions</w:t>
      </w:r>
    </w:p>
    <w:p>
      <w:pPr>
        <w:pStyle w:val="ListParagraph"/>
        <w:ind w:left="720" w:hanging="0"/>
        <w:rPr>
          <w:rFonts w:ascii="EB Garamond 12" w:hAnsi="EB Garamond 12"/>
          <w:color w:val="000000"/>
          <w:sz w:val="24"/>
          <w:szCs w:val="24"/>
        </w:rPr>
      </w:pPr>
      <w:r>
        <w:rPr>
          <w:rFonts w:ascii="EB Garamond 12" w:hAnsi="EB Garamond 12"/>
          <w:color w:val="000000"/>
          <w:sz w:val="24"/>
          <w:szCs w:val="24"/>
        </w:rPr>
      </w:r>
    </w:p>
    <w:p>
      <w:pPr>
        <w:pStyle w:val="ListParagraph"/>
        <w:ind w:left="720" w:hanging="0"/>
        <w:rPr>
          <w:rFonts w:ascii="EB Garamond 12" w:hAnsi="EB Garamond 12"/>
          <w:color w:val="000000"/>
          <w:sz w:val="24"/>
          <w:szCs w:val="24"/>
        </w:rPr>
      </w:pPr>
      <w:r>
        <w:rPr>
          <w:rFonts w:ascii="EB Garamond 12" w:hAnsi="EB Garamond 12"/>
          <w:color w:val="000000"/>
          <w:sz w:val="24"/>
          <w:szCs w:val="24"/>
        </w:rPr>
        <w:t>QUESTION ONE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both"/>
        <w:rPr>
          <w:rFonts w:ascii="EB Garamond 12" w:hAnsi="EB Garamond 12"/>
          <w:color w:val="000000"/>
          <w:sz w:val="24"/>
          <w:szCs w:val="24"/>
        </w:rPr>
      </w:pPr>
      <w:r>
        <w:rPr>
          <w:rFonts w:cs="FranklinGothicITCbyBT-Book" w:ascii="EB Garamond 12" w:hAnsi="EB Garamond 12"/>
          <w:color w:val="000000"/>
          <w:sz w:val="24"/>
          <w:szCs w:val="24"/>
        </w:rPr>
        <w:tab/>
        <w:t>a) An auditor should be independent in attitude and appearance.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both"/>
        <w:rPr>
          <w:rFonts w:ascii="EB Garamond 12" w:hAnsi="EB Garamond 12"/>
          <w:color w:val="000000"/>
          <w:sz w:val="24"/>
          <w:szCs w:val="24"/>
        </w:rPr>
      </w:pPr>
      <w:r>
        <w:rPr>
          <w:rFonts w:cs="FranklinGothicITCbyBT-Book" w:ascii="EB Garamond 12" w:hAnsi="EB Garamond 12"/>
          <w:color w:val="000000"/>
          <w:sz w:val="24"/>
          <w:szCs w:val="24"/>
        </w:rPr>
        <w:tab/>
        <w:t>b) In your opinion, what are the important issues affecting auditor independence in a capital market economy? (9 mks)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both"/>
        <w:rPr>
          <w:rFonts w:ascii="EB Garamond 12" w:hAnsi="EB Garamond 12"/>
          <w:color w:val="000000"/>
          <w:sz w:val="24"/>
          <w:szCs w:val="24"/>
        </w:rPr>
      </w:pPr>
      <w:r>
        <w:rPr>
          <w:rFonts w:cs="FranklinGothicITCbyBT-Book" w:ascii="EB Garamond 12" w:hAnsi="EB Garamond 12"/>
          <w:color w:val="000000"/>
          <w:sz w:val="24"/>
          <w:szCs w:val="24"/>
        </w:rPr>
        <w:tab/>
        <w:t>c) Why is the inquiry into auditor independence becoming increasingly important? (6  mks)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both"/>
        <w:rPr>
          <w:rFonts w:ascii="EB Garamond 12" w:hAnsi="EB Garamond 12"/>
          <w:color w:val="000000"/>
          <w:sz w:val="24"/>
          <w:szCs w:val="24"/>
        </w:rPr>
      </w:pPr>
      <w:r>
        <w:rPr>
          <w:rFonts w:cs="FranklinGothicITCbyBT-Book" w:ascii="EB Garamond 12" w:hAnsi="EB Garamond 12"/>
          <w:color w:val="000000"/>
          <w:sz w:val="24"/>
          <w:szCs w:val="24"/>
        </w:rPr>
        <w:tab/>
        <w:t>d) How can the independence of auditors be improved. (4 mks)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both"/>
        <w:rPr>
          <w:rFonts w:ascii="EB Garamond 12" w:hAnsi="EB Garamond 12"/>
          <w:color w:val="000000"/>
          <w:sz w:val="24"/>
          <w:szCs w:val="24"/>
        </w:rPr>
      </w:pPr>
      <w:r>
        <w:rPr>
          <w:rFonts w:cs="Minion-Regular" w:ascii="EB Garamond 12" w:hAnsi="EB Garamond 12"/>
          <w:color w:val="000000"/>
          <w:sz w:val="24"/>
          <w:szCs w:val="24"/>
        </w:rPr>
        <w:tab/>
        <w:t>e) Identify the six characteristics that determine the reliability of audit evidence (6 marks).</w:t>
      </w:r>
    </w:p>
    <w:p>
      <w:pPr>
        <w:pStyle w:val="ListParagraph"/>
        <w:spacing w:lineRule="auto" w:line="276" w:before="0" w:after="200"/>
        <w:ind w:left="720" w:hanging="0"/>
        <w:contextualSpacing/>
        <w:rPr>
          <w:rFonts w:ascii="EB Garamond 12" w:hAnsi="EB Garamond 12" w:cs="Times New Roman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  <w:t>QUESTION TWO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20" w:hanging="0"/>
        <w:contextualSpacing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  <w:t>Discuss in detail the following general principles of auditing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  <w:t>Professional ethics (5 mks)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  <w:t>International standards on auditing (5 mks)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  <w:t>Professional skepticism (5 mks)</w:t>
      </w:r>
    </w:p>
    <w:p>
      <w:pPr>
        <w:pStyle w:val="ListParagraph"/>
        <w:spacing w:lineRule="auto" w:line="276" w:before="0" w:after="200"/>
        <w:ind w:left="720" w:hanging="0"/>
        <w:contextualSpacing/>
        <w:rPr>
          <w:rFonts w:ascii="EB Garamond 12" w:hAnsi="EB Garamond 12" w:cs="Times New Roman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  <w:t>QUESTION THREE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  <w:lang w:bidi="ar-SA"/>
        </w:rPr>
        <w:t>The scope of internal auditing is found in the Institute of Internal Auditors’ Implementation Standards.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  <w:lang w:bidi="ar-SA"/>
        </w:rPr>
        <w:t>a.</w:t>
        <w:tab/>
        <w:t>Describe the scope of the internal audit function (5 mks)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  <w:lang w:bidi="ar-SA"/>
        </w:rPr>
        <w:t>b.</w:t>
        <w:tab/>
        <w:t>What are the implications of the wide scope of internal audit function with specific reference to</w:t>
      </w:r>
    </w:p>
    <w:p>
      <w:pPr>
        <w:pStyle w:val="ListParagraph"/>
        <w:numPr>
          <w:ilvl w:val="2"/>
          <w:numId w:val="1"/>
        </w:numPr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  <w:lang w:bidi="ar-SA"/>
        </w:rPr>
        <w:t>Expertise required (2 mks)</w:t>
      </w:r>
    </w:p>
    <w:p>
      <w:pPr>
        <w:pStyle w:val="ListParagraph"/>
        <w:numPr>
          <w:ilvl w:val="2"/>
          <w:numId w:val="1"/>
        </w:numPr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  <w:lang w:bidi="ar-SA"/>
        </w:rPr>
        <w:t>Value for money (3 mks)</w:t>
      </w:r>
    </w:p>
    <w:p>
      <w:pPr>
        <w:pStyle w:val="ListParagraph"/>
        <w:numPr>
          <w:ilvl w:val="2"/>
          <w:numId w:val="1"/>
        </w:numPr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  <w:lang w:bidi="ar-SA"/>
        </w:rPr>
        <w:t>Information systems (2 mks)</w:t>
      </w:r>
    </w:p>
    <w:p>
      <w:pPr>
        <w:pStyle w:val="ListParagraph"/>
        <w:numPr>
          <w:ilvl w:val="2"/>
          <w:numId w:val="1"/>
        </w:numPr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  <w:lang w:bidi="ar-SA"/>
        </w:rPr>
        <w:t>Compliance (3 mks)</w:t>
      </w:r>
    </w:p>
    <w:p>
      <w:pPr>
        <w:pStyle w:val="ListParagraph"/>
        <w:ind w:left="720" w:hanging="0"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  <w:lang w:bidi="ar-SA"/>
        </w:rPr>
        <w:t>QUESTION FOUR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  <w:lang w:bidi="ar-SA"/>
        </w:rPr>
        <w:t>Discuss the composition and the role of the audit committee, and explain the linkage between the audit committee and the internal and external audit functions (15 mks).</w:t>
      </w:r>
    </w:p>
    <w:p>
      <w:pPr>
        <w:pStyle w:val="ListParagraph"/>
        <w:ind w:left="720" w:hanging="0"/>
        <w:rPr>
          <w:rFonts w:ascii="EB Garamond 12" w:hAnsi="EB Garamond 12"/>
          <w:color w:val="000000"/>
          <w:sz w:val="24"/>
          <w:szCs w:val="24"/>
        </w:rPr>
      </w:pPr>
      <w:r>
        <w:rPr>
          <w:rFonts w:cs="GillSans-Light" w:ascii="EB Garamond 12" w:hAnsi="EB Garamond 12"/>
          <w:color w:val="000000"/>
          <w:sz w:val="24"/>
          <w:szCs w:val="24"/>
          <w:lang w:bidi="ar-SA"/>
        </w:rPr>
        <w:t>QUESTION FIVE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20" w:hanging="0"/>
        <w:contextualSpacing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  <w:t>Discuss in detail the internal controls over wages and salaries, highlighting on the following specific areas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2160" w:hanging="0"/>
        <w:contextualSpacing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  <w:t>a.</w:t>
        <w:tab/>
        <w:t>Approval and control of documents (5 mks)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2160" w:hanging="0"/>
        <w:contextualSpacing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  <w:t>b.</w:t>
        <w:tab/>
        <w:t>Arithmetical accuracy (5 mks)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2160" w:hanging="0"/>
        <w:contextualSpacing/>
        <w:rPr>
          <w:rFonts w:ascii="EB Garamond 12" w:hAnsi="EB Garamond 12"/>
          <w:color w:val="000000"/>
          <w:sz w:val="24"/>
          <w:szCs w:val="24"/>
        </w:rPr>
      </w:pPr>
      <w:r>
        <w:rPr>
          <w:rFonts w:cs="Times New Roman" w:ascii="EB Garamond 12" w:hAnsi="EB Garamond 12"/>
          <w:color w:val="000000"/>
          <w:sz w:val="24"/>
          <w:szCs w:val="24"/>
        </w:rPr>
        <w:t>c.</w:t>
        <w:tab/>
        <w:t>Control accounts (85mks)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right="0" w:hanging="0"/>
        <w:contextualSpacing/>
        <w:rPr>
          <w:rFonts w:ascii="EB Garamond 12" w:hAnsi="EB Garamond 12" w:cs="GillSans-Light"/>
          <w:b/>
          <w:b/>
          <w:color w:val="000000"/>
          <w:sz w:val="24"/>
          <w:szCs w:val="24"/>
          <w:u w:val="none"/>
          <w:lang w:bidi="ar-SA"/>
        </w:rPr>
      </w:pPr>
      <w:r>
        <w:rPr>
          <w:rFonts w:cs="GillSans-Light" w:ascii="EB Garamond 12" w:hAnsi="EB Garamond 12"/>
          <w:b/>
          <w:color w:val="000000"/>
          <w:sz w:val="24"/>
          <w:szCs w:val="24"/>
          <w:u w:val="none"/>
          <w:lang w:bidi="ar-SA"/>
        </w:rPr>
        <w:tab/>
        <w:t>QUESTION FOUR</w:t>
      </w:r>
    </w:p>
    <w:p>
      <w:pPr>
        <w:pStyle w:val="Normal"/>
        <w:spacing w:lineRule="auto" w:line="240" w:before="0" w:after="0"/>
        <w:ind w:left="0" w:right="0" w:hanging="0"/>
        <w:rPr>
          <w:rFonts w:ascii="EB Garamond 12" w:hAnsi="EB Garamond 12" w:cs="GillSans-Light"/>
          <w:color w:val="000000"/>
          <w:sz w:val="24"/>
          <w:szCs w:val="24"/>
          <w:lang w:bidi="ar-SA"/>
        </w:rPr>
      </w:pPr>
      <w:r>
        <w:rPr>
          <w:rFonts w:cs="GillSans-Light" w:ascii="EB Garamond 12" w:hAnsi="EB Garamond 12"/>
          <w:color w:val="000000"/>
          <w:sz w:val="24"/>
          <w:szCs w:val="24"/>
          <w:lang w:bidi="ar-SA"/>
        </w:rPr>
        <w:tab/>
        <w:t xml:space="preserve">“The risk of poor information systems and unreliable security and back-up arrangements leads to possible fraud, </w:t>
        <w:tab/>
        <w:t xml:space="preserve">error, non-compliance with data protection rules, customer dissatisfaction and security breaches. Poor </w:t>
        <w:tab/>
        <w:t>information systems can undermine an organization and its entire reputation may be at stake.”</w:t>
      </w:r>
    </w:p>
    <w:p>
      <w:pPr>
        <w:pStyle w:val="Normal"/>
        <w:spacing w:lineRule="auto" w:line="240" w:before="0" w:after="0"/>
        <w:ind w:left="0" w:right="0" w:hanging="0"/>
        <w:rPr>
          <w:rFonts w:ascii="EB Garamond 12" w:hAnsi="EB Garamond 12"/>
          <w:color w:val="000000"/>
          <w:sz w:val="24"/>
          <w:szCs w:val="24"/>
        </w:rPr>
      </w:pPr>
      <w:r>
        <w:rPr>
          <w:rFonts w:cs="GillSans-Light" w:ascii="EB Garamond 12" w:hAnsi="EB Garamond 12"/>
          <w:color w:val="000000"/>
          <w:sz w:val="24"/>
          <w:szCs w:val="24"/>
          <w:lang w:bidi="ar-SA"/>
        </w:rPr>
        <w:tab/>
        <w:t xml:space="preserve">Discuss in detail </w:t>
      </w:r>
      <w:r>
        <w:rPr>
          <w:rFonts w:cs="GillSans-Light" w:ascii="EB Garamond 12" w:hAnsi="EB Garamond 12"/>
          <w:b/>
          <w:color w:val="000000"/>
          <w:sz w:val="24"/>
          <w:szCs w:val="24"/>
          <w:lang w:bidi="ar-SA"/>
        </w:rPr>
        <w:t>FIVE</w:t>
      </w:r>
      <w:r>
        <w:rPr>
          <w:rFonts w:cs="GillSans-Light" w:ascii="EB Garamond 12" w:hAnsi="EB Garamond 12"/>
          <w:color w:val="000000"/>
          <w:sz w:val="24"/>
          <w:szCs w:val="24"/>
          <w:lang w:bidi="ar-SA"/>
        </w:rPr>
        <w:t xml:space="preserve"> Information systems (IS) risk areas (</w:t>
      </w:r>
      <w:r>
        <w:rPr>
          <w:rFonts w:cs="GillSans-Light" w:ascii="EB Garamond 12" w:hAnsi="EB Garamond 12"/>
          <w:color w:val="000000"/>
          <w:sz w:val="24"/>
          <w:szCs w:val="24"/>
          <w:lang w:bidi="ar-SA"/>
        </w:rPr>
        <w:t>15</w:t>
      </w:r>
      <w:r>
        <w:rPr>
          <w:rFonts w:cs="GillSans-Light" w:ascii="EB Garamond 12" w:hAnsi="EB Garamond 12"/>
          <w:color w:val="000000"/>
          <w:sz w:val="24"/>
          <w:szCs w:val="24"/>
          <w:lang w:bidi="ar-SA"/>
        </w:rPr>
        <w:t xml:space="preserve"> mks)</w:t>
      </w:r>
    </w:p>
    <w:sectPr>
      <w:headerReference w:type="default" r:id="rId3"/>
      <w:type w:val="nextPage"/>
      <w:pgSz w:w="12240" w:h="15840"/>
      <w:pgMar w:left="810" w:right="360" w:gutter="0" w:header="720" w:top="777" w:footer="0" w:bottom="27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EB Garamond 12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7b87"/>
    <w:pPr>
      <w:widowControl/>
      <w:suppressAutoHyphens w:val="true"/>
      <w:bidi w:val="0"/>
      <w:spacing w:lineRule="auto" w:line="288" w:before="0" w:after="160"/>
      <w:ind w:left="2160" w:hanging="0"/>
      <w:jc w:val="left"/>
    </w:pPr>
    <w:rPr>
      <w:rFonts w:ascii="Calibri" w:hAnsi="Calibri" w:eastAsia="" w:cs=""/>
      <w:color w:val="5A5A5A" w:themeColor="text1" w:themeTint="a5"/>
      <w:kern w:val="0"/>
      <w:sz w:val="20"/>
      <w:szCs w:val="20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87"/>
    <w:pPr>
      <w:spacing w:lineRule="auto" w:line="240" w:before="400" w:after="6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87"/>
    <w:pPr>
      <w:spacing w:lineRule="auto" w:line="240" w:before="120" w:after="6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87"/>
    <w:pPr>
      <w:spacing w:lineRule="auto" w:line="240" w:before="120" w:after="6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b87"/>
    <w:pPr>
      <w:pBdr>
        <w:bottom w:val="single" w:sz="4" w:space="1" w:color="71A0DC"/>
      </w:pBdr>
      <w:spacing w:lineRule="auto" w:line="240" w:before="200" w:after="10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87"/>
    <w:pPr>
      <w:pBdr>
        <w:bottom w:val="single" w:sz="4" w:space="1" w:color="548DD4"/>
      </w:pBdr>
      <w:spacing w:lineRule="auto" w:line="240" w:before="200" w:after="10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87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87"/>
    <w:pPr>
      <w:pBdr>
        <w:bottom w:val="dotted" w:sz="8" w:space="1" w:color="938953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87"/>
    <w:pPr>
      <w:spacing w:lineRule="auto" w:line="240" w:before="200" w:after="6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87"/>
    <w:pPr>
      <w:spacing w:lineRule="auto" w:line="240" w:before="200" w:after="6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smallCaps/>
      <w:color w:val="938953" w:themeColor="background2" w:themeShade="7f"/>
      <w:spacing w:val="20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e7b87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e7b8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7b87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e7b87"/>
    <w:rPr>
      <w:rFonts w:ascii="Cambria" w:hAnsi="Cambria" w:eastAsia="" w:cs="" w:asciiTheme="majorHAnsi" w:cstheme="majorBidi" w:eastAsiaTheme="majorEastAsia" w:hAnsiTheme="majorHAnsi"/>
      <w:smallCaps/>
      <w:color w:val="0F243E" w:themeColor="text2" w:themeShade="7f"/>
      <w:spacing w:val="2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e7b87"/>
    <w:rPr>
      <w:rFonts w:ascii="Cambria" w:hAnsi="Cambria" w:eastAsia="" w:cs="" w:asciiTheme="majorHAnsi" w:cstheme="majorBidi" w:eastAsiaTheme="majorEastAsia" w:hAnsiTheme="majorHAnsi"/>
      <w:smallCaps/>
      <w:color w:val="17365D" w:themeColor="text2" w:themeShade="bf"/>
      <w:spacing w:val="2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e7b87"/>
    <w:rPr>
      <w:rFonts w:ascii="Cambria" w:hAnsi="Cambria" w:eastAsia="" w:cs="" w:asciiTheme="majorHAnsi" w:cstheme="majorBidi" w:eastAsiaTheme="majorEastAsia" w:hAnsiTheme="majorHAnsi"/>
      <w:smallCaps/>
      <w:color w:val="1F497D" w:themeColor="text2"/>
      <w:spacing w:val="2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e7b87"/>
    <w:rPr>
      <w:rFonts w:ascii="Cambria" w:hAnsi="Cambria" w:eastAsia="" w:cs="" w:asciiTheme="majorHAnsi" w:cstheme="majorBidi" w:eastAsiaTheme="majorEastAsia" w:hAnsiTheme="majorHAnsi"/>
      <w:b/>
      <w:bCs/>
      <w:smallCaps/>
      <w:color w:val="3071C3" w:themeColor="text2" w:themeTint="bf"/>
      <w:spacing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e7b87"/>
    <w:rPr>
      <w:rFonts w:ascii="Cambria" w:hAnsi="Cambria" w:eastAsia="" w:cs="" w:asciiTheme="majorHAnsi" w:cstheme="majorBidi" w:eastAsiaTheme="majorEastAsia" w:hAnsiTheme="majorHAnsi"/>
      <w:smallCaps/>
      <w:color w:val="3071C3" w:themeColor="text2" w:themeTint="bf"/>
      <w:spacing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e7b87"/>
    <w:rPr>
      <w:rFonts w:ascii="Cambria" w:hAnsi="Cambria" w:eastAsia="" w:cs="" w:asciiTheme="majorHAnsi" w:cstheme="majorBidi" w:eastAsiaTheme="majorEastAsia" w:hAnsiTheme="majorHAnsi"/>
      <w:smallCaps/>
      <w:color w:val="938953" w:themeColor="background2" w:themeShade="7f"/>
      <w:spacing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e7b87"/>
    <w:rPr>
      <w:rFonts w:ascii="Cambria" w:hAnsi="Cambria" w:eastAsia="" w:cs="" w:asciiTheme="majorHAnsi" w:cstheme="majorBidi" w:eastAsiaTheme="majorEastAsia" w:hAnsiTheme="majorHAnsi"/>
      <w:b/>
      <w:bCs/>
      <w:smallCaps/>
      <w:color w:val="938953" w:themeColor="background2" w:themeShade="7f"/>
      <w:spacing w:val="20"/>
      <w:sz w:val="16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e7b87"/>
    <w:rPr>
      <w:rFonts w:ascii="Cambria" w:hAnsi="Cambria" w:eastAsia="" w:cs="" w:asciiTheme="majorHAnsi" w:cstheme="majorBidi" w:eastAsiaTheme="majorEastAsia" w:hAnsiTheme="majorHAnsi"/>
      <w:b/>
      <w:smallCaps/>
      <w:color w:val="938953" w:themeColor="background2" w:themeShade="7f"/>
      <w:spacing w:val="20"/>
      <w:sz w:val="16"/>
      <w:szCs w:val="16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e7b87"/>
    <w:rPr>
      <w:rFonts w:ascii="Cambria" w:hAnsi="Cambria" w:eastAsia="" w:cs="" w:asciiTheme="majorHAnsi" w:cstheme="majorBidi" w:eastAsiaTheme="majorEastAsia" w:hAnsiTheme="majorHAnsi"/>
      <w:smallCaps/>
      <w:color w:val="938953" w:themeColor="background2" w:themeShade="7f"/>
      <w:spacing w:val="20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3e7b87"/>
    <w:rPr>
      <w:rFonts w:ascii="Cambria" w:hAnsi="Cambria" w:eastAsia="" w:cs="" w:asciiTheme="majorHAnsi" w:cstheme="majorBidi" w:eastAsiaTheme="majorEastAsia" w:hAnsiTheme="majorHAnsi"/>
      <w:smallCaps/>
      <w:color w:val="17365D" w:themeColor="text2" w:themeShade="bf"/>
      <w:spacing w:val="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e7b8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e7b87"/>
    <w:rPr>
      <w:b/>
      <w:bCs/>
      <w:spacing w:val="0"/>
    </w:rPr>
  </w:style>
  <w:style w:type="character" w:styleId="Emphasis">
    <w:name w:val="Emphasis"/>
    <w:uiPriority w:val="20"/>
    <w:qFormat/>
    <w:rsid w:val="003e7b87"/>
    <w:rPr>
      <w:b/>
      <w:bCs/>
      <w:smallCaps/>
      <w:strike w:val="false"/>
      <w:dstrike w:val="false"/>
      <w:color w:val="5A5A5A" w:themeColor="text1" w:themeTint="a5"/>
      <w:spacing w:val="20"/>
      <w:kern w:val="0"/>
      <w:position w:val="0"/>
      <w:sz w:val="20"/>
      <w:sz w:val="20"/>
      <w:vertAlign w:val="baseline"/>
    </w:rPr>
  </w:style>
  <w:style w:type="character" w:styleId="QuoteChar" w:customStyle="1">
    <w:name w:val="Quote Char"/>
    <w:basedOn w:val="DefaultParagraphFont"/>
    <w:link w:val="Quote"/>
    <w:uiPriority w:val="29"/>
    <w:qFormat/>
    <w:rsid w:val="003e7b87"/>
    <w:rPr>
      <w:i/>
      <w:iCs/>
      <w:color w:val="5A5A5A" w:themeColor="text1" w:themeTint="a5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e7b87"/>
    <w:rPr>
      <w:rFonts w:ascii="Cambria" w:hAnsi="Cambria" w:eastAsia="" w:cs="" w:asciiTheme="majorHAnsi" w:cstheme="majorBidi" w:eastAsiaTheme="majorEastAsia" w:hAnsiTheme="majorHAns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3e7b87"/>
    <w:rPr>
      <w:smallCaps/>
      <w:strike w:val="false"/>
      <w:dstrike w:val="false"/>
      <w:color w:val="5A5A5A" w:themeColor="text1" w:themeTint="a5"/>
      <w:position w:val="0"/>
      <w:sz w:val="20"/>
      <w:sz w:val="20"/>
      <w:vertAlign w:val="baseline"/>
    </w:rPr>
  </w:style>
  <w:style w:type="character" w:styleId="IntenseEmphasis">
    <w:name w:val="Intense Emphasis"/>
    <w:uiPriority w:val="21"/>
    <w:qFormat/>
    <w:rsid w:val="003e7b8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3e7b87"/>
    <w:rPr>
      <w:rFonts w:ascii="Cambria" w:hAnsi="Cambria" w:eastAsia="" w:cs="" w:asciiTheme="majorHAnsi" w:cstheme="majorBidi" w:eastAsiaTheme="majorEastAsia" w:hAnsiTheme="majorHAns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e7b87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3e7b87"/>
    <w:rPr>
      <w:rFonts w:ascii="Cambria" w:hAnsi="Cambria" w:eastAsia="" w:cs="" w:asciiTheme="majorHAnsi" w:cstheme="majorBidi" w:eastAsiaTheme="majorEastAsia" w:hAnsiTheme="majorHAnsi"/>
      <w:b/>
      <w:bCs/>
      <w:smallCaps/>
      <w:color w:val="17365D" w:themeColor="text2" w:themeShade="bf"/>
      <w:spacing w:val="1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e7b8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8435b"/>
    <w:pPr>
      <w:spacing w:lineRule="auto" w:line="240" w:before="0" w:after="0"/>
      <w:textAlignment w:val="top"/>
    </w:pPr>
    <w:rPr>
      <w:rFonts w:ascii="Arial Unicode MS" w:hAnsi="Arial Unicode MS" w:eastAsia="Arial Unicode MS" w:cs="Arial Unicode MS"/>
      <w:color w:val="4F6B72"/>
      <w:sz w:val="18"/>
      <w:szCs w:val="18"/>
      <w:lang w:val="sw-KE" w:eastAsia="sw-K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e7b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e7b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7b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e7b87"/>
    <w:pPr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3e7b87"/>
    <w:pPr>
      <w:widowControl/>
      <w:suppressAutoHyphens w:val="true"/>
      <w:bidi w:val="0"/>
      <w:spacing w:lineRule="auto" w:line="240" w:before="0" w:after="160"/>
      <w:ind w:left="0" w:hanging="0"/>
      <w:contextualSpacing/>
      <w:jc w:val="left"/>
    </w:pPr>
    <w:rPr>
      <w:rFonts w:ascii="Cambria" w:hAnsi="Cambria" w:eastAsia="" w:cs="" w:asciiTheme="majorHAnsi" w:cstheme="majorBidi" w:eastAsiaTheme="majorEastAsia" w:hAnsiTheme="majorHAnsi"/>
      <w:smallCaps/>
      <w:color w:val="17365D" w:themeColor="text2" w:themeShade="bf"/>
      <w:spacing w:val="5"/>
      <w:kern w:val="0"/>
      <w:sz w:val="72"/>
      <w:szCs w:val="72"/>
      <w:lang w:val="en-US" w:eastAsia="en-US" w:bidi="en-US"/>
    </w:rPr>
  </w:style>
  <w:style w:type="paragraph" w:styleId="Subtitle">
    <w:name w:val="Subtitle"/>
    <w:next w:val="Normal"/>
    <w:link w:val="SubtitleChar"/>
    <w:uiPriority w:val="11"/>
    <w:qFormat/>
    <w:rsid w:val="003e7b87"/>
    <w:pPr>
      <w:widowControl/>
      <w:suppressAutoHyphens w:val="true"/>
      <w:bidi w:val="0"/>
      <w:spacing w:lineRule="auto" w:line="240" w:before="0" w:after="600"/>
      <w:ind w:left="0" w:hanging="0"/>
      <w:jc w:val="left"/>
    </w:pPr>
    <w:rPr>
      <w:rFonts w:ascii="Calibri" w:hAnsi="Calibri" w:eastAsia="" w:cs=""/>
      <w:smallCaps/>
      <w:color w:val="938953" w:themeColor="background2" w:themeShade="7f"/>
      <w:spacing w:val="5"/>
      <w:kern w:val="0"/>
      <w:sz w:val="28"/>
      <w:szCs w:val="28"/>
      <w:lang w:val="en-US" w:eastAsia="en-US" w:bidi="en-US"/>
    </w:rPr>
  </w:style>
  <w:style w:type="paragraph" w:styleId="NoSpacing">
    <w:name w:val="No Spacing"/>
    <w:basedOn w:val="Normal"/>
    <w:uiPriority w:val="1"/>
    <w:qFormat/>
    <w:rsid w:val="003e7b87"/>
    <w:pPr>
      <w:spacing w:lineRule="auto" w:line="240" w:before="0" w:after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3e7b87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87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</w:pBdr>
      <w:spacing w:lineRule="auto" w:line="300"/>
      <w:ind w:left="2506" w:right="432" w:hanging="0"/>
    </w:pPr>
    <w:rPr>
      <w:rFonts w:ascii="Cambria" w:hAnsi="Cambria" w:eastAsia="" w:cs="" w:asciiTheme="majorHAnsi" w:cstheme="majorBidi" w:eastAsiaTheme="majorEastAsia" w:hAnsiTheme="majorHAnsi"/>
      <w:smallCaps/>
      <w:color w:val="365F91" w:themeColor="accent1" w:themeShade="bf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e7b87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Application>LibreOffice/7.2.3.2$Linux_X86_64 LibreOffice_project/20$Build-2</Application>
  <AppVersion>15.0000</AppVersion>
  <Pages>2</Pages>
  <Words>323</Words>
  <Characters>1822</Characters>
  <CharactersWithSpaces>2112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2011-01-31T16:39:00Z</dcterms:created>
  <dc:creator>User</dc:creator>
  <dc:description/>
  <dc:language>en-US</dc:language>
  <cp:lastModifiedBy>John Karuitha</cp:lastModifiedBy>
  <dcterms:modified xsi:type="dcterms:W3CDTF">2021-12-09T11:23:20Z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