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auto"/>
          <w:spacing w:val="0"/>
        </w:rPr>
        <w:id w:val="1357377836"/>
        <w:docPartObj>
          <w:docPartGallery w:val="AutoText"/>
        </w:docPartObj>
      </w:sdtPr>
      <w:sdtEndPr>
        <w:rPr>
          <w:rFonts w:eastAsiaTheme="minorHAnsi"/>
          <w:color w:val="auto"/>
          <w:spacing w:val="0"/>
        </w:rPr>
      </w:sdtEndPr>
      <w:sdtContent>
        <w:p>
          <w:pPr>
            <w:pStyle w:val="7"/>
            <w:rPr>
              <w:rStyle w:val="12"/>
              <w:rFonts w:ascii="Copperplate Gothic Light" w:hAnsi="Copperplate Gothic Light"/>
              <w:sz w:val="40"/>
              <w:szCs w:val="40"/>
            </w:rPr>
          </w:pPr>
          <w:r>
            <w:rPr>
              <w:rStyle w:val="12"/>
              <w:rFonts w:ascii="Copperplate Gothic Light" w:hAnsi="Copperplate Gothic Light"/>
              <w:sz w:val="40"/>
              <w:szCs w:val="40"/>
            </w:rPr>
            <w:t>Role of Research and Development in Relation to Industry Location and Industrial Management</w:t>
          </w:r>
        </w:p>
        <w:p>
          <w:pPr>
            <w:pStyle w:val="7"/>
          </w:pPr>
        </w:p>
        <w:p>
          <w:pPr>
            <w:pStyle w:val="7"/>
          </w:pPr>
          <w:r>
            <w:t>Assignment and Presentations</w:t>
          </w:r>
        </w:p>
        <w:p/>
        <w:p>
          <w:pPr>
            <w:pStyle w:val="7"/>
            <w:rPr>
              <w:sz w:val="24"/>
              <w:szCs w:val="24"/>
            </w:rPr>
          </w:pPr>
          <w:r>
            <w:rPr>
              <w:sz w:val="24"/>
              <w:szCs w:val="24"/>
            </w:rPr>
            <w:t>Course: B. Sc. Computer Science</w:t>
          </w:r>
        </w:p>
        <w:p>
          <w:pPr>
            <w:pStyle w:val="7"/>
            <w:rPr>
              <w:sz w:val="24"/>
              <w:szCs w:val="24"/>
            </w:rPr>
          </w:pPr>
          <w:r>
            <w:rPr>
              <w:sz w:val="24"/>
              <w:szCs w:val="24"/>
            </w:rPr>
            <w:t>Jomo Kenyatta University of Agriculture and Technology</w:t>
          </w:r>
        </w:p>
        <w:p>
          <w:pPr>
            <w:pStyle w:val="7"/>
            <w:rPr>
              <w:rFonts w:ascii="Arial" w:hAnsi="Arial" w:cs="Arial"/>
              <w:color w:val="212529"/>
              <w:sz w:val="24"/>
              <w:szCs w:val="24"/>
              <w:shd w:val="clear" w:color="auto" w:fill="FFFFFF"/>
            </w:rPr>
          </w:pPr>
          <w:r>
            <w:rPr>
              <w:sz w:val="24"/>
              <w:szCs w:val="24"/>
            </w:rPr>
            <w:t xml:space="preserve">Unit: </w:t>
          </w:r>
          <w:r>
            <w:t>HRD 2104: PRINCIPLES OF MANAGEMEN</w:t>
          </w:r>
        </w:p>
        <w:p>
          <w:pPr>
            <w:rPr>
              <w:rFonts w:ascii="Arial" w:hAnsi="Arial" w:cs="Arial"/>
              <w:color w:val="212529"/>
              <w:shd w:val="clear" w:color="auto" w:fill="FFFFFF"/>
            </w:rPr>
          </w:pPr>
        </w:p>
        <w:p>
          <w:pPr>
            <w:pStyle w:val="9"/>
          </w:pPr>
          <w:r>
            <mc:AlternateContent>
              <mc:Choice Requires="wps">
                <w:drawing>
                  <wp:anchor distT="0" distB="0" distL="114300" distR="114300" simplePos="0" relativeHeight="251659264" behindDoc="1" locked="0" layoutInCell="1" allowOverlap="1">
                    <wp:simplePos x="0" y="0"/>
                    <wp:positionH relativeFrom="page">
                      <wp:posOffset>368300</wp:posOffset>
                    </wp:positionH>
                    <wp:positionV relativeFrom="page">
                      <wp:posOffset>5130800</wp:posOffset>
                    </wp:positionV>
                    <wp:extent cx="7034530" cy="266700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66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90600</wp14:pctWidth>
                    </wp14:sizeRelH>
                    <wp14:sizeRelV relativeFrom="page">
                      <wp14:pctHeight>0</wp14:pctHeight>
                    </wp14:sizeRelV>
                  </wp:anchor>
                </w:drawing>
              </mc:Choice>
              <mc:Fallback>
                <w:pict>
                  <v:shape id="_x0000_s1026" o:spid="_x0000_s1026" o:spt="202" alt="Cover page content layout" type="#_x0000_t202" style="position:absolute;left:0pt;margin-left:29pt;margin-top:404pt;height:210pt;width:553.9pt;mso-position-horizontal-relative:page;mso-position-vertical-relative:page;z-index:-251657216;mso-width-relative:page;mso-height-relative:page;mso-width-percent:906;" filled="f" stroked="f" coordsize="21600,21600" o:gfxdata="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&#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uoYjYAAAADAEAAA8AAAAAAAAAAQAgAAAAIgAAAGRy&#10;cy9kb3ducmV2LnhtbFBLAQIUABQAAAAIAIdO4kA3gFD1PgIAAIYEAAAOAAAAAAAAAAEAIAAAACcB&#10;AABkcnMvZTJvRG9jLnhtbFBLBQYAAAAABgAGAFkBAADXBQAAAAA=&#10;">
                    <v:fill on="f" focussize="0,0"/>
                    <v:stroke on="f" weight="0.5pt"/>
                    <v:imagedata o:title=""/>
                    <o:lock v:ext="edit" aspectratio="f"/>
                    <v:textbox inset="0mm,0mm,0mm,0mm">
                      <w:txbxContent>
                        <w:p/>
                      </w:txbxContent>
                    </v:textbox>
                  </v:shape>
                </w:pict>
              </mc:Fallback>
            </mc:AlternateContent>
          </w:r>
          <w:r>
            <w:t xml:space="preserve">Group Members: </w:t>
          </w:r>
        </w:p>
        <w:tbl>
          <w:tblPr>
            <w:tblStyle w:val="4"/>
            <w:tblW w:w="0" w:type="auto"/>
            <w:tblInd w:w="0" w:type="dxa"/>
            <w:tblLayout w:type="autofit"/>
            <w:tblCellMar>
              <w:top w:w="15" w:type="dxa"/>
              <w:left w:w="15" w:type="dxa"/>
              <w:bottom w:w="15" w:type="dxa"/>
              <w:right w:w="15" w:type="dxa"/>
            </w:tblCellMar>
          </w:tblPr>
          <w:tblGrid>
            <w:gridCol w:w="3060"/>
            <w:gridCol w:w="3060"/>
          </w:tblGrid>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jc w:val="center"/>
                  <w:rPr>
                    <w:rStyle w:val="10"/>
                  </w:rPr>
                </w:pPr>
                <w:r>
                  <w:rPr>
                    <w:rStyle w:val="10"/>
                  </w:rPr>
                  <w:t>Registration Number</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jc w:val="center"/>
                  <w:rPr>
                    <w:rStyle w:val="10"/>
                  </w:rPr>
                </w:pPr>
                <w:r>
                  <w:rPr>
                    <w:rStyle w:val="10"/>
                  </w:rPr>
                  <w:t>Name</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SCT211-0848/2018</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Jany Muong</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SCT211-0504/2021</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xml:space="preserve">Gatmach Yuol Nyuon </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SCT211-0081/2022</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xml:space="preserve">IRKE KONZOLO </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SCT211-0085/2022</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xml:space="preserve">Douglas Kimani Kitavi </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SCT211-0011/2022</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xml:space="preserve">Mike Kevin Mugambi </w:t>
                </w:r>
              </w:p>
            </w:tc>
          </w:tr>
          <w:tr>
            <w:tblPrEx>
              <w:tblCellMar>
                <w:top w:w="15" w:type="dxa"/>
                <w:left w:w="15" w:type="dxa"/>
                <w:bottom w:w="15" w:type="dxa"/>
                <w:right w:w="15" w:type="dxa"/>
              </w:tblCellMar>
            </w:tblPrEx>
            <w:trPr>
              <w:trHeight w:val="315" w:hRule="atLeast"/>
            </w:trPr>
            <w:tc>
              <w:tcPr>
                <w:tcW w:w="3060" w:type="dxa"/>
                <w:tcBorders>
                  <w:top w:val="single" w:color="CCCCCC" w:sz="4" w:space="0"/>
                  <w:left w:val="single" w:color="CCCCCC" w:sz="4" w:space="0"/>
                  <w:bottom w:val="single" w:color="CCCCCC" w:sz="4" w:space="0"/>
                  <w:right w:val="single" w:color="CCCCCC" w:sz="4" w:space="0"/>
                </w:tcBorders>
              </w:tcPr>
              <w:p>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SCT211-0079/2022</w:t>
                </w:r>
              </w:p>
            </w:tc>
            <w:tc>
              <w:tcPr>
                <w:tcW w:w="3060" w:type="dxa"/>
                <w:tcBorders>
                  <w:top w:val="single" w:color="CCCCCC" w:sz="4" w:space="0"/>
                  <w:left w:val="single" w:color="CCCCCC" w:sz="4" w:space="0"/>
                  <w:bottom w:val="single" w:color="CCCCCC" w:sz="4" w:space="0"/>
                  <w:right w:val="single" w:color="CCCCCC" w:sz="4" w:space="0"/>
                </w:tcBorders>
                <w:vAlign w:val="bottom"/>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xml:space="preserve">Joram Kireki </w:t>
                </w:r>
              </w:p>
            </w:tc>
          </w:tr>
        </w:tbl>
        <w:p/>
        <w:tbl>
          <w:tblPr>
            <w:tblStyle w:val="4"/>
            <w:tblpPr w:leftFromText="180" w:rightFromText="180" w:vertAnchor="text" w:horzAnchor="margin" w:tblpXSpec="center" w:tblpY="32"/>
            <w:tblW w:w="5904" w:type="pct"/>
            <w:tblDescription w:val="Cover page info"/>
            <w:tblInd w:w="0" w:type="dxa"/>
            <w:tblLayout w:type="autofit"/>
            <w:tblCellMar>
              <w:top w:w="0" w:type="dxa"/>
              <w:left w:w="0" w:type="dxa"/>
              <w:bottom w:w="0" w:type="dxa"/>
              <w:right w:w="0" w:type="dxa"/>
            </w:tblCellMar>
          </w:tblPr>
          <w:tblGrid>
            <w:gridCol w:w="818"/>
            <w:gridCol w:w="10234"/>
          </w:tblGrid>
          <w:tr>
            <w:tblPrEx>
              <w:tblCellMar>
                <w:top w:w="0" w:type="dxa"/>
                <w:left w:w="0" w:type="dxa"/>
                <w:bottom w:w="0" w:type="dxa"/>
                <w:right w:w="0" w:type="dxa"/>
              </w:tblCellMar>
            </w:tblPrEx>
            <w:trPr>
              <w:trHeight w:val="2376" w:hRule="atLeast"/>
            </w:trPr>
            <w:tc>
              <w:tcPr>
                <w:tcW w:w="370" w:type="pct"/>
                <w:shd w:val="clear" w:color="auto" w:fill="5B9BD5" w:themeFill="accent1"/>
              </w:tcPr>
              <w:p/>
            </w:tc>
            <w:tc>
              <w:tcPr>
                <w:tcW w:w="4630" w:type="pct"/>
                <w:shd w:val="clear" w:color="auto" w:fill="3F3F3F" w:themeFill="text1" w:themeFillTint="BF"/>
              </w:tcPr>
              <w:p>
                <w:pPr>
                  <w:pStyle w:val="9"/>
                  <w:spacing w:before="240" w:line="216" w:lineRule="auto"/>
                  <w:ind w:left="360" w:right="360"/>
                  <w:contextualSpacing/>
                  <w:rPr>
                    <w:rFonts w:asciiTheme="majorHAnsi" w:hAnsiTheme="majorHAnsi"/>
                    <w:color w:val="FFFFFF" w:themeColor="background1"/>
                    <w:sz w:val="96"/>
                    <w:szCs w:val="96"/>
                    <w14:textFill>
                      <w14:solidFill>
                        <w14:schemeClr w14:val="bg1"/>
                      </w14:solidFill>
                    </w14:textFill>
                  </w:rPr>
                </w:pPr>
                <w:r>
                  <w:rPr>
                    <w:rFonts w:asciiTheme="majorHAnsi" w:hAnsiTheme="majorHAnsi"/>
                    <w:color w:val="FFFFFF" w:themeColor="background1"/>
                    <w:sz w:val="96"/>
                    <w:szCs w:val="96"/>
                    <w14:textFill>
                      <w14:solidFill>
                        <w14:schemeClr w14:val="bg1"/>
                      </w14:solidFill>
                    </w14:textFill>
                  </w:rPr>
                  <w:t xml:space="preserve">Assignment II – </w:t>
                </w:r>
                <w:sdt>
                  <w:sdtPr>
                    <w:rPr>
                      <w:rFonts w:asciiTheme="majorHAnsi" w:hAnsiTheme="majorHAnsi"/>
                      <w:color w:val="FFFFFF" w:themeColor="background1"/>
                      <w:sz w:val="96"/>
                      <w:szCs w:val="96"/>
                      <w14:textFill>
                        <w14:solidFill>
                          <w14:schemeClr w14:val="bg1"/>
                        </w14:solidFill>
                      </w14:textFill>
                    </w:rPr>
                    <w:alias w:val="Title"/>
                    <w:id w:val="739824258"/>
                    <w:placeholder>
                      <w:docPart w:val="B079EC51793D464FB080B220904895D6"/>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96"/>
                      <w:szCs w:val="96"/>
                      <w14:textFill>
                        <w14:solidFill>
                          <w14:schemeClr w14:val="bg1"/>
                        </w14:solidFill>
                      </w14:textFill>
                    </w:rPr>
                  </w:sdtEndPr>
                  <w:sdtContent>
                    <w:r>
                      <w:rPr>
                        <w:rFonts w:asciiTheme="majorHAnsi" w:hAnsiTheme="majorHAnsi"/>
                        <w:color w:val="FFFFFF" w:themeColor="background1"/>
                        <w:sz w:val="96"/>
                        <w:szCs w:val="96"/>
                        <w14:textFill>
                          <w14:solidFill>
                            <w14:schemeClr w14:val="bg1"/>
                          </w14:solidFill>
                        </w14:textFill>
                      </w:rPr>
                      <w:t>CAT</w:t>
                    </w:r>
                  </w:sdtContent>
                </w:sdt>
              </w:p>
            </w:tc>
          </w:tr>
          <w:tr>
            <w:tblPrEx>
              <w:tblCellMar>
                <w:top w:w="0" w:type="dxa"/>
                <w:left w:w="0" w:type="dxa"/>
                <w:bottom w:w="0" w:type="dxa"/>
                <w:right w:w="0" w:type="dxa"/>
              </w:tblCellMar>
            </w:tblPrEx>
            <w:trPr>
              <w:trHeight w:val="648" w:hRule="exact"/>
            </w:trPr>
            <w:tc>
              <w:tcPr>
                <w:tcW w:w="370" w:type="pct"/>
                <w:shd w:val="clear" w:color="auto" w:fill="5B9BD5" w:themeFill="accent1"/>
              </w:tcPr>
              <w:p/>
            </w:tc>
            <w:tc>
              <w:tcPr>
                <w:tcW w:w="4630" w:type="pct"/>
                <w:shd w:val="clear" w:color="auto" w:fill="3F3F3F" w:themeFill="text1" w:themeFillTint="BF"/>
                <w:vAlign w:val="bottom"/>
              </w:tcPr>
              <w:p>
                <w:pPr>
                  <w:ind w:left="360" w:right="360"/>
                  <w:rPr>
                    <w:color w:val="FFFFFF" w:themeColor="background1"/>
                    <w:sz w:val="28"/>
                    <w:szCs w:val="28"/>
                    <w14:textFill>
                      <w14:solidFill>
                        <w14:schemeClr w14:val="bg1"/>
                      </w14:solidFill>
                    </w14:textFill>
                  </w:rPr>
                </w:pPr>
              </w:p>
            </w:tc>
          </w:tr>
          <w:tr>
            <w:tblPrEx>
              <w:tblCellMar>
                <w:top w:w="0" w:type="dxa"/>
                <w:left w:w="0" w:type="dxa"/>
                <w:bottom w:w="0" w:type="dxa"/>
                <w:right w:w="0" w:type="dxa"/>
              </w:tblCellMar>
            </w:tblPrEx>
            <w:tc>
              <w:tcPr>
                <w:tcW w:w="370" w:type="pct"/>
                <w:shd w:val="clear" w:color="auto" w:fill="5B9BD5" w:themeFill="accent1"/>
              </w:tcPr>
              <w:p/>
            </w:tc>
            <w:tc>
              <w:tcPr>
                <w:tcW w:w="4630" w:type="pct"/>
                <w:shd w:val="clear" w:color="auto" w:fill="3F3F3F" w:themeFill="text1" w:themeFillTint="BF"/>
                <w:vAlign w:val="bottom"/>
              </w:tcPr>
              <w:p>
                <w:pPr>
                  <w:pStyle w:val="9"/>
                  <w:spacing w:line="288" w:lineRule="auto"/>
                  <w:ind w:left="360" w:right="360"/>
                  <w:rPr>
                    <w:color w:val="FFFFFF" w:themeColor="background1"/>
                    <w:sz w:val="28"/>
                    <w:szCs w:val="28"/>
                    <w14:textFill>
                      <w14:solidFill>
                        <w14:schemeClr w14:val="bg1"/>
                      </w14:solidFill>
                    </w14:textFill>
                  </w:rPr>
                </w:pPr>
                <w:sdt>
                  <w:sdtPr>
                    <w:rPr>
                      <w:b/>
                      <w:color w:val="FFFFFF" w:themeColor="background1"/>
                      <w14:textFill>
                        <w14:solidFill>
                          <w14:schemeClr w14:val="bg1"/>
                        </w14:solidFill>
                      </w14:textFill>
                    </w:rPr>
                    <w:alias w:val="Author"/>
                    <w:id w:val="942812742"/>
                    <w:placeholder>
                      <w:docPart w:val="F7CCA301C4974C73A750BE3D60193178"/>
                    </w:placeholder>
                    <w:dataBinding w:prefixMappings="xmlns:ns0='http://purl.org/dc/elements/1.1/' xmlns:ns1='http://schemas.openxmlformats.org/package/2006/metadata/core-properties' " w:xpath="/ns1:coreProperties[1]/ns0:creator[1]" w:storeItemID="{6C3C8BC8-F283-45AE-878A-BAB7291924A1}"/>
                    <w:text/>
                  </w:sdtPr>
                  <w:sdtEndPr>
                    <w:rPr>
                      <w:b/>
                      <w:color w:val="FFFFFF" w:themeColor="background1"/>
                      <w14:textFill>
                        <w14:solidFill>
                          <w14:schemeClr w14:val="bg1"/>
                        </w14:solidFill>
                      </w14:textFill>
                    </w:rPr>
                  </w:sdtEndPr>
                  <w:sdtContent>
                    <w:r>
                      <w:rPr>
                        <w:b/>
                        <w:color w:val="FFFFFF" w:themeColor="background1"/>
                        <w14:textFill>
                          <w14:solidFill>
                            <w14:schemeClr w14:val="bg1"/>
                          </w14:solidFill>
                        </w14:textFill>
                      </w:rPr>
                      <w:t>For Group A6 HRD2104: Management</w:t>
                    </w:r>
                  </w:sdtContent>
                </w:sdt>
              </w:p>
              <w:sdt>
                <w:sdtPr>
                  <w:rPr>
                    <w:b/>
                    <w:color w:val="FFFFFF" w:themeColor="background1"/>
                    <w14:textFill>
                      <w14:solidFill>
                        <w14:schemeClr w14:val="bg1"/>
                      </w14:solidFill>
                    </w14:textFill>
                  </w:rPr>
                  <w:alias w:val="Date"/>
                  <w:id w:val="748164578"/>
                  <w:placeholder>
                    <w:docPart w:val="0EEAAADC7B5F43DBA017F150CD3FB5C4"/>
                  </w:placeholder>
                  <w:dataBinding w:prefixMappings="xmlns:ns0='http://schemas.microsoft.com/office/2006/coverPageProps' " w:xpath="/ns0:CoverPageProperties[1]/ns0:PublishDate[1]" w:storeItemID="{55AF091B-3C7A-41E3-B477-F2FDAA23CFDA}"/>
                  <w:date w:fullDate="2024-11-03T00:00:00Z">
                    <w:dateFormat w:val="M/d/yy"/>
                    <w:lid w:val="en-US"/>
                    <w:storeMappedDataAs w:val="datetime"/>
                    <w:calendar w:val="gregorian"/>
                  </w:date>
                </w:sdtPr>
                <w:sdtEndPr>
                  <w:rPr>
                    <w:b/>
                    <w:color w:val="FFFFFF" w:themeColor="background1"/>
                    <w14:textFill>
                      <w14:solidFill>
                        <w14:schemeClr w14:val="bg1"/>
                      </w14:solidFill>
                    </w14:textFill>
                  </w:rPr>
                </w:sdtEndPr>
                <w:sdtContent>
                  <w:p>
                    <w:pPr>
                      <w:pStyle w:val="9"/>
                      <w:spacing w:after="240" w:line="288" w:lineRule="auto"/>
                      <w:ind w:left="360" w:right="360"/>
                      <w:rPr>
                        <w:color w:val="FFFFFF" w:themeColor="background1"/>
                        <w:sz w:val="28"/>
                        <w:szCs w:val="28"/>
                        <w14:textFill>
                          <w14:solidFill>
                            <w14:schemeClr w14:val="bg1"/>
                          </w14:solidFill>
                        </w14:textFill>
                      </w:rPr>
                    </w:pPr>
                    <w:r>
                      <w:rPr>
                        <w:b/>
                        <w:color w:val="FFFFFF" w:themeColor="background1"/>
                        <w14:textFill>
                          <w14:solidFill>
                            <w14:schemeClr w14:val="bg1"/>
                          </w14:solidFill>
                        </w14:textFill>
                      </w:rPr>
                      <w:t>11/3/24</w:t>
                    </w:r>
                  </w:p>
                </w:sdtContent>
              </w:sdt>
            </w:tc>
          </w:tr>
        </w:tbl>
        <w:p/>
      </w:sdtContent>
    </w:sdt>
    <w:p>
      <w:pPr>
        <w:rPr>
          <w:rStyle w:val="13"/>
          <w:rFonts w:eastAsiaTheme="minorEastAsia"/>
          <w:spacing w:val="15"/>
          <w:sz w:val="32"/>
          <w:szCs w:val="32"/>
        </w:rPr>
      </w:pPr>
      <w:r>
        <w:rPr>
          <w:rStyle w:val="13"/>
          <w:sz w:val="32"/>
          <w:szCs w:val="32"/>
        </w:rPr>
        <w:br w:type="page"/>
      </w:r>
    </w:p>
    <w:p>
      <w:pPr>
        <w:pStyle w:val="7"/>
        <w:rPr>
          <w:rStyle w:val="13"/>
          <w:sz w:val="32"/>
          <w:szCs w:val="32"/>
        </w:rPr>
      </w:pPr>
      <w:r>
        <w:rPr>
          <w:rStyle w:val="13"/>
          <w:sz w:val="32"/>
          <w:szCs w:val="32"/>
        </w:rPr>
        <w:t>Introduction:</w:t>
      </w:r>
    </w:p>
    <w:p/>
    <w:p>
      <w:r>
        <w:t>The world technologies are fast transforming as we sleep by night. What is it that these emerging industrial nations are doing to up their market standards and quality of</w:t>
      </w:r>
      <w:bookmarkStart w:id="0" w:name="_GoBack"/>
      <w:bookmarkEnd w:id="0"/>
      <w:r>
        <w:t xml:space="preserve"> life? The secret is sound and effective research which leads to development. Research and Development (R&amp;D) stands as the cornerstone for driving innovation and fostering growth within industries. Let me illustrate it by way of an example. Mr. Juan is a shoe manufacturer at Bizz Industry. The shoes that he designs and manufacturers have a ready market – primary school children. For Mr. Juan‘s business to keep ahead of the market, he has to think continuously about how best he can improve the design of his shoes in order to maintain his client base. This is easy because when he sells shoes, after how long do his clients come back to purchase new pairs of shoes? As eluded to before, Mr. Juan has a semi-permanent client base. He can converse with them and inquire on the problems the children have with the shoes when worn to school. He can also ask them to suggest other aspects that they may wish to be factored into the design to make the shoes more durable. Once Mr. Juan has established the problems and possible to the same, he may now begin playing around with his skills to come with a school shoe that does not wear out quickly in the rain, or a shoe that does not bend in line with shape of the feet. All the consultations that l have indicated to be taken by Mr. Juan is what one would term research. When such research is conducted successfully, then we can say its development because we have moved from one phase to another. In this paper, we delve into the intricate relationship between R&amp;D, industry location, and industrial management. Through insightful analysis and relevant examples, we aim to elucidate how R&amp;D activities influence strategic decisions regarding industry location and subsequently shape industrial management practices.</w:t>
      </w:r>
    </w:p>
    <w:p/>
    <w:p>
      <w:pPr>
        <w:pStyle w:val="9"/>
        <w:rPr>
          <w:b/>
          <w:bCs/>
          <w:smallCaps/>
          <w:color w:val="5B9BD5" w:themeColor="accent1"/>
          <w:spacing w:val="5"/>
          <w14:textFill>
            <w14:solidFill>
              <w14:schemeClr w14:val="accent1"/>
            </w14:solidFill>
          </w14:textFill>
        </w:rPr>
      </w:pPr>
      <w:r>
        <w:rPr>
          <w:rStyle w:val="10"/>
        </w:rPr>
        <w:t>Role of Research and Development in Industry Location:</w:t>
      </w:r>
    </w:p>
    <w:p>
      <w:pPr>
        <w:pStyle w:val="14"/>
        <w:numPr>
          <w:ilvl w:val="0"/>
          <w:numId w:val="1"/>
        </w:numPr>
        <w:rPr>
          <w:rFonts w:hint="default"/>
          <w:lang w:val="en-US"/>
        </w:rPr>
      </w:pPr>
      <w:r>
        <w:rPr>
          <w:b/>
        </w:rPr>
        <w:t>Strategic Site Selection:</w:t>
      </w:r>
      <w:r>
        <w:t xml:space="preserve"> </w:t>
      </w:r>
      <w:r>
        <w:rPr>
          <w:rFonts w:hint="default"/>
        </w:rPr>
        <w:t>Industrial management applies research and development  insights to strategic decision-making and efficient resource allocation. Research-driven data analytics, for example, improve inventory management, streamline operations, and raise customer happiness. Take Amazon's use of machine learning and predictive analytics in its fulfilment centres as an example. Industrial managers may acquire a competitive edge and propel corporate growth by incorporating research and development results into decision-making processes.</w:t>
      </w:r>
    </w:p>
    <w:p/>
    <w:p>
      <w:pPr>
        <w:pStyle w:val="14"/>
        <w:numPr>
          <w:ilvl w:val="0"/>
          <w:numId w:val="1"/>
        </w:numPr>
      </w:pPr>
      <w:r>
        <w:rPr>
          <w:b/>
        </w:rPr>
        <w:t xml:space="preserve">Innovation Ecosystems and Cluster Formation: </w:t>
      </w:r>
      <w:r>
        <w:t>R&amp;D fosters the creation of innovation ecosystems and industry clusters in specific geographical regions. Take the example of the Research Triangle Park (RTP) in North Carolina, USA. Founded on the principles of collaboration between industry, academia, and government, RTP has evolved into a thriving hub for technology-driven companies. By nurturing R&amp;D collaborations and knowledge exchange, RTP has attracted leading companies such as IBM and Cisco, catalyzing innovation and economic growth in the region.</w:t>
      </w:r>
    </w:p>
    <w:p/>
    <w:p>
      <w:pPr>
        <w:keepNext w:val="0"/>
        <w:keepLines w:val="0"/>
        <w:widowControl/>
        <w:numPr>
          <w:ilvl w:val="0"/>
          <w:numId w:val="1"/>
        </w:numPr>
        <w:suppressLineNumbers w:val="0"/>
        <w:spacing w:before="0" w:beforeAutospacing="0" w:after="160" w:afterAutospacing="0" w:line="256" w:lineRule="auto"/>
        <w:ind w:left="720" w:leftChars="0" w:right="0" w:hanging="360" w:firstLineChars="0"/>
        <w:jc w:val="left"/>
        <w:rPr>
          <w:lang w:val="en-US"/>
        </w:rPr>
      </w:pPr>
      <w:r>
        <w:rPr>
          <w:b/>
        </w:rPr>
        <w:t>Market Adaptation and Localization:</w:t>
      </w:r>
      <w:r>
        <w:rPr>
          <w:rFonts w:hint="eastAsia" w:ascii="Calibri" w:hAnsi="Calibri" w:eastAsia="Calibri" w:cs="Times New Roman"/>
          <w:kern w:val="2"/>
          <w:sz w:val="22"/>
          <w:szCs w:val="22"/>
          <w:lang w:val="en-US" w:eastAsia="zh-CN" w:bidi="ar"/>
        </w:rPr>
        <w:t>Through R&amp;D, companies can tailor their products and processes to meet the specific preferences and legal requirements of local markets. McDonald's has executed a clever strategy of menu localization, serving as an exemplar of this approach. McDonald's employs market research and consumer surveys to customize its menus in line with local preferences and cultural norms. The company's success in multiple global markets is largely due to R&amp;D-led localization initiatives, which improve customer satisfaction and profitability. McDonald's demonstrates the effectiveness of R&amp;D in adapting to local circumstances and tailoring Seamlessly to suit the varied tastes of consumers worldwide.</w:t>
      </w:r>
    </w:p>
    <w:p>
      <w:pPr>
        <w:pStyle w:val="14"/>
        <w:numPr>
          <w:numId w:val="0"/>
        </w:numPr>
        <w:ind w:left="360" w:leftChars="0"/>
      </w:pPr>
    </w:p>
    <w:p>
      <w:pPr>
        <w:rPr>
          <w:rFonts w:cstheme="minorHAnsi"/>
        </w:rPr>
      </w:pPr>
    </w:p>
    <w:p>
      <w:pPr>
        <w:pStyle w:val="14"/>
        <w:numPr>
          <w:ilvl w:val="0"/>
          <w:numId w:val="1"/>
        </w:numPr>
        <w:rPr>
          <w:rFonts w:cstheme="minorHAnsi"/>
          <w:color w:val="0D0D0D"/>
          <w:shd w:val="clear" w:color="auto" w:fill="FFFFFF"/>
        </w:rPr>
      </w:pPr>
      <w:r>
        <w:rPr>
          <w:rFonts w:cstheme="minorHAnsi"/>
          <w:b/>
          <w:bCs/>
        </w:rPr>
        <w:t>Skilled Workforce:</w:t>
      </w:r>
      <w:r>
        <w:rPr>
          <w:rFonts w:cstheme="minorHAnsi"/>
          <w:bCs/>
        </w:rPr>
        <w:t xml:space="preserve"> </w:t>
      </w:r>
      <w:r>
        <w:rPr>
          <w:rFonts w:cstheme="minorHAnsi"/>
          <w:color w:val="0D0D0D"/>
          <w:shd w:val="clear" w:color="auto" w:fill="FFFFFF"/>
        </w:rPr>
        <w:t>R&amp;D efforts are closely tied to educational institutions that produce a skilled workforce. Industries strategically located near these institutions to tap into a pool of talented professionals emerging from programs aligned with the latest technological developments. An example is Google that is in Silicon Valley because of the nearby leading research institutes. Moreover, Industry hubs often emerge in locations with a high concentration of skilled workers. R&amp;D contributes to the creation of such hubs by attracting and retaining a knowledgeable workforce, which is crucial for sustaining innovation and industry growth. A prime example is Apple, that also strategically positions itself at Silicon Valley to benefit from the collaborative R&amp;D ecosystem, attracting top talent and fostering technological breakthroughs that shape the global consumer electronics market.</w:t>
      </w:r>
    </w:p>
    <w:p>
      <w:pPr>
        <w:rPr>
          <w:rFonts w:cstheme="minorHAnsi"/>
        </w:rPr>
      </w:pPr>
    </w:p>
    <w:p>
      <w:pPr>
        <w:pStyle w:val="14"/>
        <w:numPr>
          <w:ilvl w:val="0"/>
          <w:numId w:val="1"/>
        </w:numPr>
        <w:rPr>
          <w:rFonts w:cstheme="minorHAnsi"/>
        </w:rPr>
      </w:pPr>
      <w:r>
        <w:rPr>
          <w:rFonts w:cstheme="minorHAnsi"/>
          <w:b/>
          <w:bCs/>
        </w:rPr>
        <w:t xml:space="preserve">Government Policies: </w:t>
      </w:r>
      <w:r>
        <w:rPr>
          <w:rFonts w:cstheme="minorHAnsi"/>
        </w:rPr>
        <w:t>Government R&amp;D subsidies and regulations have a major impact on where industries locate. Industries seeking to maximise their R&amp;D investments are often drawn to areas with pro-research government policies, such as tax incentives. An example is The Revolut, a FinTech startup headquartered in London. Revolut's advantageous location enables the company to participate in the vibrant financial ecosystem of the city, work with fintech companies, and take advantage of the innovative atmosphere fostered by continuous research and development in the finance sector.</w:t>
      </w:r>
    </w:p>
    <w:p>
      <w:pPr>
        <w:rPr>
          <w:rFonts w:cstheme="minorHAnsi"/>
        </w:rPr>
      </w:pPr>
    </w:p>
    <w:p>
      <w:pPr>
        <w:pStyle w:val="14"/>
        <w:numPr>
          <w:ilvl w:val="0"/>
          <w:numId w:val="1"/>
        </w:numPr>
      </w:pPr>
      <w:r>
        <w:rPr>
          <w:rFonts w:cstheme="minorHAnsi"/>
          <w:b/>
          <w:bCs/>
        </w:rPr>
        <w:t xml:space="preserve">Specialization and Expertise: </w:t>
      </w:r>
      <w:r>
        <w:t>Specialisation is encouraged by global collaboration, with various regions concentrating on certain fields of competence. This idea causes industries to disperse according to how well they match the unique skills and expertise of various geographical areas. For example, Germany's concentration on precision engineering and automotive research has resulted in the global success of businesses such as BMW and Mercedes-Benz, which strategically place themselves in locations recognised for their specialised industrial skills.</w:t>
      </w:r>
    </w:p>
    <w:p/>
    <w:p>
      <w:pPr>
        <w:rPr>
          <w:rFonts w:cstheme="minorHAnsi"/>
        </w:rPr>
      </w:pPr>
    </w:p>
    <w:p/>
    <w:p/>
    <w:p/>
    <w:p>
      <w:pPr>
        <w:pStyle w:val="9"/>
      </w:pPr>
      <w:r>
        <w:rPr>
          <w:rStyle w:val="10"/>
        </w:rPr>
        <w:t>Implications for Industrial Management</w:t>
      </w:r>
      <w:r>
        <w:t>:</w:t>
      </w:r>
    </w:p>
    <w:p>
      <w:pPr>
        <w:pStyle w:val="9"/>
      </w:pPr>
    </w:p>
    <w:p>
      <w:pPr>
        <w:pStyle w:val="14"/>
        <w:numPr>
          <w:ilvl w:val="0"/>
          <w:numId w:val="2"/>
        </w:numPr>
      </w:pPr>
      <w:r>
        <w:rPr>
          <w:b/>
        </w:rPr>
        <w:t>Strategic Decision-Making and Resource Allocation:</w:t>
      </w:r>
      <w:r>
        <w:t xml:space="preserve"> Industrial management leverages R&amp;D insights to make informed strategic decisions and allocate resources effectively. For instance, Amazon's use of predictive analytics and machine learning algorithms in its fulfillment centers exemplifies how R&amp;D-driven data analytics optimize inventory management, streamline operations, and enhance customer satisfaction. By integrating R&amp;D findings into decision-making processes, industrial managers gain a competitive edge and drive business growth.</w:t>
      </w:r>
    </w:p>
    <w:p/>
    <w:p>
      <w:pPr>
        <w:pStyle w:val="14"/>
        <w:numPr>
          <w:ilvl w:val="0"/>
          <w:numId w:val="2"/>
        </w:numPr>
      </w:pPr>
      <w:r>
        <w:rPr>
          <w:b/>
        </w:rPr>
        <w:t>Risk Mitigation and Continuous Improvement:</w:t>
      </w:r>
      <w:r>
        <w:t xml:space="preserve"> R&amp;D serves as a proactive tool for risk mitigation and continuous improvement in industrial management. Consider the case of Toyota's renowned Toyota Production System (TPS). Rooted in R&amp;D-driven principles such as just-in-time manufacturing and kaizen (continuous improvement), TPS enables Toyota to identify and address operational inefficiencies promptly. By fostering a culture of experimentation and learning, R&amp;D empowers industrial managers to mitigate risks, drive efficiency gains, and achieve operational excellence.</w:t>
      </w:r>
    </w:p>
    <w:p/>
    <w:p>
      <w:pPr>
        <w:pStyle w:val="14"/>
        <w:numPr>
          <w:ilvl w:val="0"/>
          <w:numId w:val="2"/>
        </w:numPr>
      </w:pPr>
      <w:r>
        <w:rPr>
          <w:b/>
        </w:rPr>
        <w:t xml:space="preserve">Talent Development and Innovation Culture: </w:t>
      </w:r>
      <w:r>
        <w:t>Industrial management nurtures an innovation culture by investing in talent development and R&amp;D capabilities. For example, Google's "20% time" policy allows employees to dedicate a portion of their workweek to pursuing passion projects and R&amp;D initiatives. This approach not only fosters employee creativity and engagement but also fuels innovation across Google's diverse product portfolio. By encouraging R&amp;D-driven experimentation and collaboration, industrial managers cultivate a dynamic and innovative workforce that drives organizational success.</w:t>
      </w:r>
    </w:p>
    <w:p/>
    <w:p>
      <w:pPr>
        <w:pStyle w:val="14"/>
        <w:numPr>
          <w:ilvl w:val="0"/>
          <w:numId w:val="2"/>
        </w:numPr>
        <w:rPr>
          <w:rFonts w:cstheme="minorHAnsi"/>
          <w:color w:val="0D0D0D"/>
          <w:shd w:val="clear" w:color="auto" w:fill="FFFFFF"/>
        </w:rPr>
      </w:pPr>
      <w:r>
        <w:rPr>
          <w:b/>
          <w:bCs/>
        </w:rPr>
        <w:t xml:space="preserve">Innovation and Product Development: </w:t>
      </w:r>
      <w:r>
        <w:t>R&amp;D is critical to industrial management because it generates innovation and ensures that businesses stay competitive in a continually changing market. Continuous research enables organisations to produce new goods, services, and processes, hence preserving a competitive advantage</w:t>
      </w:r>
      <w:r>
        <w:rPr>
          <w:rFonts w:cstheme="minorHAnsi"/>
        </w:rPr>
        <w:t xml:space="preserve">. </w:t>
      </w:r>
      <w:r>
        <w:rPr>
          <w:rFonts w:cstheme="minorHAnsi"/>
          <w:color w:val="0D0D0D"/>
          <w:shd w:val="clear" w:color="auto" w:fill="FFFFFF"/>
        </w:rPr>
        <w:t>R&amp;D also contributes to managing the entire lifecycle of a product. From conception and development to improvements and eventual obsolescence, industrial management relies on research-driven insights to make informed decisions at each stage. Example, Naspers, a multinational media group headquartered in South Africa, has embraced innovation through its ventures in technology and e-commerce. The company invests in R&amp;D to develop and enhance digital platforms, contributing to the evolution of online marketplaces and content delivery systems.</w:t>
      </w:r>
    </w:p>
    <w:p>
      <w:pPr>
        <w:rPr>
          <w:rFonts w:cstheme="minorHAnsi"/>
          <w:color w:val="0D0D0D"/>
          <w:shd w:val="clear" w:color="auto" w:fill="FFFFFF"/>
        </w:rPr>
      </w:pPr>
    </w:p>
    <w:p>
      <w:pPr>
        <w:pStyle w:val="14"/>
        <w:numPr>
          <w:ilvl w:val="0"/>
          <w:numId w:val="2"/>
        </w:numPr>
      </w:pPr>
      <w:r>
        <w:rPr>
          <w:rFonts w:cstheme="minorHAnsi"/>
          <w:b/>
          <w:bCs/>
          <w:color w:val="0D0D0D"/>
          <w:shd w:val="clear" w:color="auto" w:fill="FFFFFF"/>
        </w:rPr>
        <w:t xml:space="preserve">Adaptability to Market Trends: </w:t>
      </w:r>
      <w:r>
        <w:t>Important market intelligence is supplied to industry managers by research initiatives. By comprehending consumer inclinations, industry trends, and developing technology, businesses may modify their approaches appropriately and maintain their competitive edge in an ever-changing business landscape. R&amp;D promotes agile management techniques by allowing organisations to react swiftly to market developments. Companies that incorporate research results into their decision-making processes may make better informed decisions about their strategy, product offers, and operations. An example is, Cellulant, a digital payments platform in Nigeria, showcases adaptability to market trends. The company continuously invests in R&amp;D to align its services with evolving consumer preferences and digital payment trends in the African market, ensuring relevance and competitiveness.</w:t>
      </w:r>
    </w:p>
    <w:p>
      <w:pPr>
        <w:pStyle w:val="14"/>
      </w:pPr>
    </w:p>
    <w:p>
      <w:pPr>
        <w:pStyle w:val="14"/>
        <w:numPr>
          <w:ilvl w:val="0"/>
          <w:numId w:val="2"/>
        </w:numPr>
      </w:pPr>
      <w:r>
        <w:rPr>
          <w:b/>
          <w:bCs/>
        </w:rPr>
        <w:t xml:space="preserve">Operational Efficiency and Cost Management: </w:t>
      </w:r>
      <w:r>
        <w:t>Research-driven insights help to optimise industrial operations. From production to supply chain management, R&amp;D identifies opportunities for improvement, resulting in enhanced operational efficiency and cost savings. R&amp;D data is used by industrial managers to help them decide how best to allocate resources. Effective resource management is supported by research, whether it is by funding innovative initiatives, streamlining manufacturing processes, or making investments in environmentally friendly activities. For instance, Nigeria's Dangote Group is a diverse corporation that prioritises operational efficiency via research and development in industries including manufacturing, infrastructure, and agriculture. Dangote Group effectively manages costs by investing in new technologies and streamlining manufacturing processes.</w:t>
      </w:r>
    </w:p>
    <w:p/>
    <w:p>
      <w:pPr>
        <w:numPr>
          <w:ilvl w:val="0"/>
          <w:numId w:val="2"/>
        </w:numPr>
        <w:ind w:left="720" w:leftChars="0" w:hanging="360" w:firstLineChars="0"/>
      </w:pPr>
      <w:r>
        <w:rPr>
          <w:rFonts w:hint="default"/>
          <w:b/>
          <w:bCs/>
        </w:rPr>
        <w:t>Environmental and Social Responsibility:</w:t>
      </w:r>
      <w:r>
        <w:rPr>
          <w:rFonts w:hint="default"/>
        </w:rPr>
        <w:t xml:space="preserve"> Research and development are required for creating and implementing sustainable methods. Industrial managers use research findings to lower ecological footprints, improve environmental stewardship, and fulfil the rising need for socially responsible business operations. By integrating research and development knowledge to CSR projects, industrial managers may help their businesses fit with social and environmental goals. Strategic integration promotes a good company image and boosts consumer loyalty. Solar Sister, for example, emphasises social and environmental responsibility via research and development and operates in a number of African nations. The organisation supports sustainable practices and beneficial social impact while investing in new solar solutions to combat energy poverty.</w:t>
      </w:r>
    </w:p>
    <w:p/>
    <w:p/>
    <w:p/>
    <w:p>
      <w:pPr>
        <w:ind w:left="360"/>
      </w:pPr>
    </w:p>
    <w:p>
      <w:pPr>
        <w:rPr>
          <w:rFonts w:cstheme="minorHAnsi"/>
        </w:rPr>
      </w:pPr>
    </w:p>
    <w:p/>
    <w:p/>
    <w:p/>
    <w:p/>
    <w:p>
      <w:pPr>
        <w:pStyle w:val="9"/>
      </w:pPr>
      <w:r>
        <w:rPr>
          <w:rStyle w:val="13"/>
          <w:sz w:val="32"/>
          <w:szCs w:val="32"/>
        </w:rPr>
        <w:t>Conclusion:</w:t>
      </w:r>
    </w:p>
    <w:p>
      <w:r>
        <w:rPr>
          <w:rFonts w:hint="eastAsia" w:ascii="Calibri" w:hAnsi="Calibri" w:eastAsia="Calibri"/>
          <w:kern w:val="2"/>
          <w:sz w:val="22"/>
          <w:szCs w:val="22"/>
          <w:lang w:val="en-US" w:eastAsia="zh-CN"/>
        </w:rPr>
        <w:t>In conclusion, research and development in ecosystems present a range of challenges that require innovative approaches and collaborative efforts. By addressing the lack of resources, embracing uncertainty, engaging stakeholders, improving data collection and analysis, adhering to regulations, and ensuring effective implementation, organizations can overcome these challenges and drive innovation in ecosystem research and development.</w:t>
      </w:r>
    </w:p>
    <w:p>
      <w:pPr>
        <w:rPr>
          <w:rStyle w:val="13"/>
          <w:sz w:val="32"/>
          <w:szCs w:val="32"/>
        </w:rPr>
      </w:pPr>
      <w:r>
        <w:rPr>
          <w:rStyle w:val="13"/>
          <w:sz w:val="32"/>
          <w:szCs w:val="32"/>
        </w:rPr>
        <w:t>References:</w:t>
      </w:r>
    </w:p>
    <w:p/>
    <w:p>
      <w:pPr>
        <w:pStyle w:val="15"/>
        <w:widowControl/>
        <w:ind w:left="720" w:hanging="720"/>
        <w:rPr>
          <w:kern w:val="0"/>
          <w:sz w:val="24"/>
          <w:szCs w:val="24"/>
          <w:lang w:val="en-US"/>
        </w:rPr>
      </w:pPr>
      <w:r>
        <w:rPr>
          <w:lang w:val="en-US"/>
        </w:rPr>
        <w:fldChar w:fldCharType="begin"/>
      </w:r>
      <w:r>
        <w:rPr>
          <w:lang w:val="en-US"/>
        </w:rPr>
        <w:instrText xml:space="preserve"> BIBLIOGRAPHY </w:instrText>
      </w:r>
      <w:r>
        <w:rPr>
          <w:lang w:val="en-US"/>
        </w:rPr>
        <w:fldChar w:fldCharType="separate"/>
      </w:r>
      <w:r>
        <w:rPr>
          <w:lang w:val="en-US"/>
        </w:rPr>
        <w:t xml:space="preserve">Khan, M. A. (2022). Cultural differences and McDonald's: a multi-country comparative study. </w:t>
      </w:r>
      <w:r>
        <w:rPr>
          <w:i/>
          <w:iCs/>
          <w:lang w:val="en-US"/>
        </w:rPr>
        <w:t>International Journal of Business and Globalisation, 31(4)</w:t>
      </w:r>
      <w:r>
        <w:rPr>
          <w:lang w:val="en-US"/>
        </w:rPr>
        <w:t>, 391-411.</w:t>
      </w:r>
    </w:p>
    <w:p>
      <w:pPr>
        <w:pStyle w:val="15"/>
        <w:widowControl/>
        <w:ind w:left="720" w:hanging="720"/>
        <w:rPr>
          <w:lang w:val="en-US"/>
        </w:rPr>
      </w:pPr>
      <w:r>
        <w:rPr>
          <w:lang w:val="en-US"/>
        </w:rPr>
        <w:t xml:space="preserve">Ross, J. M. (2018). Unlocking the value of real options: How firm‐specific learning conditions affect R&amp;D investments under uncertainty. </w:t>
      </w:r>
      <w:r>
        <w:rPr>
          <w:i/>
          <w:iCs/>
          <w:lang w:val="en-US"/>
        </w:rPr>
        <w:t>Strategic Entrepreneurship Journal, 12(3),</w:t>
      </w:r>
      <w:r>
        <w:rPr>
          <w:lang w:val="en-US"/>
        </w:rPr>
        <w:t>, 335-353.</w:t>
      </w:r>
    </w:p>
    <w:p>
      <w:pPr>
        <w:pStyle w:val="15"/>
        <w:widowControl/>
        <w:ind w:left="720" w:hanging="720"/>
        <w:rPr>
          <w:lang w:val="en-US"/>
        </w:rPr>
      </w:pPr>
      <w:r>
        <w:rPr>
          <w:lang w:val="en-US"/>
        </w:rPr>
        <w:t xml:space="preserve">Turgay, S. D. (2023). Navigating Uncertainty: A Comprehensive Approach to Risk Management in R&amp;D Projects with the Gravity Search Algorithm Based MCDM. </w:t>
      </w:r>
      <w:r>
        <w:rPr>
          <w:i/>
          <w:iCs/>
          <w:lang w:val="en-US"/>
        </w:rPr>
        <w:t>Industrial Engineering and Innovation Management, 6(10)</w:t>
      </w:r>
      <w:r>
        <w:rPr>
          <w:lang w:val="en-US"/>
        </w:rPr>
        <w:t>, 95-103.</w:t>
      </w:r>
    </w:p>
    <w:p>
      <w:pPr>
        <w:pStyle w:val="15"/>
        <w:widowControl/>
        <w:ind w:left="720" w:hanging="720"/>
        <w:rPr>
          <w:lang w:val="en-US"/>
        </w:rPr>
      </w:pPr>
      <w:r>
        <w:rPr>
          <w:lang w:val="en-US"/>
        </w:rPr>
        <w:t xml:space="preserve">Watanabe, C. A. (2022). A new perspective of innovation toward a non-contact society-Amazon's initiative in pioneering growing seamless switching. Technology in Society,. </w:t>
      </w:r>
      <w:r>
        <w:rPr>
          <w:i/>
          <w:iCs/>
          <w:lang w:val="en-US"/>
        </w:rPr>
        <w:t>69</w:t>
      </w:r>
      <w:r>
        <w:rPr>
          <w:lang w:val="en-US"/>
        </w:rPr>
        <w:t>, 101953.</w:t>
      </w:r>
    </w:p>
    <w:p>
      <w:pPr>
        <w:keepNext w:val="0"/>
        <w:keepLines w:val="0"/>
        <w:widowControl/>
        <w:suppressLineNumbers w:val="0"/>
        <w:spacing w:before="0" w:beforeAutospacing="0" w:after="160" w:afterAutospacing="0" w:line="256" w:lineRule="auto"/>
        <w:ind w:left="0" w:right="0"/>
        <w:jc w:val="left"/>
        <w:rPr>
          <w:b/>
          <w:bCs/>
          <w:lang w:val="en-US"/>
        </w:rPr>
      </w:pPr>
      <w:r>
        <w:rPr>
          <w:rFonts w:hint="eastAsia" w:ascii="Calibri" w:hAnsi="Calibri" w:eastAsia="Calibri" w:cs="Times New Roman"/>
          <w:b/>
          <w:bCs/>
          <w:kern w:val="2"/>
          <w:sz w:val="22"/>
          <w:szCs w:val="22"/>
          <w:lang w:val="en-US" w:eastAsia="zh-CN" w:bidi="ar"/>
        </w:rPr>
        <w:fldChar w:fldCharType="end"/>
      </w:r>
      <w:r>
        <w:rPr>
          <w:rFonts w:hint="eastAsia" w:ascii="Calibri" w:hAnsi="Calibri" w:eastAsia="Calibri" w:cs="Times New Roman"/>
          <w:b/>
          <w:bCs/>
          <w:kern w:val="2"/>
          <w:sz w:val="22"/>
          <w:szCs w:val="22"/>
          <w:lang w:val="en-US" w:eastAsia="zh-CN" w:bidi="ar"/>
        </w:rPr>
        <w:t xml:space="preserve"> </w:t>
      </w:r>
      <w:r>
        <w:rPr>
          <w:rFonts w:hint="eastAsia" w:ascii="Calibri" w:hAnsi="Calibri" w:eastAsia="Calibri" w:cs="Times New Roman"/>
          <w:b/>
          <w:bCs/>
          <w:kern w:val="2"/>
          <w:sz w:val="22"/>
          <w:szCs w:val="22"/>
          <w:lang w:val="en-US" w:eastAsia="zh-CN" w:bidi="ar"/>
        </w:rPr>
        <w:t>Research and development (R&amp;D)</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fldChar w:fldCharType="begin"/>
      </w:r>
      <w:r>
        <w:rPr>
          <w:rFonts w:hint="eastAsia" w:ascii="Calibri" w:hAnsi="Calibri" w:eastAsia="Calibri" w:cs="Times New Roman"/>
          <w:kern w:val="2"/>
          <w:sz w:val="22"/>
          <w:szCs w:val="22"/>
          <w:lang w:val="en-US" w:eastAsia="zh-CN" w:bidi="ar"/>
        </w:rPr>
        <w:instrText xml:space="preserve"> HYPERLINK "https://www.researchgate.net/publication/374165839_Research_and_Development" </w:instrText>
      </w:r>
      <w:r>
        <w:rPr>
          <w:rFonts w:hint="eastAsia" w:ascii="Calibri" w:hAnsi="Calibri" w:eastAsia="Calibri" w:cs="Times New Roman"/>
          <w:kern w:val="2"/>
          <w:sz w:val="22"/>
          <w:szCs w:val="22"/>
          <w:lang w:val="en-US" w:eastAsia="zh-CN" w:bidi="ar"/>
        </w:rPr>
        <w:fldChar w:fldCharType="separate"/>
      </w:r>
      <w:r>
        <w:rPr>
          <w:rStyle w:val="6"/>
          <w:u w:val="single"/>
          <w:lang w:val="en-US"/>
        </w:rPr>
        <w:t>https://www.researchgate.net/publication/374165839_Research_and_Development</w:t>
      </w:r>
      <w:r>
        <w:rPr>
          <w:rFonts w:hint="eastAsia" w:ascii="Calibri" w:hAnsi="Calibri" w:eastAsia="Calibri" w:cs="Times New Roman"/>
          <w:kern w:val="2"/>
          <w:sz w:val="22"/>
          <w:szCs w:val="22"/>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Research &amp; Development | R&amp;D Definition, Process &amp; Examples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fldChar w:fldCharType="begin"/>
      </w:r>
      <w:r>
        <w:rPr>
          <w:rFonts w:hint="eastAsia" w:ascii="Calibri" w:hAnsi="Calibri" w:eastAsia="Calibri" w:cs="Times New Roman"/>
          <w:kern w:val="2"/>
          <w:sz w:val="22"/>
          <w:szCs w:val="22"/>
          <w:lang w:val="en-US" w:eastAsia="zh-CN" w:bidi="ar"/>
        </w:rPr>
        <w:instrText xml:space="preserve"> HYPERLINK "https://study.com/academy/lesson/what-is-research-and-development-definition-methods-examples.html" </w:instrText>
      </w:r>
      <w:r>
        <w:rPr>
          <w:rFonts w:hint="eastAsia" w:ascii="Calibri" w:hAnsi="Calibri" w:eastAsia="Calibri" w:cs="Times New Roman"/>
          <w:kern w:val="2"/>
          <w:sz w:val="22"/>
          <w:szCs w:val="22"/>
          <w:lang w:val="en-US" w:eastAsia="zh-CN" w:bidi="ar"/>
        </w:rPr>
        <w:fldChar w:fldCharType="separate"/>
      </w:r>
      <w:r>
        <w:rPr>
          <w:rStyle w:val="6"/>
          <w:u w:val="single"/>
          <w:lang w:val="en-US"/>
        </w:rPr>
        <w:t>https://study.com/academy/lesson/what-is-research-and-development-definition-methods-examples.html</w:t>
      </w:r>
      <w:r>
        <w:rPr>
          <w:rFonts w:hint="eastAsia" w:ascii="Calibri" w:hAnsi="Calibri" w:eastAsia="Calibri" w:cs="Times New Roman"/>
          <w:kern w:val="2"/>
          <w:sz w:val="22"/>
          <w:szCs w:val="22"/>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fldChar w:fldCharType="begin"/>
      </w:r>
      <w:r>
        <w:rPr>
          <w:rFonts w:hint="eastAsia" w:ascii="Calibri" w:hAnsi="Calibri" w:eastAsia="Calibri" w:cs="Times New Roman"/>
          <w:kern w:val="2"/>
          <w:sz w:val="22"/>
          <w:szCs w:val="22"/>
          <w:lang w:val="en-US" w:eastAsia="zh-CN" w:bidi="ar"/>
        </w:rPr>
        <w:instrText xml:space="preserve"> HYPERLINK "https://www.researchgate.net/publication/374165839_Research_and_Development" </w:instrText>
      </w:r>
      <w:r>
        <w:rPr>
          <w:rFonts w:hint="eastAsia" w:ascii="Calibri" w:hAnsi="Calibri" w:eastAsia="Calibri" w:cs="Times New Roman"/>
          <w:kern w:val="2"/>
          <w:sz w:val="22"/>
          <w:szCs w:val="22"/>
          <w:lang w:val="en-US" w:eastAsia="zh-CN" w:bidi="ar"/>
        </w:rPr>
        <w:fldChar w:fldCharType="separate"/>
      </w:r>
      <w:r>
        <w:rPr>
          <w:rStyle w:val="6"/>
          <w:u w:val="single"/>
          <w:lang w:val="en-US"/>
        </w:rPr>
        <w:t>https://www.researchgate.net/publication/374165839_Research_and_Development</w:t>
      </w:r>
      <w:r>
        <w:rPr>
          <w:rFonts w:hint="eastAsia" w:ascii="Calibri" w:hAnsi="Calibri" w:eastAsia="Calibri" w:cs="Times New Roman"/>
          <w:kern w:val="2"/>
          <w:sz w:val="22"/>
          <w:szCs w:val="22"/>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pperplate Gothic Light">
    <w:panose1 w:val="020E0507020206020404"/>
    <w:charset w:val="00"/>
    <w:family w:val="swiss"/>
    <w:pitch w:val="default"/>
    <w:sig w:usb0="00000003" w:usb1="00000000" w:usb2="00000000" w:usb3="00000000" w:csb0="2000000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F5139"/>
    <w:multiLevelType w:val="multilevel"/>
    <w:tmpl w:val="197F51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31B2CD4"/>
    <w:multiLevelType w:val="multilevel"/>
    <w:tmpl w:val="731B2C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4C"/>
    <w:rsid w:val="001B1C7C"/>
    <w:rsid w:val="001D3255"/>
    <w:rsid w:val="003A65A7"/>
    <w:rsid w:val="004E5F18"/>
    <w:rsid w:val="00540F18"/>
    <w:rsid w:val="006C3497"/>
    <w:rsid w:val="007363B0"/>
    <w:rsid w:val="0079651F"/>
    <w:rsid w:val="008B0746"/>
    <w:rsid w:val="009F2E6B"/>
    <w:rsid w:val="00BB28CF"/>
    <w:rsid w:val="00DD05D6"/>
    <w:rsid w:val="00DF034C"/>
    <w:rsid w:val="00E129E1"/>
    <w:rsid w:val="00E950CA"/>
    <w:rsid w:val="00F812A1"/>
    <w:rsid w:val="1A3C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6"/>
    <w:qFormat/>
    <w:uiPriority w:val="9"/>
    <w:pPr>
      <w:keepNext/>
      <w:keepLines/>
      <w:widowControl/>
      <w:suppressLineNumbers w:val="0"/>
      <w:spacing w:before="240" w:beforeAutospacing="0" w:after="0" w:afterAutospacing="0" w:line="256" w:lineRule="auto"/>
      <w:ind w:left="0" w:right="0"/>
      <w:jc w:val="left"/>
      <w:outlineLvl w:val="0"/>
    </w:pPr>
    <w:rPr>
      <w:rFonts w:hint="default" w:ascii="Calibri Light" w:hAnsi="Calibri Light" w:eastAsia="Times New Roman" w:cs="Times New Roman"/>
      <w:color w:val="2F5496"/>
      <w:kern w:val="0"/>
      <w:sz w:val="32"/>
      <w:szCs w:val="32"/>
      <w:lang w:val="en-US" w:eastAsia="zh-CN" w:bidi="ar"/>
    </w:rPr>
  </w:style>
  <w:style w:type="character" w:default="1" w:styleId="3">
    <w:name w:val="Default Paragraph Font"/>
    <w:unhideWhenUsed/>
    <w:uiPriority w:val="1"/>
  </w:style>
  <w:style w:type="table" w:default="1" w:styleId="4">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character" w:styleId="5">
    <w:name w:val="FollowedHyperlink"/>
    <w:semiHidden/>
    <w:unhideWhenUsed/>
    <w:uiPriority w:val="99"/>
    <w:rPr>
      <w:color w:val="954F72"/>
      <w:u w:val="single"/>
    </w:rPr>
  </w:style>
  <w:style w:type="character" w:styleId="6">
    <w:name w:val="Hyperlink"/>
    <w:semiHidden/>
    <w:unhideWhenUsed/>
    <w:uiPriority w:val="99"/>
    <w:rPr>
      <w:color w:val="0563C1"/>
      <w:u w:val="single"/>
    </w:rPr>
  </w:style>
  <w:style w:type="paragraph" w:styleId="7">
    <w:name w:val="Subtitle"/>
    <w:basedOn w:val="1"/>
    <w:next w:val="1"/>
    <w:link w:val="1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character" w:customStyle="1" w:styleId="10">
    <w:name w:val="Intense Reference"/>
    <w:basedOn w:val="3"/>
    <w:qFormat/>
    <w:uiPriority w:val="32"/>
    <w:rPr>
      <w:b/>
      <w:bCs/>
      <w:smallCaps/>
      <w:color w:val="5B9BD5" w:themeColor="accent1"/>
      <w:spacing w:val="5"/>
      <w14:textFill>
        <w14:solidFill>
          <w14:schemeClr w14:val="accent1"/>
        </w14:solidFill>
      </w14:textFill>
    </w:rPr>
  </w:style>
  <w:style w:type="character" w:customStyle="1" w:styleId="11">
    <w:name w:val="Subtitle Char"/>
    <w:basedOn w:val="3"/>
    <w:link w:val="7"/>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2">
    <w:name w:val="Title Char"/>
    <w:basedOn w:val="3"/>
    <w:link w:val="8"/>
    <w:uiPriority w:val="10"/>
    <w:rPr>
      <w:rFonts w:asciiTheme="majorHAnsi" w:hAnsiTheme="majorHAnsi" w:eastAsiaTheme="majorEastAsia" w:cstheme="majorBidi"/>
      <w:spacing w:val="-10"/>
      <w:kern w:val="28"/>
      <w:sz w:val="56"/>
      <w:szCs w:val="56"/>
    </w:rPr>
  </w:style>
  <w:style w:type="character" w:customStyle="1" w:styleId="13">
    <w:name w:val="Subtle Reference"/>
    <w:basedOn w:val="3"/>
    <w:qFormat/>
    <w:uiPriority w:val="31"/>
    <w:rPr>
      <w:smallCaps/>
      <w:color w:val="595959" w:themeColor="text1" w:themeTint="A6"/>
      <w14:textFill>
        <w14:solidFill>
          <w14:schemeClr w14:val="tx1">
            <w14:lumMod w14:val="65000"/>
            <w14:lumOff w14:val="35000"/>
          </w14:schemeClr>
        </w14:solidFill>
      </w14:textFill>
    </w:rPr>
  </w:style>
  <w:style w:type="paragraph" w:styleId="14">
    <w:name w:val="List Paragraph"/>
    <w:basedOn w:val="1"/>
    <w:qFormat/>
    <w:uiPriority w:val="34"/>
    <w:pPr>
      <w:ind w:left="720"/>
      <w:contextualSpacing/>
    </w:pPr>
  </w:style>
  <w:style w:type="paragraph" w:customStyle="1" w:styleId="15">
    <w:name w:val="msobibliography"/>
    <w:uiPriority w:val="0"/>
    <w:pPr>
      <w:keepNext w:val="0"/>
      <w:keepLines w:val="0"/>
      <w:widowControl/>
      <w:suppressLineNumbers w:val="0"/>
      <w:spacing w:before="0" w:beforeAutospacing="0" w:after="160" w:afterAutospacing="0" w:line="256" w:lineRule="auto"/>
      <w:ind w:left="0" w:right="0"/>
      <w:jc w:val="left"/>
    </w:pPr>
    <w:rPr>
      <w:rFonts w:hint="eastAsia" w:ascii="Calibri" w:hAnsi="Calibri" w:eastAsia="Calibri" w:cs="Times New Roman"/>
      <w:kern w:val="2"/>
      <w:sz w:val="22"/>
      <w:szCs w:val="22"/>
      <w:lang w:val="en-US" w:eastAsia="zh-CN" w:bidi="ar"/>
    </w:rPr>
  </w:style>
  <w:style w:type="character" w:customStyle="1" w:styleId="16">
    <w:name w:val="Heading 1 Char"/>
    <w:link w:val="2"/>
    <w:uiPriority w:val="0"/>
    <w:rPr>
      <w:rFonts w:hint="default" w:ascii="Calibri Light" w:hAnsi="Calibri Light" w:eastAsia="Times New Roman" w:cs="Times New Roman"/>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079EC51793D464FB080B220904895D6"/>
        <w:style w:val=""/>
        <w:category>
          <w:name w:val="General"/>
          <w:gallery w:val="placeholder"/>
        </w:category>
        <w:types>
          <w:type w:val="bbPlcHdr"/>
        </w:types>
        <w:behaviors>
          <w:behavior w:val="content"/>
        </w:behaviors>
        <w:description w:val=""/>
        <w:guid w:val="{DF1E3945-9F24-423E-9E54-097944E68E39}"/>
      </w:docPartPr>
      <w:docPartBody>
        <w:p>
          <w:pPr>
            <w:pStyle w:val="16"/>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F7CCA301C4974C73A750BE3D60193178"/>
        <w:style w:val=""/>
        <w:category>
          <w:name w:val="General"/>
          <w:gallery w:val="placeholder"/>
        </w:category>
        <w:types>
          <w:type w:val="bbPlcHdr"/>
        </w:types>
        <w:behaviors>
          <w:behavior w:val="content"/>
        </w:behaviors>
        <w:description w:val=""/>
        <w:guid w:val="{94C92148-265F-4C97-9148-F7F520EEB6D3}"/>
      </w:docPartPr>
      <w:docPartBody>
        <w:p>
          <w:pPr>
            <w:pStyle w:val="17"/>
          </w:pPr>
          <w:r>
            <w:rPr>
              <w:color w:val="FFFFFF" w:themeColor="background1"/>
              <w:sz w:val="28"/>
              <w:szCs w:val="28"/>
              <w14:textFill>
                <w14:solidFill>
                  <w14:schemeClr w14:val="bg1"/>
                </w14:solidFill>
              </w14:textFill>
            </w:rPr>
            <w:t>[Author name]</w:t>
          </w:r>
        </w:p>
      </w:docPartBody>
    </w:docPart>
    <w:docPart>
      <w:docPartPr>
        <w:name w:val="0EEAAADC7B5F43DBA017F150CD3FB5C4"/>
        <w:style w:val=""/>
        <w:category>
          <w:name w:val="General"/>
          <w:gallery w:val="placeholder"/>
        </w:category>
        <w:types>
          <w:type w:val="bbPlcHdr"/>
        </w:types>
        <w:behaviors>
          <w:behavior w:val="content"/>
        </w:behaviors>
        <w:description w:val=""/>
        <w:guid w:val="{338B08FD-7319-40EB-8B49-EDA836D3A58E}"/>
      </w:docPartPr>
      <w:docPartBody>
        <w:p>
          <w:pPr>
            <w:pStyle w:val="19"/>
          </w:pPr>
          <w:r>
            <w:rPr>
              <w:color w:val="FFFFFF" w:themeColor="background1"/>
              <w:sz w:val="28"/>
              <w:szCs w:val="28"/>
              <w14:textFill>
                <w14:solidFill>
                  <w14:schemeClr w14:val="bg1"/>
                </w14:solidFill>
              </w14:textFill>
            </w:rP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3C"/>
    <w:rsid w:val="000673BA"/>
    <w:rsid w:val="001C6759"/>
    <w:rsid w:val="00725C61"/>
    <w:rsid w:val="00B0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F0FFE544A9D4690A7D4BFFA7CBF45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CA4ADDD3D8BB4ABABA5EFD3FF6F0393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7E62E8E09A33469F950489C7B1B7991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888B44D95741478F913C8F035E935E5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74E02FD796044BF2AFAD6BFBCBF6FB7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A5F4BADFAA1444E59E6623B21EC4078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13C255286DDB42A097C83E8CBE050BF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260AAFDB966143609F5E1A49B47346D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340FB004675B4668AB4D1EBA84B4000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76AEFD89035442E8849E9D607E745F4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F05EE2E88ED04416AEFAFA470D85A9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43A531806BBA4F7F87E7E14F2885BD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B079EC51793D464FB080B220904895D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F7CCA301C4974C73A750BE3D601931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AEC599A209D403B985D361D9A03AF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0EEAAADC7B5F43DBA017F150CD3FB5C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226657524D8F4520AECD1055501DBE6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A6CE96FE658543C6BEA6FB479098CA44"/>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2024-11-03T00:00:00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Pages>
  <Words>1857</Words>
  <Characters>10591</Characters>
  <Lines>88</Lines>
  <Paragraphs>24</Paragraphs>
  <TotalTime>27</TotalTime>
  <ScaleCrop>false</ScaleCrop>
  <LinksUpToDate>false</LinksUpToDate>
  <CharactersWithSpaces>12424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Assignment II</cp:category>
  <dcterms:created xsi:type="dcterms:W3CDTF">2024-03-11T05:36:00Z</dcterms:created>
  <dc:creator>For Group A6 HRD2104: Management</dc:creator>
  <cp:lastModifiedBy>Irke Konzolo</cp:lastModifiedBy>
  <dcterms:modified xsi:type="dcterms:W3CDTF">2024-03-11T07:23:36Z</dcterms:modified>
  <dc:title>CAT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4C7C18600B244A03A5E14F521C217A5F_12</vt:lpwstr>
  </property>
</Properties>
</file>