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764/20 - Gudivada v Kasoju</w:t>
      </w:r>
    </w:p>
    <w:p>
      <w:r>
        <w:rPr>
          <w:i/>
        </w:rPr>
        <w:t>Date of hearing: 19.08.2026    Note by: Meera</w:t>
      </w:r>
    </w:p>
    <w:p>
      <w:r>
        <w:t>Gudivada v Kasoju - Kasoju garu (DW1) deposed, held up well under Jadhav's 1.5 hr cross. Evidence closed both sides. Arguments 5 Oct. Quadri sir likes exact exhibit numbers - make a list: A1 sale deed, A6 tax receipts, B2 electricity bills in Kasoju's name 2015-2017.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