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O.S. No. 214 of 2024 - Gorle partition</w:t>
      </w:r>
    </w:p>
    <w:p>
      <w:r>
        <w:rPr>
          <w:i/>
        </w:rPr>
        <w:t>Date of hearing: 07.01.2026    Note by: Aditya</w:t>
      </w:r>
    </w:p>
    <w:p>
      <w:r>
        <w:t>PW1 Ramesh Gorle chief. Ex.A1 sale deed 3417/2011, Ex.A2 1-B ROR extract (2.10 acres each), Ex.A3 letter of understanding 2016, Ex.A4 SBI Dwaraka Nagar statement showing Rs. 15,00,000 transferred to the vendor on 02.03.2011, Ex.A5 encumbrance certificate. Madam asked if the parties still talk. Ramesh: 'only through lawyers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