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B4D3E"/>
          <w:sz w:val="44"/>
          <w:szCs w:val="44"/>
        </w:rPr>
        <w:t xml:space="preserve">CodeGuard AI</w:t>
      </w:r>
    </w:p>
    <w:p>
      <w:pPr>
        <w:spacing w:after="200"/>
      </w:pPr>
      <w:r>
        <w:rPr>
          <w:rFonts w:ascii="Calibri" w:cs="Calibri" w:eastAsia="Calibri" w:hAnsi="Calibri"/>
          <w:color w:val="555555"/>
          <w:sz w:val="28"/>
          <w:szCs w:val="28"/>
        </w:rPr>
        <w:t xml:space="preserve">Updated Stepwise Pitch and Demo Script</w:t>
      </w:r>
    </w:p>
    <w:p>
      <w:pPr>
        <w:spacing w:after="120"/>
      </w:pPr>
      <w:r>
        <w:rPr>
          <w:rFonts w:ascii="Calibri" w:cs="Calibri" w:eastAsia="Calibri" w:hAnsi="Calibri"/>
        </w:rPr>
        <w:t xml:space="preserve">Your feature guide changes the pitch, because it says plainly what is built and what is not. Earlier scripts claimed some things the guide contradicts, so they are corrected here.</w:t>
      </w:r>
    </w:p>
    <w:p>
      <w:pPr>
        <w:pStyle w:val="Heading1"/>
        <w:spacing w:after="120" w:before="300"/>
      </w:pPr>
      <w:r>
        <w:rPr>
          <w:rFonts w:ascii="Calibri" w:cs="Calibri" w:eastAsia="Calibri" w:hAnsi="Calibri"/>
          <w:b/>
          <w:bCs/>
          <w:color w:val="1B4D3E"/>
          <w:sz w:val="30"/>
          <w:szCs w:val="30"/>
        </w:rPr>
        <w:t xml:space="preserve">Corrections to earlier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BBBBB" w:sz="4"/>
              <w:left w:val="single" w:color="BBBBBB" w:sz="4"/>
              <w:bottom w:val="single" w:color="BBBBBB" w:sz="4"/>
              <w:right w:val="single" w:color="BBBBBB" w:sz="4"/>
            </w:tcBorders>
            <w:shd w:fill="1B4D3E" w:color="auto" w:val="clear"/>
            <w:tcMar>
              <w:top w:type="dxa" w:w="60"/>
              <w:left w:type="dxa" w:w="100"/>
              <w:bottom w:type="dxa" w:w="60"/>
              <w:right w:type="dxa" w:w="100"/>
            </w:tcMar>
          </w:tcPr>
          <w:p>
            <w:r>
              <w:rPr>
                <w:rFonts w:ascii="Calibri" w:cs="Calibri" w:eastAsia="Calibri" w:hAnsi="Calibri"/>
                <w:b/>
                <w:bCs/>
                <w:color w:val="FFFFFF"/>
                <w:sz w:val="20"/>
                <w:szCs w:val="20"/>
              </w:rPr>
              <w:t xml:space="preserve">Earlier script said</w:t>
            </w:r>
          </w:p>
        </w:tc>
        <w:tc>
          <w:tcPr>
            <w:tcW w:type="dxa" w:w="3200"/>
            <w:tcBorders>
              <w:top w:val="single" w:color="BBBBBB" w:sz="4"/>
              <w:left w:val="single" w:color="BBBBBB" w:sz="4"/>
              <w:bottom w:val="single" w:color="BBBBBB" w:sz="4"/>
              <w:right w:val="single" w:color="BBBBBB" w:sz="4"/>
            </w:tcBorders>
            <w:shd w:fill="1B4D3E"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your app actually does</w:t>
            </w:r>
          </w:p>
        </w:tc>
        <w:tc>
          <w:tcPr>
            <w:tcW w:type="dxa" w:w="3360"/>
            <w:tcBorders>
              <w:top w:val="single" w:color="BBBBBB" w:sz="4"/>
              <w:left w:val="single" w:color="BBBBBB" w:sz="4"/>
              <w:bottom w:val="single" w:color="BBBBBB" w:sz="4"/>
              <w:right w:val="single" w:color="BBBBBB" w:sz="4"/>
            </w:tcBorders>
            <w:shd w:fill="1B4D3E" w:color="auto" w:val="clear"/>
            <w:tcMar>
              <w:top w:type="dxa" w:w="60"/>
              <w:left w:type="dxa" w:w="100"/>
              <w:bottom w:type="dxa" w:w="60"/>
              <w:right w:type="dxa" w:w="100"/>
            </w:tcMar>
          </w:tcPr>
          <w:p>
            <w:r>
              <w:rPr>
                <w:rFonts w:ascii="Calibri" w:cs="Calibri" w:eastAsia="Calibri" w:hAnsi="Calibri"/>
                <w:b/>
                <w:bCs/>
                <w:color w:val="FFFFFF"/>
                <w:sz w:val="20"/>
                <w:szCs w:val="20"/>
              </w:rPr>
              <w:t xml:space="preserve">Say this instead</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AST analysis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Local token and line heuristics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"Transparent local similarity heuristics"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Coincidence score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Common-algorithm context label (no score)</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"Context label for textbook algorithms"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Timed viva quiz</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Generates discussion questions only</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"Explain Your Code question generator"</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Audit trail</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Browser-local activity log</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"Editable local activity log"</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In-browser WebAssembly</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Roadmap</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Mention only in the roadmap</w:t>
            </w:r>
          </w:p>
        </w:tc>
      </w:tr>
    </w:tbl>
    <w:p>
      <w:pPr>
        <w:spacing w:after="120"/>
      </w:pPr>
      <w:r>
        <w:rPr>
          <w:rFonts w:ascii="Calibri" w:cs="Calibri" w:eastAsia="Calibri" w:hAnsi="Calibri"/>
        </w:rPr>
        <w:t xml:space="preserve"/>
      </w:r>
    </w:p>
    <w:p>
      <w:pPr>
        <w:spacing w:after="100"/>
      </w:pPr>
      <w:r>
        <w:rPr>
          <w:rFonts w:ascii="Calibri" w:cs="Calibri" w:eastAsia="Calibri" w:hAnsi="Calibri"/>
          <w:b/>
          <w:bCs/>
        </w:rPr>
        <w:t xml:space="preserve">Also fix before recording: </w:t>
      </w:r>
      <w:r>
        <w:rPr>
          <w:rFonts w:ascii="Calibri" w:cs="Calibri" w:eastAsia="Calibri" w:hAnsi="Calibri"/>
        </w:rPr>
        <w:t xml:space="preserve">your UI still shows "Inspect AST", "Identical AST logic" and "Deterministic AST structure analysis". A judge who reads your guide will catch the mismatch. Rename them to "Inspect evidence" or "Matching structure".</w:t>
      </w:r>
    </w:p>
    <w:p>
      <w:pPr>
        <w:spacing w:after="120"/>
      </w:pPr>
      <w:r>
        <w:rPr>
          <w:rFonts w:ascii="Calibri" w:cs="Calibri" w:eastAsia="Calibri" w:hAnsi="Calibri"/>
        </w:rPr>
        <w:t xml:space="preserve">Being honest is also your best angle, because most hackathon projects overclaim and yours doesn't.</w:t>
      </w:r>
    </w:p>
    <w:p>
      <w:pPr>
        <w:pStyle w:val="Heading1"/>
        <w:spacing w:after="120" w:before="300"/>
      </w:pPr>
      <w:r>
        <w:rPr>
          <w:rFonts w:ascii="Calibri" w:cs="Calibri" w:eastAsia="Calibri" w:hAnsi="Calibri"/>
          <w:b/>
          <w:bCs/>
          <w:color w:val="1B4D3E"/>
          <w:sz w:val="30"/>
          <w:szCs w:val="30"/>
        </w:rPr>
        <w:t xml:space="preserve">Demo script</w:t>
      </w:r>
    </w:p>
    <w:p>
      <w:pPr>
        <w:pStyle w:val="Heading2"/>
        <w:spacing w:after="80" w:before="240"/>
      </w:pPr>
      <w:r>
        <w:rPr>
          <w:rFonts w:ascii="Calibri" w:cs="Calibri" w:eastAsia="Calibri" w:hAnsi="Calibri"/>
          <w:b/>
          <w:bCs/>
          <w:color w:val="1B4D3E"/>
          <w:sz w:val="25"/>
          <w:szCs w:val="25"/>
        </w:rPr>
        <w:t xml:space="preserve">Step 0: Feature guide / landing page (0:00 to 0:30)</w:t>
      </w:r>
    </w:p>
    <w:p>
      <w:pPr>
        <w:spacing w:after="100"/>
      </w:pPr>
      <w:r>
        <w:rPr>
          <w:rFonts w:ascii="Calibri" w:cs="Calibri" w:eastAsia="Calibri" w:hAnsi="Calibri"/>
          <w:b/>
          <w:bCs/>
        </w:rPr>
        <w:t xml:space="preserve">Show: </w:t>
      </w:r>
      <w:r>
        <w:rPr>
          <w:rFonts w:ascii="Calibri" w:cs="Calibri" w:eastAsia="Calibri" w:hAnsi="Calibri"/>
        </w:rPr>
        <w:t xml:space="preserve">the landing page headline, then scroll to "The CodeGuard difference".</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Imagine you wrote a bubble sort yourself, and tomorrow you're told your code is 92% similar to someone else's. Every student who writes bubble sort gets that score. Today's tools measure similarity, but they leave out context. This is CodeGuard AI, built on one idea: fair review starts with context, not a score. Three principles: evidence first, AI with boundaries, and people decide. Similarity here is only a prompt for review, never an automated verdict.</w:t>
      </w:r>
    </w:p>
    <w:p>
      <w:pPr>
        <w:pStyle w:val="Heading2"/>
        <w:spacing w:after="80" w:before="240"/>
      </w:pPr>
      <w:r>
        <w:rPr>
          <w:rFonts w:ascii="Calibri" w:cs="Calibri" w:eastAsia="Calibri" w:hAnsi="Calibri"/>
          <w:b/>
          <w:bCs/>
          <w:color w:val="1B4D3E"/>
          <w:sz w:val="25"/>
          <w:szCs w:val="25"/>
        </w:rPr>
        <w:t xml:space="preserve">Step 1: Sign in (0:30 to 0:45)</w:t>
      </w:r>
    </w:p>
    <w:p>
      <w:pPr>
        <w:spacing w:after="100"/>
      </w:pPr>
      <w:r>
        <w:rPr>
          <w:rFonts w:ascii="Calibri" w:cs="Calibri" w:eastAsia="Calibri" w:hAnsi="Calibri"/>
          <w:b/>
          <w:bCs/>
        </w:rPr>
        <w:t xml:space="preserve">Show: </w:t>
      </w:r>
      <w:r>
        <w:rPr>
          <w:rFonts w:ascii="Calibri" w:cs="Calibri" w:eastAsia="Calibri" w:hAnsi="Calibri"/>
        </w:rPr>
        <w:t xml:space="preserve">the sign-in page, then log in.</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Reviewers sign in here. This is a browser-based demo, so accounts are stored locally and I'll be upfront that it isn't production authentication. I'm signing in as Prof. Verma, the lead academic reviewer.</w:t>
      </w:r>
    </w:p>
    <w:p>
      <w:pPr>
        <w:pStyle w:val="Heading2"/>
        <w:spacing w:after="80" w:before="240"/>
      </w:pPr>
      <w:r>
        <w:rPr>
          <w:rFonts w:ascii="Calibri" w:cs="Calibri" w:eastAsia="Calibri" w:hAnsi="Calibri"/>
          <w:b/>
          <w:bCs/>
          <w:color w:val="1B4D3E"/>
          <w:sz w:val="25"/>
          <w:szCs w:val="25"/>
        </w:rPr>
        <w:t xml:space="preserve">Step 2: Overview dashboard (0:45 to 1:05)</w:t>
      </w:r>
    </w:p>
    <w:p>
      <w:pPr>
        <w:spacing w:after="100"/>
      </w:pPr>
      <w:r>
        <w:rPr>
          <w:rFonts w:ascii="Calibri" w:cs="Calibri" w:eastAsia="Calibri" w:hAnsi="Calibri"/>
          <w:b/>
          <w:bCs/>
        </w:rPr>
        <w:t xml:space="preserve">Show: </w:t>
      </w:r>
      <w:r>
        <w:rPr>
          <w:rFonts w:ascii="Calibri" w:cs="Calibri" w:eastAsia="Calibri" w:hAnsi="Calibri"/>
        </w:rPr>
        <w:t xml:space="preserve">the stat cards and the Active Review Queue.</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The overview shows submissions, flagged cases, clusters and pending reviews, with a queue of cases that need a human decision.</w:t>
      </w:r>
    </w:p>
    <w:p>
      <w:pPr>
        <w:pStyle w:val="Heading2"/>
        <w:spacing w:after="80" w:before="240"/>
      </w:pPr>
      <w:r>
        <w:rPr>
          <w:rFonts w:ascii="Calibri" w:cs="Calibri" w:eastAsia="Calibri" w:hAnsi="Calibri"/>
          <w:b/>
          <w:bCs/>
          <w:color w:val="1B4D3E"/>
          <w:sz w:val="25"/>
          <w:szCs w:val="25"/>
        </w:rPr>
        <w:t xml:space="preserve">Step 3: Submissions with filters and bulk actions (1:05 to 1:25)</w:t>
      </w:r>
    </w:p>
    <w:p>
      <w:pPr>
        <w:spacing w:after="100"/>
      </w:pPr>
      <w:r>
        <w:rPr>
          <w:rFonts w:ascii="Calibri" w:cs="Calibri" w:eastAsia="Calibri" w:hAnsi="Calibri"/>
          <w:b/>
          <w:bCs/>
        </w:rPr>
        <w:t xml:space="preserve">Show: </w:t>
      </w:r>
      <w:r>
        <w:rPr>
          <w:rFonts w:ascii="Calibri" w:cs="Calibri" w:eastAsia="Calibri" w:hAnsi="Calibri"/>
        </w:rPr>
        <w:t xml:space="preserve">filter by overlap, sort, select several rows, assign a reviewer, add a context tag.</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On Submissions, faculty filter by overlap and review context, sort, select multiple samples, assign a reviewer, or tag a case as a common pattern. For a 200-student class, that is the difference between hours and minutes.</w:t>
      </w:r>
    </w:p>
    <w:p>
      <w:pPr>
        <w:pStyle w:val="Heading2"/>
        <w:spacing w:after="80" w:before="240"/>
      </w:pPr>
      <w:r>
        <w:rPr>
          <w:rFonts w:ascii="Calibri" w:cs="Calibri" w:eastAsia="Calibri" w:hAnsi="Calibri"/>
          <w:b/>
          <w:bCs/>
          <w:color w:val="1B4D3E"/>
          <w:sz w:val="25"/>
          <w:szCs w:val="25"/>
        </w:rPr>
        <w:t xml:space="preserve">Step 4: Compare workspace, the core (1:25 to 2:05)</w:t>
      </w:r>
    </w:p>
    <w:p>
      <w:pPr>
        <w:spacing w:after="100"/>
      </w:pPr>
      <w:r>
        <w:rPr>
          <w:rFonts w:ascii="Calibri" w:cs="Calibri" w:eastAsia="Calibri" w:hAnsi="Calibri"/>
          <w:b/>
          <w:bCs/>
        </w:rPr>
        <w:t xml:space="preserve">Show: </w:t>
      </w:r>
      <w:r>
        <w:rPr>
          <w:rFonts w:ascii="Calibri" w:cs="Calibri" w:eastAsia="Calibri" w:hAnsi="Calibri"/>
        </w:rPr>
        <w:t xml:space="preserve">the side-by-side comparison, the paired-line evidence, the common-algorithm label.</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This is the comparison workspace. Instead of a bare percentage, we show explainable paired-line evidence: the exact normalized lines that match, with line references. We also add common-algorithm context. When the code follows a textbook bubble sort pattern, the tool says so, which tells faculty that high overlap here is expected. That label never changes the score and never claims independent authorship. We also offer optional Gemini analysis, which is advisory. If the AI service fails, the page labels the local findings instead of pretending they came from AI.</w:t>
      </w:r>
    </w:p>
    <w:p>
      <w:pPr>
        <w:pStyle w:val="Heading2"/>
        <w:spacing w:after="80" w:before="240"/>
      </w:pPr>
      <w:r>
        <w:rPr>
          <w:rFonts w:ascii="Calibri" w:cs="Calibri" w:eastAsia="Calibri" w:hAnsi="Calibri"/>
          <w:b/>
          <w:bCs/>
          <w:color w:val="1B4D3E"/>
          <w:sz w:val="25"/>
          <w:szCs w:val="25"/>
        </w:rPr>
        <w:t xml:space="preserve">Step 5: Explain Your Code (2:05 to 2:30)</w:t>
      </w:r>
    </w:p>
    <w:p>
      <w:pPr>
        <w:spacing w:after="100"/>
      </w:pPr>
      <w:r>
        <w:rPr>
          <w:rFonts w:ascii="Calibri" w:cs="Calibri" w:eastAsia="Calibri" w:hAnsi="Calibri"/>
          <w:b/>
          <w:bCs/>
        </w:rPr>
        <w:t xml:space="preserve">Show: </w:t>
      </w:r>
      <w:r>
        <w:rPr>
          <w:rFonts w:ascii="Calibri" w:cs="Calibri" w:eastAsia="Calibri" w:hAnsi="Calibri"/>
        </w:rPr>
        <w:t xml:space="preserve">the question generator, including the consent checkbox.</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Our key idea shifts the question from 'did they copy?' to 'do they understand?' Explain Your Code generates neutral questions from the student's own code, such as 'What happens if you change n-i-1 to n-i?' It needs explicit consent before anything goes to Gemini. It doesn't score or time answers, because answers can't prove authorship. It gives faculty a fair starting point for a conversation.</w:t>
      </w:r>
    </w:p>
    <w:p>
      <w:pPr>
        <w:pStyle w:val="Heading2"/>
        <w:spacing w:after="80" w:before="240"/>
      </w:pPr>
      <w:r>
        <w:rPr>
          <w:rFonts w:ascii="Calibri" w:cs="Calibri" w:eastAsia="Calibri" w:hAnsi="Calibri"/>
          <w:b/>
          <w:bCs/>
          <w:color w:val="1B4D3E"/>
          <w:sz w:val="25"/>
          <w:szCs w:val="25"/>
        </w:rPr>
        <w:t xml:space="preserve">Step 6: Student response view (2:30 to 2:45)</w:t>
      </w:r>
    </w:p>
    <w:p>
      <w:pPr>
        <w:spacing w:after="100"/>
      </w:pPr>
      <w:r>
        <w:rPr>
          <w:rFonts w:ascii="Calibri" w:cs="Calibri" w:eastAsia="Calibri" w:hAnsi="Calibri"/>
          <w:b/>
          <w:bCs/>
        </w:rPr>
        <w:t xml:space="preserve">Show: </w:t>
      </w:r>
      <w:r>
        <w:rPr>
          <w:rFonts w:ascii="Calibri" w:cs="Calibri" w:eastAsia="Calibri" w:hAnsi="Calibri"/>
        </w:rPr>
        <w:t xml:space="preserve">the student evidence and response page.</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Students aren't left in the dark. A student view shows the compared samples and measurements, and the student can write a response. In this demo it's saved locally. A real appeal workflow is on our roadmap.</w:t>
      </w:r>
    </w:p>
    <w:p>
      <w:pPr>
        <w:pStyle w:val="Heading2"/>
        <w:spacing w:after="80" w:before="240"/>
      </w:pPr>
      <w:r>
        <w:rPr>
          <w:rFonts w:ascii="Calibri" w:cs="Calibri" w:eastAsia="Calibri" w:hAnsi="Calibri"/>
          <w:b/>
          <w:bCs/>
          <w:color w:val="1B4D3E"/>
          <w:sz w:val="25"/>
          <w:szCs w:val="25"/>
        </w:rPr>
        <w:t xml:space="preserve">Step 7: Similarity network (2:45 to 3:00)</w:t>
      </w:r>
    </w:p>
    <w:p>
      <w:pPr>
        <w:spacing w:after="100"/>
      </w:pPr>
      <w:r>
        <w:rPr>
          <w:rFonts w:ascii="Calibri" w:cs="Calibri" w:eastAsia="Calibri" w:hAnsi="Calibri"/>
          <w:b/>
          <w:bCs/>
        </w:rPr>
        <w:t xml:space="preserve">Show: </w:t>
      </w:r>
      <w:r>
        <w:rPr>
          <w:rFonts w:ascii="Calibri" w:cs="Calibri" w:eastAsia="Calibri" w:hAnsi="Calibri"/>
        </w:rPr>
        <w:t xml:space="preserve">the graph, click a node, switch to the accessible table.</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The network shows clusters across the cohort, with an accessible table for screen readers. The displayed records are sample data, and edges show overlap, not proof of collusion.</w:t>
      </w:r>
    </w:p>
    <w:p>
      <w:pPr>
        <w:pStyle w:val="Heading2"/>
        <w:spacing w:after="80" w:before="240"/>
      </w:pPr>
      <w:r>
        <w:rPr>
          <w:rFonts w:ascii="Calibri" w:cs="Calibri" w:eastAsia="Calibri" w:hAnsi="Calibri"/>
          <w:b/>
          <w:bCs/>
          <w:color w:val="1B4D3E"/>
          <w:sz w:val="25"/>
          <w:szCs w:val="25"/>
        </w:rPr>
        <w:t xml:space="preserve">Step 8: Reports, email and AI assistant (3:00 to 3:20)</w:t>
      </w:r>
    </w:p>
    <w:p>
      <w:pPr>
        <w:spacing w:after="100"/>
      </w:pPr>
      <w:r>
        <w:rPr>
          <w:rFonts w:ascii="Calibri" w:cs="Calibri" w:eastAsia="Calibri" w:hAnsi="Calibri"/>
          <w:b/>
          <w:bCs/>
        </w:rPr>
        <w:t xml:space="preserve">Show: </w:t>
      </w:r>
      <w:r>
        <w:rPr>
          <w:rFonts w:ascii="Calibri" w:cs="Calibri" w:eastAsia="Calibri" w:hAnsi="Calibri"/>
        </w:rPr>
        <w:t xml:space="preserve">CSV export and print-to-PDF, then the Email Center, then the chat assistant.</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Reports export to CSV and print to PDF. The Email Center sends review messages through EmailJS. The AI help assistant answers questions about the tool and about code-review concepts, and sends chat text to Gemini only after the user ticks a consent box.</w:t>
      </w:r>
    </w:p>
    <w:p>
      <w:pPr>
        <w:pStyle w:val="Heading2"/>
        <w:spacing w:after="80" w:before="240"/>
      </w:pPr>
      <w:r>
        <w:rPr>
          <w:rFonts w:ascii="Calibri" w:cs="Calibri" w:eastAsia="Calibri" w:hAnsi="Calibri"/>
          <w:b/>
          <w:bCs/>
          <w:color w:val="1B4D3E"/>
          <w:sz w:val="25"/>
          <w:szCs w:val="25"/>
        </w:rPr>
        <w:t xml:space="preserve">Step 9: Roadmap (3:20 to 3:40)</w:t>
      </w:r>
    </w:p>
    <w:p>
      <w:pPr>
        <w:spacing w:after="100"/>
      </w:pPr>
      <w:r>
        <w:rPr>
          <w:rFonts w:ascii="Calibri" w:cs="Calibri" w:eastAsia="Calibri" w:hAnsi="Calibri"/>
          <w:b/>
          <w:bCs/>
        </w:rPr>
        <w:t xml:space="preserve">Show: </w:t>
      </w:r>
      <w:r>
        <w:rPr>
          <w:rFonts w:ascii="Calibri" w:cs="Calibri" w:eastAsia="Calibri" w:hAnsi="Calibri"/>
        </w:rPr>
        <w:t xml:space="preserve">the "Not implemented" roadmap section.</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We're also clear about what isn't built yet. Our roadmap includes a validated coincidence baseline from real independent-solution data, a private learning mode for students, LMS integrations, a fairness dashboard, in-browser parsing, and a student-controlled provenance timeline. Each needs validation, consent and a safe workflow before it can influence an academic decision, so we haven't faked any of them.</w:t>
      </w:r>
    </w:p>
    <w:p>
      <w:pPr>
        <w:pStyle w:val="Heading2"/>
        <w:spacing w:after="80" w:before="240"/>
      </w:pPr>
      <w:r>
        <w:rPr>
          <w:rFonts w:ascii="Calibri" w:cs="Calibri" w:eastAsia="Calibri" w:hAnsi="Calibri"/>
          <w:b/>
          <w:bCs/>
          <w:color w:val="1B4D3E"/>
          <w:sz w:val="25"/>
          <w:szCs w:val="25"/>
        </w:rPr>
        <w:t xml:space="preserve">Step 10: Close (3:40 to 3:55)</w:t>
      </w:r>
    </w:p>
    <w:p>
      <w:pPr>
        <w:spacing w:after="100"/>
      </w:pPr>
      <w:r>
        <w:rPr>
          <w:rFonts w:ascii="Calibri" w:cs="Calibri" w:eastAsia="Calibri" w:hAnsi="Calibri"/>
          <w:b/>
          <w:bCs/>
        </w:rPr>
        <w:t xml:space="preserve">Show: </w:t>
      </w:r>
      <w:r>
        <w:rPr>
          <w:rFonts w:ascii="Calibri" w:cs="Calibri" w:eastAsia="Calibri" w:hAnsi="Calibri"/>
        </w:rPr>
        <w:t xml:space="preserve">the "A demo, not a production security system" section, then the logo.</w:t>
      </w:r>
    </w:p>
    <w:p>
      <w:pPr>
        <w:pBdr>
          <w:left w:val="single" w:color="7FB89F" w:sz="18" w:space="8"/>
        </w:pBdr>
        <w:spacing w:after="120"/>
        <w:ind w:left="240"/>
      </w:pPr>
      <w:r>
        <w:rPr>
          <w:rFonts w:ascii="Calibri" w:cs="Calibri" w:eastAsia="Calibri" w:hAnsi="Calibri"/>
          <w:b/>
          <w:bCs/>
          <w:color w:val="1B4D3E"/>
        </w:rPr>
        <w:t xml:space="preserve">Say: </w:t>
      </w:r>
      <w:r>
        <w:rPr>
          <w:rFonts w:ascii="Calibri" w:cs="Calibri" w:eastAsia="Calibri" w:hAnsi="Calibri"/>
          <w:i/>
          <w:iCs/>
        </w:rPr>
        <w:t xml:space="preserve">Other tools ask 'did they copy?' CodeGuard asks 'do they understand?' Evidence first, AI with boundaries, people decide. CodeGuard AI: fair review starts with context, not a score.</w:t>
      </w:r>
    </w:p>
    <w:p>
      <w:pPr>
        <w:pStyle w:val="Heading1"/>
        <w:spacing w:after="120" w:before="300"/>
      </w:pPr>
      <w:r>
        <w:rPr>
          <w:rFonts w:ascii="Calibri" w:cs="Calibri" w:eastAsia="Calibri" w:hAnsi="Calibri"/>
          <w:b/>
          <w:bCs/>
          <w:color w:val="1B4D3E"/>
          <w:sz w:val="30"/>
          <w:szCs w:val="30"/>
        </w:rPr>
        <w:t xml:space="preserve">If the limit is 3 minutes</w:t>
      </w:r>
    </w:p>
    <w:p>
      <w:pPr>
        <w:spacing w:after="120"/>
      </w:pPr>
      <w:r>
        <w:rPr>
          <w:rFonts w:ascii="Calibri" w:cs="Calibri" w:eastAsia="Calibri" w:hAnsi="Calibri"/>
        </w:rPr>
        <w:t xml:space="preserve">Cut Step 2 to one sentence, merge Steps 3 and 8 into a ten-second montage, and shorten Step 9 to "Our roadmap includes a validated coincidence baseline, LMS integration and a private student learning mode."</w:t>
      </w:r>
    </w:p>
    <w:p>
      <w:pPr>
        <w:pStyle w:val="Heading1"/>
        <w:spacing w:after="120" w:before="300"/>
      </w:pPr>
      <w:r>
        <w:rPr>
          <w:rFonts w:ascii="Calibri" w:cs="Calibri" w:eastAsia="Calibri" w:hAnsi="Calibri"/>
          <w:b/>
          <w:bCs/>
          <w:color w:val="1B4D3E"/>
          <w:sz w:val="30"/>
          <w:szCs w:val="30"/>
        </w:rPr>
        <w:t xml:space="preserve">Why this version is stronger</w:t>
      </w:r>
    </w:p>
    <w:p>
      <w:pPr>
        <w:pStyle w:val="ListParagraph"/>
        <w:numPr>
          <w:ilvl w:val="0"/>
          <w:numId w:val="2"/>
        </w:numPr>
        <w:spacing w:after="60"/>
      </w:pPr>
      <w:r>
        <w:rPr>
          <w:rFonts w:ascii="Calibri" w:cs="Calibri" w:eastAsia="Calibri" w:hAnsi="Calibri"/>
        </w:rPr>
        <w:t xml:space="preserve">Judges reward honesty. Stating limits openly makes the rest of your claims more believable.</w:t>
      </w:r>
    </w:p>
    <w:p>
      <w:pPr>
        <w:pStyle w:val="ListParagraph"/>
        <w:numPr>
          <w:ilvl w:val="0"/>
          <w:numId w:val="2"/>
        </w:numPr>
        <w:spacing w:after="60"/>
      </w:pPr>
      <w:r>
        <w:rPr>
          <w:rFonts w:ascii="Calibri" w:cs="Calibri" w:eastAsia="Calibri" w:hAnsi="Calibri"/>
        </w:rPr>
        <w:t xml:space="preserve">The roadmap slide doubles as a Q&amp;A shield. Questions about AI-code detection or the coincidence score are already answered on screen.</w:t>
      </w:r>
    </w:p>
    <w:p>
      <w:pPr>
        <w:pStyle w:val="ListParagraph"/>
        <w:numPr>
          <w:ilvl w:val="0"/>
          <w:numId w:val="2"/>
        </w:numPr>
        <w:spacing w:after="60"/>
      </w:pPr>
      <w:r>
        <w:rPr>
          <w:rFonts w:ascii="Calibri" w:cs="Calibri" w:eastAsia="Calibri" w:hAnsi="Calibri"/>
        </w:rPr>
        <w:t xml:space="preserve">"Responsible AI" is a theme many hackathons score on, and your consent checkboxes, advisory labels and fallback behavior show it concretely.</w:t>
      </w:r>
    </w:p>
    <w:p>
      <w:pPr>
        <w:pStyle w:val="Heading1"/>
        <w:spacing w:after="120" w:before="300"/>
      </w:pPr>
      <w:r>
        <w:rPr>
          <w:rFonts w:ascii="Calibri" w:cs="Calibri" w:eastAsia="Calibri" w:hAnsi="Calibri"/>
          <w:b/>
          <w:bCs/>
          <w:color w:val="1B4D3E"/>
          <w:sz w:val="30"/>
          <w:szCs w:val="30"/>
        </w:rPr>
        <w:t xml:space="preserve">Likely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B4D3E" w:color="auto" w:val="clear"/>
            <w:tcMar>
              <w:top w:type="dxa" w:w="60"/>
              <w:left w:type="dxa" w:w="100"/>
              <w:bottom w:type="dxa" w:w="60"/>
              <w:right w:type="dxa" w:w="100"/>
            </w:tcMar>
          </w:tcPr>
          <w:p>
            <w:r>
              <w:rPr>
                <w:rFonts w:ascii="Calibri" w:cs="Calibri" w:eastAsia="Calibri" w:hAnsi="Calibri"/>
                <w:b/>
                <w:bCs/>
                <w:color w:val="FFFFFF"/>
                <w:sz w:val="20"/>
                <w:szCs w:val="20"/>
              </w:rPr>
              <w:t xml:space="preserve">Question</w:t>
            </w:r>
          </w:p>
        </w:tc>
        <w:tc>
          <w:tcPr>
            <w:tcW w:type="dxa" w:w="6360"/>
            <w:tcBorders>
              <w:top w:val="single" w:color="BBBBBB" w:sz="4"/>
              <w:left w:val="single" w:color="BBBBBB" w:sz="4"/>
              <w:bottom w:val="single" w:color="BBBBBB" w:sz="4"/>
              <w:right w:val="single" w:color="BBBBBB" w:sz="4"/>
            </w:tcBorders>
            <w:shd w:fill="1B4D3E" w:color="auto" w:val="clear"/>
            <w:tcMar>
              <w:top w:type="dxa" w:w="60"/>
              <w:left w:type="dxa" w:w="100"/>
              <w:bottom w:type="dxa" w:w="60"/>
              <w:right w:type="dxa" w:w="100"/>
            </w:tcMar>
          </w:tcPr>
          <w:p>
            <w:r>
              <w:rPr>
                <w:rFonts w:ascii="Calibri" w:cs="Calibri" w:eastAsia="Calibri" w:hAnsi="Calibri"/>
                <w:b/>
                <w:bCs/>
                <w:color w:val="FFFFFF"/>
                <w:sz w:val="20"/>
                <w:szCs w:val="20"/>
              </w:rPr>
              <w:t xml:space="preserve">Answer</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Is this AST-based like JPlag?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No. It uses local token and line heuristics. We say so, and AST or in-browser parsing is on the roadmap.</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Can it detect ChatGPT code?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No, and we don't claim to. Explain Your Code gives faculty a way to check understanding, though answers aren't proof either.</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Is student data safe?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It's a frontend demo with no backend. Gemini and EmailJS receive data only when configured, and Gemini only with consent. Production use would need a secure backend.</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What's your coincidence score?</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sz w:val="20"/>
                <w:szCs w:val="20"/>
              </w:rPr>
              <w:t xml:space="preserve">Not built yet, because it needs validated independent-solution data. Today we offer a common-algorithm context label.</w:t>
            </w:r>
          </w:p>
        </w:tc>
      </w:tr>
    </w:tbl>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2026-10-11T07:52:52.764Z</dcterms:created>
  <dcterms:modified xsi:type="dcterms:W3CDTF">2026-10-11T07:52:52.772Z</dcterms:modified>
</cp:coreProperties>
</file>

<file path=docProps/custom.xml><?xml version="1.0" encoding="utf-8"?>
<Properties xmlns="http://schemas.openxmlformats.org/officeDocument/2006/custom-properties" xmlns:vt="http://schemas.openxmlformats.org/officeDocument/2006/docPropsVTypes"/>
</file>