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Project Design Phase</w:t>
      </w:r>
    </w:p>
    <w:p w:rsidR="00000000" w:rsidDel="00000000" w:rsidP="00000000" w:rsidRDefault="00000000" w:rsidRPr="00000000" w14:paraId="00000002">
      <w:pPr>
        <w:spacing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Problem – Solution Fit </w:t>
      </w:r>
    </w:p>
    <w:p w:rsidR="00000000" w:rsidDel="00000000" w:rsidP="00000000" w:rsidRDefault="00000000" w:rsidRPr="00000000" w14:paraId="00000003">
      <w:pPr>
        <w:spacing w:line="259" w:lineRule="auto"/>
        <w:jc w:val="center"/>
        <w:rPr>
          <w:rFonts w:ascii="Calibri" w:cs="Calibri" w:eastAsia="Calibri" w:hAnsi="Calibri"/>
          <w:b w:val="1"/>
          <w:bCs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30 September 2026</w:t>
            </w:r>
          </w:p>
        </w:tc>
      </w:tr>
      <w:tr>
        <w:trPr>
          <w:cantSplit w:val="0"/>
          <w:tblHeader w:val="0"/>
        </w:trPr>
        <w:tc>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Team ID</w:t>
            </w:r>
          </w:p>
        </w:tc>
        <w:tc>
          <w:tcPr/>
          <w:p w:rsidR="00000000" w:rsidDel="00000000" w:rsidP="00000000" w:rsidRDefault="00000000" w:rsidRPr="00000000" w14:paraId="00000007">
            <w:pPr>
              <w:spacing w:line="276" w:lineRule="auto"/>
              <w:rPr>
                <w:rFonts w:ascii="Calibri" w:cs="Calibri" w:eastAsia="Calibri" w:hAnsi="Calibri"/>
              </w:rPr>
            </w:pPr>
            <w:r w:rsidDel="00000000" w:rsidR="00000000" w:rsidRPr="00000000">
              <w:rPr>
                <w:rFonts w:ascii="Montserrat" w:cs="Montserrat" w:eastAsia="Montserrat" w:hAnsi="Montserrat"/>
                <w:b w:val="1"/>
                <w:bCs w:val="1"/>
                <w:color w:val="4b5563"/>
                <w:sz w:val="23"/>
                <w:szCs w:val="23"/>
                <w:rtl w:val="0"/>
              </w:rPr>
              <w:t xml:space="preserve">SWTID-2026-6733</w:t>
            </w: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09">
            <w:pPr>
              <w:rPr>
                <w:rFonts w:ascii="Calibri" w:cs="Calibri" w:eastAsia="Calibri" w:hAnsi="Calibri"/>
                <w:sz w:val="10"/>
                <w:szCs w:val="10"/>
              </w:rPr>
            </w:pPr>
            <w:r w:rsidDel="00000000" w:rsidR="00000000" w:rsidRPr="00000000">
              <w:rPr>
                <w:rFonts w:ascii="Roboto" w:cs="Roboto" w:eastAsia="Roboto" w:hAnsi="Roboto"/>
                <w:color w:val="1f1f1f"/>
                <w:sz w:val="21"/>
                <w:szCs w:val="21"/>
                <w:rtl w:val="0"/>
              </w:rPr>
              <w:t xml:space="preserve">Import Data using Transform Maps (Spreadsheet)</w:t>
            </w:r>
            <w:r w:rsidDel="00000000" w:rsidR="00000000" w:rsidRPr="00000000">
              <w:rPr>
                <w:rFonts w:ascii="Calibri" w:cs="Calibri" w:eastAsia="Calibri" w:hAnsi="Calibri"/>
                <w:sz w:val="10"/>
                <w:szCs w:val="10"/>
                <w:rtl w:val="0"/>
              </w:rPr>
              <w:t xml:space="preserve"> </w:t>
            </w:r>
          </w:p>
        </w:tc>
      </w:tr>
      <w:tr>
        <w:trPr>
          <w:cantSplit w:val="0"/>
          <w:tblHeader w:val="0"/>
        </w:trPr>
        <w:tc>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2 Marks</w:t>
            </w:r>
          </w:p>
        </w:tc>
      </w:tr>
    </w:tbl>
    <w:p w:rsidR="00000000" w:rsidDel="00000000" w:rsidP="00000000" w:rsidRDefault="00000000" w:rsidRPr="00000000" w14:paraId="0000000C">
      <w:pPr>
        <w:spacing w:after="160" w:line="259" w:lineRule="auto"/>
        <w:rPr/>
      </w:pPr>
      <w:r w:rsidDel="00000000" w:rsidR="00000000" w:rsidRPr="00000000">
        <w:rPr>
          <w:rtl w:val="0"/>
        </w:rPr>
      </w:r>
    </w:p>
    <w:p w:rsidR="00000000" w:rsidDel="00000000" w:rsidP="00000000" w:rsidRDefault="00000000" w:rsidRPr="00000000" w14:paraId="0000000D">
      <w:pPr>
        <w:pStyle w:val="Heading3"/>
        <w:keepNext w:val="0"/>
        <w:keepLines w:val="0"/>
        <w:spacing w:before="0" w:lineRule="auto"/>
        <w:rPr>
          <w:b w:val="1"/>
          <w:bCs w:val="1"/>
          <w:color w:val="000000"/>
          <w:sz w:val="26"/>
          <w:szCs w:val="26"/>
        </w:rPr>
      </w:pPr>
      <w:bookmarkStart w:colFirst="0" w:colLast="0" w:name="_heading=h.lfjli620n6q5" w:id="0"/>
      <w:bookmarkEnd w:id="0"/>
      <w:r w:rsidDel="00000000" w:rsidR="00000000" w:rsidRPr="00000000">
        <w:rPr>
          <w:b w:val="1"/>
          <w:bCs w:val="1"/>
          <w:color w:val="000000"/>
          <w:sz w:val="26"/>
          <w:szCs w:val="26"/>
          <w:rtl w:val="0"/>
        </w:rPr>
        <w:t xml:space="preserve">Proposed Solution Template:</w:t>
      </w:r>
    </w:p>
    <w:p w:rsidR="00000000" w:rsidDel="00000000" w:rsidP="00000000" w:rsidRDefault="00000000" w:rsidRPr="00000000" w14:paraId="0000000E">
      <w:pPr>
        <w:spacing w:after="240" w:lineRule="auto"/>
        <w:rPr/>
      </w:pPr>
      <w:r w:rsidDel="00000000" w:rsidR="00000000" w:rsidRPr="00000000">
        <w:rPr>
          <w:rtl w:val="0"/>
        </w:rPr>
        <w:t xml:space="preserve">Project team shall fill the following information in the proposed solution template.</w:t>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1965"/>
        <w:gridCol w:w="5820"/>
        <w:tblGridChange w:id="0">
          <w:tblGrid>
            <w:gridCol w:w="1005"/>
            <w:gridCol w:w="1965"/>
            <w:gridCol w:w="582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b w:val="1"/>
                <w:bCs w:val="1"/>
                <w:rtl w:val="0"/>
              </w:rPr>
              <w:t xml:space="preserve">S.No.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b w:val="1"/>
                <w:bCs w:val="1"/>
                <w:rtl w:val="0"/>
              </w:rPr>
              <w:t xml:space="preserve">Parameter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b w:val="1"/>
                <w:bCs w:val="1"/>
                <w:rtl w:val="0"/>
              </w:rPr>
              <w:t xml:space="preserve">Description</w:t>
            </w: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b w:val="1"/>
                <w:bCs w:val="1"/>
                <w:rtl w:val="0"/>
              </w:rPr>
              <w:t xml:space="preserve">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b w:val="1"/>
                <w:bCs w:val="1"/>
                <w:rtl w:val="0"/>
              </w:rPr>
              <w:t xml:space="preserve">Problem Statement (Problem to be solved)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rtl w:val="0"/>
              </w:rPr>
              <w:t xml:space="preserve">Bulk employee data received in unstructured spreadsheets (.xlsx) leads to database table corruption, duplicate profile creation on re-import, and manual entry errors (typos and fatigue) when ingested directly into ServiceNow target tables without validation.</w:t>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b w:val="1"/>
                <w:bCs w:val="1"/>
                <w:rtl w:val="0"/>
              </w:rPr>
              <w:t xml:space="preserve">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b w:val="1"/>
                <w:bCs w:val="1"/>
                <w:rtl w:val="0"/>
              </w:rPr>
              <w:t xml:space="preserve">Idea / Solution description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rtl w:val="0"/>
              </w:rPr>
              <w:t xml:space="preserve">An end-to-end automated data ingestion pipeline using ServiceNow </w:t>
            </w:r>
            <w:r w:rsidDel="00000000" w:rsidR="00000000" w:rsidRPr="00000000">
              <w:rPr>
                <w:b w:val="1"/>
                <w:bCs w:val="1"/>
                <w:rtl w:val="0"/>
              </w:rPr>
              <w:t xml:space="preserve">Import Sets</w:t>
            </w:r>
            <w:r w:rsidDel="00000000" w:rsidR="00000000" w:rsidRPr="00000000">
              <w:rPr>
                <w:rtl w:val="0"/>
              </w:rPr>
              <w:t xml:space="preserve"> and </w:t>
            </w:r>
            <w:r w:rsidDel="00000000" w:rsidR="00000000" w:rsidRPr="00000000">
              <w:rPr>
                <w:b w:val="1"/>
                <w:bCs w:val="1"/>
                <w:rtl w:val="0"/>
              </w:rPr>
              <w:t xml:space="preserve">Transform Maps</w:t>
            </w:r>
            <w:r w:rsidDel="00000000" w:rsidR="00000000" w:rsidRPr="00000000">
              <w:rPr>
                <w:rtl w:val="0"/>
              </w:rPr>
              <w:t xml:space="preserve">. External Excel data is first loaded into a staging table (</w:t>
            </w:r>
            <w:r w:rsidDel="00000000" w:rsidR="00000000" w:rsidRPr="00000000">
              <w:rPr>
                <w:color w:val="188038"/>
                <w:rtl w:val="0"/>
              </w:rPr>
              <w:t xml:space="preserve">u_employee_data_import</w:t>
            </w:r>
            <w:r w:rsidDel="00000000" w:rsidR="00000000" w:rsidRPr="00000000">
              <w:rPr>
                <w:rtl w:val="0"/>
              </w:rPr>
              <w:t xml:space="preserve">), mapped to the target user table (</w:t>
            </w:r>
            <w:r w:rsidDel="00000000" w:rsidR="00000000" w:rsidRPr="00000000">
              <w:rPr>
                <w:color w:val="188038"/>
                <w:rtl w:val="0"/>
              </w:rPr>
              <w:t xml:space="preserve">sys_user</w:t>
            </w:r>
            <w:r w:rsidDel="00000000" w:rsidR="00000000" w:rsidRPr="00000000">
              <w:rPr>
                <w:rtl w:val="0"/>
              </w:rPr>
              <w:t xml:space="preserve">), and processed using a unique </w:t>
            </w:r>
            <w:r w:rsidDel="00000000" w:rsidR="00000000" w:rsidRPr="00000000">
              <w:rPr>
                <w:b w:val="1"/>
                <w:bCs w:val="1"/>
                <w:rtl w:val="0"/>
              </w:rPr>
              <w:t xml:space="preserve">Coalesce Key</w:t>
            </w:r>
            <w:r w:rsidDel="00000000" w:rsidR="00000000" w:rsidRPr="00000000">
              <w:rPr>
                <w:rtl w:val="0"/>
              </w:rPr>
              <w:t xml:space="preserve"> (</w:t>
            </w:r>
            <w:r w:rsidDel="00000000" w:rsidR="00000000" w:rsidRPr="00000000">
              <w:rPr>
                <w:color w:val="188038"/>
                <w:rtl w:val="0"/>
              </w:rPr>
              <w:t xml:space="preserve">u_employee_id</w:t>
            </w:r>
            <w:r w:rsidDel="00000000" w:rsidR="00000000" w:rsidRPr="00000000">
              <w:rPr>
                <w:rtl w:val="0"/>
              </w:rPr>
              <w:t xml:space="preserve">) alongside </w:t>
            </w:r>
            <w:r w:rsidDel="00000000" w:rsidR="00000000" w:rsidRPr="00000000">
              <w:rPr>
                <w:color w:val="188038"/>
                <w:rtl w:val="0"/>
              </w:rPr>
              <w:t xml:space="preserve">onBefore</w:t>
            </w:r>
            <w:r w:rsidDel="00000000" w:rsidR="00000000" w:rsidRPr="00000000">
              <w:rPr>
                <w:rtl w:val="0"/>
              </w:rPr>
              <w:t xml:space="preserve"> JavaScript transformation scripts to validate and sanitize data prior to record creation.</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b w:val="1"/>
                <w:bCs w:val="1"/>
                <w:rtl w:val="0"/>
              </w:rPr>
              <w:t xml:space="preserve">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b w:val="1"/>
                <w:bCs w:val="1"/>
                <w:rtl w:val="0"/>
              </w:rPr>
              <w:t xml:space="preserve">Novelty / Uniqueness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rtl w:val="0"/>
              </w:rPr>
              <w:t xml:space="preserve">Utilizes an isolated staging sandbox environment to protect primary database integrity while applying idempotent </w:t>
            </w:r>
            <w:r w:rsidDel="00000000" w:rsidR="00000000" w:rsidRPr="00000000">
              <w:rPr>
                <w:b w:val="1"/>
                <w:bCs w:val="1"/>
                <w:rtl w:val="0"/>
              </w:rPr>
              <w:t xml:space="preserve">Coalesce logic</w:t>
            </w:r>
            <w:r w:rsidDel="00000000" w:rsidR="00000000" w:rsidRPr="00000000">
              <w:rPr>
                <w:rtl w:val="0"/>
              </w:rPr>
              <w:t xml:space="preserve"> for instant de-duplication, combined with custom pre-transform scripting (</w:t>
            </w:r>
            <w:r w:rsidDel="00000000" w:rsidR="00000000" w:rsidRPr="00000000">
              <w:rPr>
                <w:color w:val="188038"/>
                <w:rtl w:val="0"/>
              </w:rPr>
              <w:t xml:space="preserve">onBefore</w:t>
            </w:r>
            <w:r w:rsidDel="00000000" w:rsidR="00000000" w:rsidRPr="00000000">
              <w:rPr>
                <w:rtl w:val="0"/>
              </w:rPr>
              <w:t xml:space="preserve">) that standardizes data (e.g., email lowercase formatting) dynamically on load.</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Social Impact / Customer Satisfaction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Eliminates manual data entry fatigue for IT Administrators and HR Ops Specialists, guarantees data hygiene across enterprise user identities, and boosts operational confidence by converting an error-prone process into a secure, 100% automated workflow.</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b w:val="1"/>
                <w:bCs w:val="1"/>
                <w:rtl w:val="0"/>
              </w:rPr>
              <w:t xml:space="preserve">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Business Model (Revenue Model)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Reduces IT operational overhead, saves hours of manual data cleanup, and prevents costly enterprise identity errors—delivering high value as an internal process automation capability or integrated IT Service Management (ITSM) utility module.</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b w:val="1"/>
                <w:bCs w:val="1"/>
                <w:rtl w:val="0"/>
              </w:rPr>
              <w:t xml:space="preserve">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b w:val="1"/>
                <w:bCs w:val="1"/>
                <w:rtl w:val="0"/>
              </w:rPr>
              <w:t xml:space="preserve">Scalability of the Solution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Easily scalable to handle large-scale enterprise migrations (10,000+ employee records), customizable to support complex multi-table relational mappings (e.g., Department, Role, Location), and adaptable for automated scheduled imports via FTP/MID Server integrations.</w:t>
            </w:r>
          </w:p>
        </w:tc>
      </w:tr>
    </w:tbl>
    <w:p w:rsidR="00000000" w:rsidDel="00000000" w:rsidP="00000000" w:rsidRDefault="00000000" w:rsidRPr="00000000" w14:paraId="00000024">
      <w:pPr>
        <w:spacing w:after="160" w:line="259"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KBCQeau9TSuzhM9j3LPMmcTKtQ==">CgMxLjAyDmgubGZqbGk2MjBuNnE1OAByITFqaUtybGp0OFJoUGhXeEdpblZBTDNPandpbk5ONTV2Ug==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