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Staff units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Persent for harmful conditions</w:t>
            </w:r>
          </w:p>
        </w:tc>
        <w:tc>
          <w:tcPr>
            <w:tcW w:type="dxa" w:w="1728"/>
          </w:tcPr>
          <w:p>
            <w:r>
              <w:t>Vacation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director</w:t>
            </w:r>
          </w:p>
        </w:tc>
        <w:tc>
          <w:tcPr>
            <w:tcW w:type="dxa" w:w="1728"/>
          </w:tcPr>
          <w:p>
            <w:r>
              <w:t>70000.0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department head</w:t>
            </w:r>
          </w:p>
        </w:tc>
        <w:tc>
          <w:tcPr>
            <w:tcW w:type="dxa" w:w="1728"/>
          </w:tcPr>
          <w:p>
            <w:r>
              <w:t>50000.0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chief accountant</w:t>
            </w:r>
          </w:p>
        </w:tc>
        <w:tc>
          <w:tcPr>
            <w:tcW w:type="dxa" w:w="1728"/>
          </w:tcPr>
          <w:p>
            <w:r>
              <w:t>50000.0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lead accountant</w:t>
            </w:r>
          </w:p>
        </w:tc>
        <w:tc>
          <w:tcPr>
            <w:tcW w:type="dxa" w:w="1728"/>
          </w:tcPr>
          <w:p>
            <w:r>
              <w:t>35000.0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35000.0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