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ОТЧЁТ ПО КУРСОВОЙ РАБОТЕ</w:t>
      </w:r>
    </w:p>
    <w:p>
      <w:r>
        <w:t xml:space="preserve">Исследование влияния цифрового кодирования категориальных признаков на качество нейронной сети</w:t>
      </w:r>
    </w:p>
    <w:p>
      <w:r>
        <w:t xml:space="preserve">Лабораторная работа № 4 · Вариант 17 · 2026</w:t>
      </w:r>
    </w:p>
    <w:p>
      <w:r>
        <w:t xml:space="preserve">Аннотация. В работе исследовано влияние цифровых кодировок категориальных признаков на бинарную классификацию уровня гидратации. Для датасета Daily Water Intake &amp; Hydration Patterns Dataset обучена сеть ReLU с десятью нейронами скрытого слоя. Перебраны 72 комбинации кодировок трёх категориальных признаков и изучено их парное взаимовлияние.</w:t>
      </w:r>
    </w:p>
    <w:p>
      <w:r>
        <w:t xml:space="preserve">1. Постановка задачи. Требовалось удалить исходное текстовое представление категорий, обучить сеть с приемлемой точностью, воспроизвести прямой проход в электронной таблице и подобрать кодировки категорий, уменьшающие число ошибок.</w:t>
      </w:r>
    </w:p>
    <w:p>
      <w:r>
        <w:t xml:space="preserve">2. Данные и предобработка. Использовано 30 000 строк. Цель Hydration Level закодирована как Poor=0 и Good=1. В модель включены Age, Daily Water Intake (liters), Gender, Physical Activity Level и Weather. Категории Gender имеют 2 значения, два остальных признака — по 3 значения. Нормализация выполнена по обучающей части.</w:t>
      </w:r>
    </w:p>
    <w:p>
      <w:r>
        <w:t xml:space="preserve">3. Модель. Архитектура: Linear(5, 10) → ReLU → Linear(10, 1), функция потерь BCEWithLogitsLoss, оптимизатор Adam, стратифицированное разбиение 80/20, seed 42. Для демонстрации Excel добавлена единичная строка к матрице весов и нулевой столбец к входам; их произведение не меняет исходный прямой проход.</w:t>
      </w:r>
    </w:p>
    <w:p>
      <w:r>
        <w:t xml:space="preserve">4. Базовый результат. На тестовой выборке baseline дал accuracy=0.8738, F1=0.9204, ошибок=757, матрица ошибок=[[864, 353], [404, 4379]].</w:t>
      </w:r>
    </w:p>
    <w:p>
      <w:r>
        <w:t xml:space="preserve">5. Поиск кодировок. Проверены 72 перестановки: 2! · 3! · 3!. Лучшая конфигурация дала ошибок=751 и accuracy=0.8748. Полная таблица ранжирования находится в листе Encoding_search.</w:t>
      </w:r>
    </w:p>
    <w:p>
      <w:r>
        <w:t xml:space="preserve">6. Взаимовлияние. Для пар Gender+Physical Activity Level, Gender+Weather и Physical Activity Level+Weather отдельно перебраны перестановки двух признаков при фиксированной кодировке третьего. Результаты и изменение числа ошибок приведены в листе Interactions.</w:t>
      </w:r>
    </w:p>
    <w:p>
      <w:r>
        <w:t xml:space="preserve">7. Электронная таблица. Лист check_baseline содержит рассчитанные значения первого слоя, ReLU, выходного нейрона и прогнозов. Лист Error_locations позволяет сверить количество и позиции ошибок с программным расчётом.</w:t>
      </w:r>
    </w:p>
    <w:p>
      <w:r>
        <w:t xml:space="preserve">Заключение. Цифровая кодировка категорий является частью параметризации входного пространства и может менять границу решения уже при неизменных весах сети. Для варианта 17 перебор кодов позволяет выбрать конфигурацию с меньшим числом ошибок; влияние отдельных категорий нельзя оценивать полностью независимо, поскольку пары признаков дают разные результаты.</w:t>
      </w:r>
    </w:p>
    <w:p>
      <w:r>
        <w:t xml:space="preserve">Состав работы: исходный CSV, PyTorch-скрипт, notebook, workbook с расчётом, checkpoint модели, метрики, таблицы поиска и визуализации.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8500000" cy="4200000"/>
            <wp:docPr id="1" name="encoding_search.png"/>
            <a:graphic>
              <a:graphicData uri="http://schemas.openxmlformats.org/drawingml/2006/picture">
                <pic:pic>
                  <pic:nvPicPr>
                    <pic:cNvPr id="0" name="encoding_search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5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8500000" cy="4200000"/>
            <wp:docPr id="2" name="category_interactions.png"/>
            <a:graphic>
              <a:graphicData uri="http://schemas.openxmlformats.org/drawingml/2006/picture">
                <pic:pic>
                  <pic:nvPicPr>
                    <pic:cNvPr id="0" name="category_interactions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5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000" w:right="1000" w:bottom="1000" w:left="100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encoding_search.png"/><Relationship Id="rId2" Type="http://schemas.openxmlformats.org/officeDocument/2006/relationships/image" Target="media/category_interactions.png"/></Relationships>
</file>