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Related Work</w:t>
      </w:r>
    </w:p>
    <w:p>
      <w:pPr>
        <w:pStyle w:val="Heading1"/>
      </w:pPr>
      <w:bookmarkStart w:id="20" w:name="related-work"/>
      <w:r>
        <w:t xml:space="preserve">Related Work</w:t>
      </w:r>
      <w:bookmarkEnd w:id="20"/>
    </w:p>
    <w:p>
      <w:pPr>
        <w:pStyle w:val="FirstParagraph"/>
      </w:pPr>
      <w:r>
        <w:rPr>
          <w:i/>
        </w:rPr>
        <w:t xml:space="preserve">Measuring Semantic Stability of Interpretation in Large Language Models: A UMLS-Grounded Semantic Entropy Framework for Clinical NLP Evaluation</w:t>
      </w:r>
    </w:p>
    <w:p>
      <w:pPr>
        <w:pStyle w:val="BodyText"/>
      </w:pPr>
      <w:r>
        <w:t xml:space="preserve">Target venue:</w:t>
      </w:r>
      <w:r>
        <w:t xml:space="preserve"> </w:t>
      </w:r>
      <w:r>
        <w:rPr>
          <w:i/>
        </w:rPr>
        <w:t xml:space="preserve">Journal of Biomedical Informatics</w:t>
      </w:r>
    </w:p>
    <w:p>
      <w:pPr>
        <w:pStyle w:val="BodyText"/>
      </w:pPr>
      <w:r>
        <w:t xml:space="preserve">We organise prior work into eight clusters that jointly motivate a UMLS-grounded semantic entropy framework and its use as an abstention signal. The first four clusters establish that accuracy is an incomplete reliability criterion, that meaning-preserving variation is the right probe, that semantic entropy is the right family of metric, and that UMLS already defines biomedical meaning. The remaining clusters address what a biomedical informatics paper must still show: how linking confidence and candidate margin differ from entropy; how selective prediction turns a diagnostic score into a withhold policy; how scores should be combined; and on which textual genres the claim is tested.</w:t>
      </w:r>
    </w:p>
    <w:p>
      <w:pPr>
        <w:pStyle w:val="Heading2"/>
      </w:pPr>
      <w:bookmarkStart w:id="21" w:name="prompt-sensitivity-and-semantic-consistency"/>
      <w:r>
        <w:t xml:space="preserve">2.1 Prompt sensitivity and semantic consistency</w:t>
      </w:r>
      <w:bookmarkEnd w:id="21"/>
    </w:p>
    <w:p>
      <w:pPr>
        <w:pStyle w:val="FirstParagraph"/>
      </w:pPr>
      <w:r>
        <w:t xml:space="preserve">Large language model (LLM) accuracy is highly sensitive to prompt wording and formatting. Sclar et al. (2024) showed that purely cosmetic changes to separators, spacing, and option labels can produce accuracy spreads of tens of percentage points across templates on multiple-choice benchmarks. Zhuo et al. (2024) introduced ProSA to measure prompt sensitivity and showed that it is task-specific. Focusing on paraphrase rather than formatting, Raj et al. (2023) reported that semantic inconsistency is substantially higher than the task error rate, empirically separating one-shot correctness from stable interpretation. Wang et al. (2023) showed that inter-sample agreement under self-consistency decoding correlates with correctness, and Wei et al. (2022) showed that chain-of-thought prompting further illustrates how strongly output behaviour depends on prompt structure. Novikova et al. (2025) surveyed factual, hypothetical, and moral consistency and noted that no single benchmark covers all facets and no common stability protocol is used.</w:t>
      </w:r>
    </w:p>
    <w:p>
      <w:pPr>
        <w:pStyle w:val="BodyText"/>
      </w:pPr>
      <w:r>
        <w:t xml:space="preserve">These studies establish the phenomenon—models do not treat meaning-equivalent inputs as equivalent—but they typically report accuracy deltas or agreement rates. They do not produce a concept-level uncertainty score that can be compared across encoder-only linkers and generative models, nor do they ground equivalence in a biomedical ontology.</w:t>
      </w:r>
    </w:p>
    <w:p>
      <w:pPr>
        <w:pStyle w:val="Heading2"/>
      </w:pPr>
      <w:bookmarkStart w:id="22" w:name="meaning-preserving-perturbations-and-robustness"/>
      <w:r>
        <w:t xml:space="preserve">2.2 Meaning-preserving perturbations and robustness</w:t>
      </w:r>
      <w:bookmarkEnd w:id="22"/>
    </w:p>
    <w:p>
      <w:pPr>
        <w:pStyle w:val="FirstParagraph"/>
      </w:pPr>
      <w:r>
        <w:t xml:space="preserve">Classical adversarial NLP probes instability under minimal, meaning-preserving edits. Jin et al. (2020) introduced TextFooler, which collapsed BERT accuracy on sentiment by substituting a small fraction of words while targeting semantic preservation. Ebrahimi et al. (2018) introduced HotFlip using gradient-guided character flips. Together they justify a methodological constraint that this paper adopts: if the input’s meaning is not held fixed, output drift cannot be attributed to the model. In the LLM era, Goyal et al. (2023) argued that attack success must be separated from semantic preservation. Alahmari et al. (2025) reported that larger models remain only modestly more robust under synonym and paraphrase attacks, and Xu et al. (2024) showed that an LLM can generate adversarial prompts capable of misleading itself. Şahin (2022) found that no single augmentation method dominates, implying that perturbation inventories must be justified semantically rather than chosen for attack success.</w:t>
      </w:r>
    </w:p>
    <w:p>
      <w:pPr>
        <w:pStyle w:val="BodyText"/>
      </w:pPr>
      <w:r>
        <w:t xml:space="preserve">Within biomedical NLP, Moradi and Samwald (2022) showed that adversarial training can improve robustness, but they measured stability through task accuracy rather than a meaning-level uncertainty metric. The evaluation protocol in the present study therefore uses gated, meaning-preserving rewrites (back-translation, controlled paraphrase, UMLS-validated synonym substitution, and syntactic reordering) and rejects candidates that flip negation, replace entities, or otherwise change clinical meaning. The gates are a quality-control layer on top of the adversarial-robustness tradition, not an attack.</w:t>
      </w:r>
    </w:p>
    <w:p>
      <w:pPr>
        <w:pStyle w:val="Heading2"/>
      </w:pPr>
      <w:bookmarkStart w:id="23" w:name="calibration-semantic-entropy-and-the-operationalisation-of-meaning"/>
      <w:r>
        <w:t xml:space="preserve">2.3 Calibration, semantic entropy, and the operationalisation of meaning</w:t>
      </w:r>
      <w:bookmarkEnd w:id="23"/>
    </w:p>
    <w:p>
      <w:pPr>
        <w:pStyle w:val="FirstParagraph"/>
      </w:pPr>
      <w:r>
        <w:t xml:space="preserve">Two research programmes address reliability without measuring interpretation invariance. The first is</w:t>
      </w:r>
      <w:r>
        <w:t xml:space="preserve"> </w:t>
      </w:r>
      <w:r>
        <w:rPr>
          <w:b/>
        </w:rPr>
        <w:t xml:space="preserve">calibration</w:t>
      </w:r>
      <w:r>
        <w:t xml:space="preserve">: aligning predicted probabilities with empirical correctness (Guo et al., 2017) or eliciting self-reported uncertainty from LLMs (Kadavath et al., 2022; Lin et al., 2022; Tian et al., 2023). Calibration improves the statement</w:t>
      </w:r>
      <w:r>
        <w:t xml:space="preserve"> </w:t>
      </w:r>
      <w:r>
        <w:t xml:space="preserve">“</w:t>
      </w:r>
      <w:r>
        <w:t xml:space="preserve">this score means 90% chance of being right.</w:t>
      </w:r>
      <w:r>
        <w:t xml:space="preserve">”</w:t>
      </w:r>
      <w:r>
        <w:t xml:space="preserve"> </w:t>
      </w:r>
      <w:r>
        <w:t xml:space="preserve">It does not ask whether the same clinical meaning, expressed differently, yields the same concept.</w:t>
      </w:r>
    </w:p>
    <w:p>
      <w:pPr>
        <w:pStyle w:val="BodyText"/>
      </w:pPr>
      <w:r>
        <w:t xml:space="preserve">The second programme is</w:t>
      </w:r>
      <w:r>
        <w:t xml:space="preserve"> </w:t>
      </w:r>
      <w:r>
        <w:rPr>
          <w:b/>
        </w:rPr>
        <w:t xml:space="preserve">semantic entropy</w:t>
      </w:r>
      <w:r>
        <w:t xml:space="preserve">. Kuhn et al. (2023) defined semantic entropy over clusters of semantically equivalent generations, using a bidirectional natural language inference (NLI) model to decide which strings share a meaning, and reported AUROC gains over length-normalised token entropy. Farquhar et al. (2024) scaled the method across models and question-answering (QA) datasets and showed consistent gains over token-level log-likelihood and lexical-similarity baselines. Manakul et al. (2023) proposed SelfCheckGPT as a zero-resource consistency check that does not require a formal equivalence criterion. Savage et al. (2024) applied consistency-based proxies to GPT-4 on medical QA with improved discrimination and calibration.</w:t>
      </w:r>
    </w:p>
    <w:p>
      <w:pPr>
        <w:pStyle w:val="BodyText"/>
      </w:pPr>
      <w:r>
        <w:t xml:space="preserve">These methods are a conceptual advance because they target meaning rather than tokens. Their remaining limitation for biomedical informatics is the</w:t>
      </w:r>
      <w:r>
        <w:t xml:space="preserve"> </w:t>
      </w:r>
      <w:r>
        <w:rPr>
          <w:b/>
        </w:rPr>
        <w:t xml:space="preserve">equivalence relation</w:t>
      </w:r>
      <w:r>
        <w:t xml:space="preserve">. NLI models trained on general-domain entailment are an approximation of clinical synonymy:</w:t>
      </w:r>
      <w:r>
        <w:t xml:space="preserve"> </w:t>
      </w:r>
      <w:r>
        <w:t xml:space="preserve">“</w:t>
      </w:r>
      <w:r>
        <w:t xml:space="preserve">MI</w:t>
      </w:r>
      <w:r>
        <w:t xml:space="preserve">”</w:t>
      </w:r>
      <w:r>
        <w:t xml:space="preserve">,</w:t>
      </w:r>
      <w:r>
        <w:t xml:space="preserve"> </w:t>
      </w:r>
      <w:r>
        <w:t xml:space="preserve">“</w:t>
      </w:r>
      <w:r>
        <w:t xml:space="preserve">heart attack</w:t>
      </w:r>
      <w:r>
        <w:t xml:space="preserve">”</w:t>
      </w:r>
      <w:r>
        <w:t xml:space="preserve">, and</w:t>
      </w:r>
      <w:r>
        <w:t xml:space="preserve"> </w:t>
      </w:r>
      <w:r>
        <w:t xml:space="preserve">“</w:t>
      </w:r>
      <w:r>
        <w:t xml:space="preserve">myocardial infarction</w:t>
      </w:r>
      <w:r>
        <w:t xml:space="preserve">”</w:t>
      </w:r>
      <w:r>
        <w:t xml:space="preserve"> </w:t>
      </w:r>
      <w:r>
        <w:t xml:space="preserve">should be identical for evaluation purposes even when surface form and local NLI scores disagree. The Unified Medical Language System (UMLS) already encodes that identity through Concept Unique Identifiers (CUIs) (Bodenreider, 2004). Ontology-aware metrics also improve agreement with expert judgement relative to lexical overlap (Afshar et al., 2024). No prior semantic-entropy study, to our knowledge, replaces NLI clustering with CUI identity, or computes entropy over</w:t>
      </w:r>
      <w:r>
        <w:t xml:space="preserve"> </w:t>
      </w:r>
      <w:r>
        <w:rPr>
          <w:b/>
        </w:rPr>
        <w:t xml:space="preserve">input perturbations</w:t>
      </w:r>
      <w:r>
        <w:t xml:space="preserve"> </w:t>
      </w:r>
      <w:r>
        <w:t xml:space="preserve">of a mention rather than temperature samples of a single prompt.</w:t>
      </w:r>
    </w:p>
    <w:p>
      <w:pPr>
        <w:pStyle w:val="BodyText"/>
      </w:pPr>
      <w:r>
        <w:t xml:space="preserve">A further operational gap follows. Semantic entropy as AUROC against correctness is a</w:t>
      </w:r>
      <w:r>
        <w:t xml:space="preserve"> </w:t>
      </w:r>
      <w:r>
        <w:rPr>
          <w:b/>
        </w:rPr>
        <w:t xml:space="preserve">discrimination</w:t>
      </w:r>
      <w:r>
        <w:t xml:space="preserve"> </w:t>
      </w:r>
      <w:r>
        <w:t xml:space="preserve">result. It does not by itself specify an abstention policy (which fraction of cases to keep, and whether the ranking beats chance). That step belongs to selective prediction (Section 2.6).</w:t>
      </w:r>
    </w:p>
    <w:p>
      <w:pPr>
        <w:pStyle w:val="Heading2"/>
      </w:pPr>
      <w:bookmarkStart w:id="24" w:name="biomedical-language-models-umls-and-concept-normalisation"/>
      <w:r>
        <w:t xml:space="preserve">2.4 Biomedical language models, UMLS, and concept normalisation</w:t>
      </w:r>
      <w:bookmarkEnd w:id="24"/>
    </w:p>
    <w:p>
      <w:pPr>
        <w:pStyle w:val="FirstParagraph"/>
      </w:pPr>
      <w:r>
        <w:t xml:space="preserve">Domain-specific pretraining motivates treating clinical and biomedical NLP as a distinct evaluation setting. Lee et al. (2020) showed that BioBERT improved biomedical named-entity recognition and QA relative to BERT. Gu et al. (2021) introduced PubMedBERT, reported strong BLURB results, and argued that mixed-domain pretraining is suboptimal for biomedical language—an argument that matters here because evaluation is at the</w:t>
      </w:r>
      <w:r>
        <w:t xml:space="preserve"> </w:t>
      </w:r>
      <w:r>
        <w:rPr>
          <w:b/>
        </w:rPr>
        <w:t xml:space="preserve">concept</w:t>
      </w:r>
      <w:r>
        <w:t xml:space="preserve"> </w:t>
      </w:r>
      <w:r>
        <w:t xml:space="preserve">level, not the token level. Tinn et al. (2023) showed that biomedical models differ not only in accuracy but also in variance across random seeds, a finding adjacent to stability under semantic perturbation. Labrak et al. (2024) released BioMistral from Mistral-7B on PubMed Central. Instruction-tuned open models now used in biomedical applications include Mistral-7B-Instruct (Jiang et al., 2023), Llama 3 (Grattafiori et al., 2024), and Llama 3–based OpenBioLLM (Pal and Sankarasubbu, 2024). Singhal et al. (2023) showed that large LLMs can exceed USMLE-style passing thresholds while leaving safety and uncertainty communication unresolved.</w:t>
      </w:r>
    </w:p>
    <w:p>
      <w:pPr>
        <w:pStyle w:val="BodyText"/>
      </w:pPr>
      <w:r>
        <w:t xml:space="preserve">These papers almost uniformly compare models on</w:t>
      </w:r>
      <w:r>
        <w:t xml:space="preserve"> </w:t>
      </w:r>
      <w:r>
        <w:rPr>
          <w:b/>
        </w:rPr>
        <w:t xml:space="preserve">task accuracy</w:t>
      </w:r>
      <w:r>
        <w:t xml:space="preserve">. They do not report whether biomedical pretraining reduces interpretation entropy under controlled paraphrase. Encoder-only models that emit CUIs and generative models that emit free text also cannot share an accuracy number without an explicit mapping into the same meaning space. UMLS supplies that space (Bodenreider, 2004). MedMentions (Mohan and Li, 2019) operationalises CUI annotation on PubMed abstracts (ST21pv). ScispaCy (Neumann et al., 2019) is a widely used linker. Dobbins (2025) reported that even recent LLMs struggle with multistage biomedical concept normalisation, which is further reason to evaluate at CUI level rather than token overlap. Liu et al. (2021) introduced SapBERT, which self-aligns UMLS synonym strings so that cosine proximity approximates concept identity and supports dense retrieval over the metathesaurus.</w:t>
      </w:r>
    </w:p>
    <w:p>
      <w:pPr>
        <w:pStyle w:val="BodyText"/>
      </w:pPr>
      <w:r>
        <w:t xml:space="preserve">The present work uses that linking stack in two roles that the literature usually keeps separate: (i) as the</w:t>
      </w:r>
      <w:r>
        <w:t xml:space="preserve"> </w:t>
      </w:r>
      <w:r>
        <w:rPr>
          <w:b/>
        </w:rPr>
        <w:t xml:space="preserve">definition of meaning</w:t>
      </w:r>
      <w:r>
        <w:t xml:space="preserve"> </w:t>
      </w:r>
      <w:r>
        <w:t xml:space="preserve">for entropy (two outputs are equivalent iff they normalise to the same CUI), and (ii) as a source of</w:t>
      </w:r>
      <w:r>
        <w:t xml:space="preserve"> </w:t>
      </w:r>
      <w:r>
        <w:rPr>
          <w:b/>
        </w:rPr>
        <w:t xml:space="preserve">per-instance scores</w:t>
      </w:r>
      <w:r>
        <w:t xml:space="preserve"> </w:t>
      </w:r>
      <w:r>
        <w:t xml:space="preserve">(top cosine; CUI-level margin) that can be compared with entropy for abstention.</w:t>
      </w:r>
    </w:p>
    <w:p>
      <w:pPr>
        <w:pStyle w:val="Heading2"/>
      </w:pPr>
      <w:bookmarkStart w:id="25" w:name="retrieval-confidence-and-cui-level-candidate-margin"/>
      <w:r>
        <w:t xml:space="preserve">2.5 Retrieval confidence and CUI-level candidate margin</w:t>
      </w:r>
      <w:bookmarkEnd w:id="25"/>
    </w:p>
    <w:p>
      <w:pPr>
        <w:pStyle w:val="FirstParagraph"/>
      </w:pPr>
      <w:r>
        <w:t xml:space="preserve">In a retrieve-and-rank linker, the default confidence is the cosine similarity of the top hit (Liu et al., 2021). That score is not semantic entropy: it is computed on a single query, not on a distribution over meaning-preserving rewrites. It also does not encode</w:t>
      </w:r>
      <w:r>
        <w:t xml:space="preserve"> </w:t>
      </w:r>
      <w:r>
        <w:rPr>
          <w:b/>
        </w:rPr>
        <w:t xml:space="preserve">competition</w:t>
      </w:r>
      <w:r>
        <w:t xml:space="preserve">. Two CUIs with nearly equal cosine constitute an ambiguous link even if the winner’s cosine is high; a large gap to the best</w:t>
      </w:r>
      <w:r>
        <w:t xml:space="preserve"> </w:t>
      </w:r>
      <w:r>
        <w:rPr>
          <w:i/>
        </w:rPr>
        <w:t xml:space="preserve">different</w:t>
      </w:r>
      <w:r>
        <w:t xml:space="preserve"> </w:t>
      </w:r>
      <w:r>
        <w:t xml:space="preserve">CUI is a clearer link even if the absolute cosine is moderate. Margin-style scores (winner minus runner-up) are standard in classification and metric learning. In UMLS linking, the runner-up must be defined at</w:t>
      </w:r>
      <w:r>
        <w:t xml:space="preserve"> </w:t>
      </w:r>
      <w:r>
        <w:rPr>
          <w:b/>
        </w:rPr>
        <w:t xml:space="preserve">CUI</w:t>
      </w:r>
      <w:r>
        <w:t xml:space="preserve"> </w:t>
      </w:r>
      <w:r>
        <w:t xml:space="preserve">level, not surface-form level. Many forms share a CUI (Bodenreider, 2004); a second FAISS neighbour that is a synonym of the winner is not a competing concept.</w:t>
      </w:r>
    </w:p>
    <w:p>
      <w:pPr>
        <w:pStyle w:val="BodyText"/>
      </w:pPr>
      <w:r>
        <w:t xml:space="preserve">This distinction is consequential for abstention. Semantic entropy is often zero-inflated: if every perturbation maps to one CUI, entropy cannot rank within that block. A constant mapping score (including a dummy confidence of 1.0 when the model already emits a CUI) likewise cannot rank. A CUI-level candidate margin can still vary when entropy is zero, because the predicted concept may sit far above or barely above the next distinct CUI. Whether that ranking correlates with</w:t>
      </w:r>
      <w:r>
        <w:t xml:space="preserve"> </w:t>
      </w:r>
      <w:r>
        <w:rPr>
          <w:b/>
        </w:rPr>
        <w:t xml:space="preserve">gold CUI match</w:t>
      </w:r>
      <w:r>
        <w:t xml:space="preserve"> </w:t>
      </w:r>
      <w:r>
        <w:t xml:space="preserve">is empirical. Retrieval geometry can be miscalibrated on colloquial patient text or on general-domain answer strings that were never intended as UMLS queries. Using margin as a benchmark signal on Wikipedia QA is therefore a stress test of the metric, not a claim that UMLS is the right ontology for SQuAD.</w:t>
      </w:r>
    </w:p>
    <w:p>
      <w:pPr>
        <w:pStyle w:val="BodyText"/>
      </w:pPr>
      <w:r>
        <w:t xml:space="preserve">Prior linking work treats cosine and related scores as</w:t>
      </w:r>
      <w:r>
        <w:t xml:space="preserve"> </w:t>
      </w:r>
      <w:r>
        <w:rPr>
          <w:b/>
        </w:rPr>
        <w:t xml:space="preserve">linking quality</w:t>
      </w:r>
      <w:r>
        <w:t xml:space="preserve">, not as selective-prediction rankers sitting beside perturbation entropy. That comparison is required if the practical question is which score should drive a withhold decision.</w:t>
      </w:r>
    </w:p>
    <w:p>
      <w:pPr>
        <w:pStyle w:val="Heading2"/>
      </w:pPr>
      <w:bookmarkStart w:id="26" w:name="selective-prediction-and-abstention"/>
      <w:r>
        <w:t xml:space="preserve">2.6 Selective prediction and abstention</w:t>
      </w:r>
      <w:bookmarkEnd w:id="26"/>
    </w:p>
    <w:p>
      <w:pPr>
        <w:pStyle w:val="FirstParagraph"/>
      </w:pPr>
      <w:r>
        <w:t xml:space="preserve">A system that always answers will include its worst cases. Chow (1970) formulated the reject option as an explicit trade-off between error and the cost of abstention. El-Yaniv and Wiener (2010) and Geifman and El-Yaniv (2017) recast this as selective classification: rank instances by a confidence-like score, retain the top fraction (</w:t>
      </w:r>
      <w:r>
        <w:rPr>
          <w:b/>
        </w:rPr>
        <w:t xml:space="preserve">coverage</w:t>
      </w:r>
      <w:r>
        <w:t xml:space="preserve">), and measure error on the retained subset (</w:t>
      </w:r>
      <w:r>
        <w:rPr>
          <w:b/>
        </w:rPr>
        <w:t xml:space="preserve">risk</w:t>
      </w:r>
      <w:r>
        <w:t xml:space="preserve">). Sweeping coverage yields a risk–coverage curve; the area under that curve (</w:t>
      </w:r>
      <w:r>
        <w:rPr>
          <w:b/>
        </w:rPr>
        <w:t xml:space="preserve">AURC</w:t>
      </w:r>
      <w:r>
        <w:t xml:space="preserve">) summarises ranking quality. Lower is better. A useful signal lies below a</w:t>
      </w:r>
      <w:r>
        <w:t xml:space="preserve"> </w:t>
      </w:r>
      <w:r>
        <w:rPr>
          <w:b/>
        </w:rPr>
        <w:t xml:space="preserve">random</w:t>
      </w:r>
      <w:r>
        <w:t xml:space="preserve"> </w:t>
      </w:r>
      <w:r>
        <w:t xml:space="preserve">ranking baseline; a signal anti-correlated with correctness can lie above it.</w:t>
      </w:r>
    </w:p>
    <w:p>
      <w:pPr>
        <w:pStyle w:val="BodyText"/>
      </w:pPr>
      <w:r>
        <w:t xml:space="preserve">Calibration and selective prediction are not the same. Xin et al. (2021) emphasised that a model can be poorly calibrated yet rank errors correctly, or well calibrated yet useless for ranking. Hendrycks and Gimpel (2017) provided a maximum-softmax baseline still used as a comparison point. For generative QA, the analogue is typically sequence log-probability, not UMLS cosine. Kamath et al. (2020) showed that selective QA degrades under domain shift, which is relevant to a biomedical-to-general evaluation grid.</w:t>
      </w:r>
    </w:p>
    <w:p>
      <w:pPr>
        <w:pStyle w:val="BodyText"/>
      </w:pPr>
      <w:r>
        <w:t xml:space="preserve">In healthcare LLM work, semantic entropy has been used to detect unreliable answers and, in some studies, to train models to refuse (Farquhar et al., 2024; related fine-tuning work using semantic entropy as an uncertainty target). Those pipelines still define meaning via sampled generations and NLI-style clustering. They do not report risk–coverage for</w:t>
      </w:r>
      <w:r>
        <w:t xml:space="preserve"> </w:t>
      </w:r>
      <w:r>
        <w:rPr>
          <w:b/>
        </w:rPr>
        <w:t xml:space="preserve">CUI entropy under gated input perturbation</w:t>
      </w:r>
      <w:r>
        <w:t xml:space="preserve">, nor do they compare that ranking with SapBERT cosine and CUI-level margin on concept normalisation. They also do not keep concept linking and free-text QA as separate lanes: CUI match and answer match are different correctness criteria, and mixing their AURC values would recreate the evaluation illusion at the metric level (Agrawal et al., 2025).</w:t>
      </w:r>
    </w:p>
    <w:p>
      <w:pPr>
        <w:pStyle w:val="Heading2"/>
      </w:pPr>
      <w:bookmarkStart w:id="27" w:name="combining-uncertainty-scores"/>
      <w:r>
        <w:t xml:space="preserve">2.7 Combining uncertainty scores</w:t>
      </w:r>
      <w:bookmarkEnd w:id="27"/>
    </w:p>
    <w:p>
      <w:pPr>
        <w:pStyle w:val="FirstParagraph"/>
      </w:pPr>
      <w:r>
        <w:t xml:space="preserve">When entropy, confidence, and margin are all available, fusion is tempting. Two combiners are easily confused and must be reported separately.</w:t>
      </w:r>
    </w:p>
    <w:p>
      <w:pPr>
        <w:pStyle w:val="BodyText"/>
      </w:pPr>
      <w:r>
        <w:rPr>
          <w:b/>
        </w:rPr>
        <w:t xml:space="preserve">Lexicographic combination</w:t>
      </w:r>
      <w:r>
        <w:t xml:space="preserve"> </w:t>
      </w:r>
      <w:r>
        <w:t xml:space="preserve">sorts by a primary key and uses a secondary key only to break ties. If the primary key is nearly continuous, the secondary key almost never fires and the ranking collapses to the primary signal. If the primary key is discrete or heavily tied—as entropy is when the number of distinct CUIs is small—a tie-break can move a non-trivial fraction of pairs. Ranking by entropy and breaking ties with confidence is the honest implementation of</w:t>
      </w:r>
      <w:r>
        <w:t xml:space="preserve"> </w:t>
      </w:r>
      <w:r>
        <w:t xml:space="preserve">“</w:t>
      </w:r>
      <w:r>
        <w:t xml:space="preserve">trust stability first.</w:t>
      </w:r>
      <w:r>
        <w:t xml:space="preserve">”</w:t>
      </w:r>
    </w:p>
    <w:p>
      <w:pPr>
        <w:pStyle w:val="BodyText"/>
      </w:pPr>
      <w:r>
        <w:rPr>
          <w:b/>
        </w:rPr>
        <w:t xml:space="preserve">Mean of direction-aligned ranks</w:t>
      </w:r>
      <w:r>
        <w:t xml:space="preserve"> </w:t>
      </w:r>
      <w:r>
        <w:t xml:space="preserve">converts each score to a within-model percentile and averages them, so every signal votes on every instance. Complementary information can help; a weak or anti-correlated third vote dilutes a strong one. There is no guarantee that the average beats the best single signal (Kittler et al., 1998). That comparison is the result, not a bug.</w:t>
      </w:r>
    </w:p>
    <w:p>
      <w:pPr>
        <w:pStyle w:val="BodyText"/>
      </w:pPr>
      <w:r>
        <w:t xml:space="preserve">Kuhn et al. (2023) and Farquhar et al. (2024) compared semantic entropy with token-level baselines as</w:t>
      </w:r>
      <w:r>
        <w:t xml:space="preserve"> </w:t>
      </w:r>
      <w:r>
        <w:rPr>
          <w:b/>
        </w:rPr>
        <w:t xml:space="preserve">alternatives</w:t>
      </w:r>
      <w:r>
        <w:t xml:space="preserve">, not as an equal-weight committee with a retrieval margin. Verbalised uncertainty (Lin et al., 2022; Tian et al., 2023) is another single. A biomedical informatics evaluation that claims to</w:t>
      </w:r>
      <w:r>
        <w:t xml:space="preserve"> </w:t>
      </w:r>
      <w:r>
        <w:t xml:space="preserve">“</w:t>
      </w:r>
      <w:r>
        <w:t xml:space="preserve">combine three signals</w:t>
      </w:r>
      <w:r>
        <w:t xml:space="preserve">”</w:t>
      </w:r>
      <w:r>
        <w:t xml:space="preserve"> </w:t>
      </w:r>
      <w:r>
        <w:t xml:space="preserve">must say which combiner was used and must include the lexicographic entropy-then-confidence policy as a baseline if the mean of three ranks is reported.</w:t>
      </w:r>
    </w:p>
    <w:p>
      <w:pPr>
        <w:pStyle w:val="Heading2"/>
      </w:pPr>
      <w:bookmarkStart w:id="28" w:name="evaluation-settings-scientific-text-patient-generated-health-text-and-qa"/>
      <w:r>
        <w:t xml:space="preserve">2.8 Evaluation settings: scientific text, patient-generated health text, and QA</w:t>
      </w:r>
      <w:bookmarkEnd w:id="28"/>
    </w:p>
    <w:p>
      <w:pPr>
        <w:pStyle w:val="FirstParagraph"/>
      </w:pPr>
      <w:r>
        <w:t xml:space="preserve">MedMentions ST21pv (Mohan and Li, 2019) supplies UMLS-linked mentions in PubMed abstracts. It is the natural primary set for CUI-grounded entropy, but it is</w:t>
      </w:r>
      <w:r>
        <w:t xml:space="preserve"> </w:t>
      </w:r>
      <w:r>
        <w:rPr>
          <w:b/>
        </w:rPr>
        <w:t xml:space="preserve">scientific prose</w:t>
      </w:r>
      <w:r>
        <w:t xml:space="preserve">, not clinician-authored electronic health record (EHR) notes. Névéol et al. (2018) reviewed the limits of clinical NLP beyond English scientific text; Boag et al. (2018) showed that clinical free text carries signal not captured by structured codes. The present study therefore does not treat MedMentions as a surrogate for bedside notes.</w:t>
      </w:r>
    </w:p>
    <w:p>
      <w:pPr>
        <w:pStyle w:val="BodyText"/>
      </w:pPr>
      <w:r>
        <w:t xml:space="preserve">CADEC (Karimi et al., 2015), published in this journal, is a corpus of</w:t>
      </w:r>
      <w:r>
        <w:t xml:space="preserve"> </w:t>
      </w:r>
      <w:r>
        <w:rPr>
          <w:b/>
        </w:rPr>
        <w:t xml:space="preserve">patient-reported</w:t>
      </w:r>
      <w:r>
        <w:t xml:space="preserve"> </w:t>
      </w:r>
      <w:r>
        <w:t xml:space="preserve">adverse drug event posts from a public forum, annotated for drugs, effects, symptoms, and diseases and linked to SNOMED CT, MedDRA, and AMT. The language is colloquial and often ungrammatical. It is an appropriate stress test for UMLS-grounded stability if the claim is biomedical reliability beyond abstracts. It is</w:t>
      </w:r>
      <w:r>
        <w:t xml:space="preserve"> </w:t>
      </w:r>
      <w:r>
        <w:rPr>
          <w:b/>
        </w:rPr>
        <w:t xml:space="preserve">not</w:t>
      </w:r>
      <w:r>
        <w:t xml:space="preserve"> </w:t>
      </w:r>
      <w:r>
        <w:t xml:space="preserve">an EHR corpus. Labelling CADEC as</w:t>
      </w:r>
      <w:r>
        <w:t xml:space="preserve"> </w:t>
      </w:r>
      <w:r>
        <w:t xml:space="preserve">“</w:t>
      </w:r>
      <w:r>
        <w:t xml:space="preserve">clinical notes</w:t>
      </w:r>
      <w:r>
        <w:t xml:space="preserve">”</w:t>
      </w:r>
      <w:r>
        <w:t xml:space="preserve"> </w:t>
      </w:r>
      <w:r>
        <w:t xml:space="preserve">would repeat the evaluation illusion criticised by Hager et al. (2024) and Agrawal et al. (2025). Informal spelling also shifts SapBERT retrieval geometry relative to canonical metathesaurus strings, which is relevant to margin-based abstention.</w:t>
      </w:r>
    </w:p>
    <w:p>
      <w:pPr>
        <w:pStyle w:val="BodyText"/>
      </w:pPr>
      <w:r>
        <w:t xml:space="preserve">BioASQ Task B (Tsatsaronis et al., 2015) occupies biomedical QA with expert-validated answers. SQuAD 2.0 (Rajpurkar et al., 2018) adds unanswerable questions in general-domain reading comprehension; Zhu et al. (2021) survey open-domain QA as a setting for semantic and epistemic uncertainty. These QA sets support a</w:t>
      </w:r>
      <w:r>
        <w:t xml:space="preserve"> </w:t>
      </w:r>
      <w:r>
        <w:rPr>
          <w:b/>
        </w:rPr>
        <w:t xml:space="preserve">second experimental lane</w:t>
      </w:r>
      <w:r>
        <w:t xml:space="preserve"> </w:t>
      </w:r>
      <w:r>
        <w:t xml:space="preserve">(answer-string entropy, sequence log-probability, optional UMLS margin of the answer string). They are not concept-normalisation experiments. Encoder models that emit CUIs have no defined answer-level entropy on QA and should be omitted from those figures rather than shown as empty panels.</w:t>
      </w:r>
    </w:p>
    <w:p>
      <w:pPr>
        <w:pStyle w:val="BodyText"/>
      </w:pPr>
      <w:r>
        <w:t xml:space="preserve">Hager et al. (2024) showed in</w:t>
      </w:r>
      <w:r>
        <w:t xml:space="preserve"> </w:t>
      </w:r>
      <w:r>
        <w:rPr>
          <w:i/>
        </w:rPr>
        <w:t xml:space="preserve">Nature Medicine</w:t>
      </w:r>
      <w:r>
        <w:t xml:space="preserve"> </w:t>
      </w:r>
      <w:r>
        <w:t xml:space="preserve">that high MedQA-style scores can coexist with large error rates on realistic inpatient tasks. Agrawal et al. (2025) named this the</w:t>
      </w:r>
      <w:r>
        <w:t xml:space="preserve"> </w:t>
      </w:r>
      <w:r>
        <w:rPr>
          <w:b/>
        </w:rPr>
        <w:t xml:space="preserve">evaluation illusion</w:t>
      </w:r>
      <w:r>
        <w:t xml:space="preserve">. Ji et al. (2023) and Huang et al. (2025) surveyed hallucination and concluded that scale has not solved it. Thirunavukarasu et al. (2023) reviewed medical LLMs with hallucination and real-world reliability as central risks. Zhou et al. (2025) showed that uncertainty-aware modelling can improve diagnosis and calibration. None of these studies provides a structured, CUI-level stability metric plus a selective-prediction protocol on literature mentions and patient-generated ADE text.</w:t>
      </w:r>
    </w:p>
    <w:p>
      <w:pPr>
        <w:pStyle w:val="Heading2"/>
      </w:pPr>
      <w:bookmarkStart w:id="29" w:name="positioning"/>
      <w:r>
        <w:t xml:space="preserve">2.9 Positioning</w:t>
      </w:r>
      <w:bookmarkEnd w:id="29"/>
    </w:p>
    <w:p>
      <w:pPr>
        <w:pStyle w:val="FirstParagraph"/>
      </w:pPr>
      <w:r>
        <w:t xml:space="preserve">Drawing the eight clusters together, the literature supports four claims this paper does</w:t>
      </w:r>
      <w:r>
        <w:t xml:space="preserve"> </w:t>
      </w:r>
      <w:r>
        <w:rPr>
          <w:b/>
        </w:rPr>
        <w:t xml:space="preserve">not</w:t>
      </w:r>
      <w:r>
        <w:t xml:space="preserve"> </w:t>
      </w:r>
      <w:r>
        <w:t xml:space="preserve">need to re-prove: models are prompt- and paraphrase-sensitive; meaning-preserving edits are the right probe; semantic entropy is a better uncertainty family than raw token entropy for many generation tasks; and UMLS is the standard interlingua for biomedical concepts. What remains missing, and what this paper contributes, is the conjunction of:</w:t>
      </w:r>
    </w:p>
    <w:p>
      <w:pPr>
        <w:pStyle w:val="Compact"/>
        <w:numPr>
          <w:numId w:val="1001"/>
          <w:ilvl w:val="0"/>
        </w:numPr>
      </w:pPr>
      <w:r>
        <w:rPr>
          <w:b/>
        </w:rPr>
        <w:t xml:space="preserve">CUI identity as the semantic-entropy equivalence relation</w:t>
      </w:r>
      <w:r>
        <w:t xml:space="preserve">, replacing general-domain NLI clustering (Kuhn et al., 2023; Farquhar et al., 2024; Bodenreider, 2004; Afshar et al., 2024).</w:t>
      </w:r>
    </w:p>
    <w:p>
      <w:pPr>
        <w:pStyle w:val="Compact"/>
        <w:numPr>
          <w:numId w:val="1001"/>
          <w:ilvl w:val="0"/>
        </w:numPr>
      </w:pPr>
      <w:r>
        <w:rPr>
          <w:b/>
        </w:rPr>
        <w:t xml:space="preserve">Entropy over gated input perturbations</w:t>
      </w:r>
      <w:r>
        <w:t xml:space="preserve">, so observed variation is due to wording, not sampling temperature.</w:t>
      </w:r>
    </w:p>
    <w:p>
      <w:pPr>
        <w:pStyle w:val="Compact"/>
        <w:numPr>
          <w:numId w:val="1001"/>
          <w:ilvl w:val="0"/>
        </w:numPr>
      </w:pPr>
      <w:r>
        <w:rPr>
          <w:b/>
        </w:rPr>
        <w:t xml:space="preserve">Accuracy–stability dissociation</w:t>
      </w:r>
      <w:r>
        <w:t xml:space="preserve"> </w:t>
      </w:r>
      <w:r>
        <w:t xml:space="preserve">tested rather than assumed (Sclar et al., 2024; Raj et al., 2023; Hager et al., 2024).</w:t>
      </w:r>
    </w:p>
    <w:p>
      <w:pPr>
        <w:pStyle w:val="Compact"/>
        <w:numPr>
          <w:numId w:val="1001"/>
          <w:ilvl w:val="0"/>
        </w:numPr>
      </w:pPr>
      <w:r>
        <w:rPr>
          <w:b/>
        </w:rPr>
        <w:t xml:space="preserve">Within-scale tests of biomedical pretraining on entropy</w:t>
      </w:r>
      <w:r>
        <w:t xml:space="preserve">, not only on F1 (Lee et al., 2020; Gu et al., 2021; Labrak et al., 2024).</w:t>
      </w:r>
    </w:p>
    <w:p>
      <w:pPr>
        <w:pStyle w:val="Compact"/>
        <w:numPr>
          <w:numId w:val="1001"/>
          <w:ilvl w:val="0"/>
        </w:numPr>
      </w:pPr>
      <w:r>
        <w:rPr>
          <w:b/>
        </w:rPr>
        <w:t xml:space="preserve">Selective prediction</w:t>
      </w:r>
      <w:r>
        <w:t xml:space="preserve"> </w:t>
      </w:r>
      <w:r>
        <w:t xml:space="preserve">(risk–coverage, AURC) using entropy, linking or sequence confidence, CUI-level margin, random ranking, lexicographic entropy-then-confidence, and mean rank of the three scores (Chow, 1970; Geifman and El-Yaniv, 2017; Liu et al., 2021)—without claiming that entropy dominates confidence universally.</w:t>
      </w:r>
    </w:p>
    <w:p>
      <w:pPr>
        <w:pStyle w:val="Compact"/>
        <w:numPr>
          <w:numId w:val="1001"/>
          <w:ilvl w:val="0"/>
        </w:numPr>
      </w:pPr>
      <w:r>
        <w:rPr>
          <w:b/>
        </w:rPr>
        <w:t xml:space="preserve">Two genres of linking</w:t>
      </w:r>
      <w:r>
        <w:t xml:space="preserve"> </w:t>
      </w:r>
      <w:r>
        <w:t xml:space="preserve">(MedMentions abstracts; CADEC patient-generated ADE text) and a</w:t>
      </w:r>
      <w:r>
        <w:t xml:space="preserve"> </w:t>
      </w:r>
      <w:r>
        <w:rPr>
          <w:b/>
        </w:rPr>
        <w:t xml:space="preserve">separate QA lane</w:t>
      </w:r>
      <w:r>
        <w:t xml:space="preserve">, with no mixing of CUI-match and answer-match AURC (Karimi et al., 2015; Tsatsaronis et al., 2015; Rajpurkar et al., 2018).</w:t>
      </w:r>
    </w:p>
    <w:p>
      <w:pPr>
        <w:pStyle w:val="FirstParagraph"/>
      </w:pPr>
      <w:r>
        <w:t xml:space="preserve">That conjunction is the novelty claim appropriate for</w:t>
      </w:r>
      <w:r>
        <w:t xml:space="preserve"> </w:t>
      </w:r>
      <w:r>
        <w:rPr>
          <w:i/>
        </w:rPr>
        <w:t xml:space="preserve">JBI</w:t>
      </w:r>
      <w:r>
        <w:t xml:space="preserve">: not the invention of semantic entropy, UMLS, or abstention, but an ontology-grounded stability metric and a withhold protocol that biomedical informatics can audit at the CUI level.</w:t>
      </w:r>
    </w:p>
    <w:p>
      <w:r>
        <w:pict>
          <v:rect style="width:0;height:1.5pt" o:hralign="center" o:hrstd="t" o:hr="t"/>
        </w:pict>
      </w:r>
    </w:p>
    <w:p>
      <w:pPr>
        <w:pStyle w:val="Heading2"/>
      </w:pPr>
      <w:bookmarkStart w:id="30" w:name="references"/>
      <w:r>
        <w:t xml:space="preserve">References</w:t>
      </w:r>
      <w:bookmarkEnd w:id="30"/>
    </w:p>
    <w:p>
      <w:pPr>
        <w:numPr>
          <w:numId w:val="1002"/>
          <w:ilvl w:val="0"/>
        </w:numPr>
      </w:pPr>
      <w:r>
        <w:t xml:space="preserve">Afshar, M., Gao, Y., Gupta, D., Croxford, E., Demner-Fushman, D., 2024. On the role of the UMLS in supporting diagnosis generation proposed by large language models.</w:t>
      </w:r>
      <w:r>
        <w:t xml:space="preserve"> </w:t>
      </w:r>
      <w:r>
        <w:rPr>
          <w:i/>
        </w:rPr>
        <w:t xml:space="preserve">Journal of Biomedical Informatics</w:t>
      </w:r>
      <w:r>
        <w:t xml:space="preserve"> </w:t>
      </w:r>
      <w:r>
        <w:t xml:space="preserve">158, 104707.</w:t>
      </w:r>
      <w:r>
        <w:t xml:space="preserve"> </w:t>
      </w:r>
      <w:hyperlink r:id="rId31">
        <w:r>
          <w:rPr>
            <w:rStyle w:val="Hyperlink"/>
          </w:rPr>
          <w:t xml:space="preserve">doi:10.1016/j.jbi.2024.104707</w:t>
        </w:r>
      </w:hyperlink>
      <w:r>
        <w:t xml:space="preserve">.</w:t>
      </w:r>
    </w:p>
    <w:p>
      <w:pPr>
        <w:numPr>
          <w:numId w:val="1002"/>
          <w:ilvl w:val="0"/>
        </w:numPr>
      </w:pPr>
      <w:r>
        <w:t xml:space="preserve">Agrawal, M., Chen, I.Y., Gulamali, F., Joshi, S., 2025. The evaluation illusion of large language models in medicine.</w:t>
      </w:r>
      <w:r>
        <w:t xml:space="preserve"> </w:t>
      </w:r>
      <w:r>
        <w:rPr>
          <w:i/>
        </w:rPr>
        <w:t xml:space="preserve">npj Digital Medicine</w:t>
      </w:r>
      <w:r>
        <w:t xml:space="preserve"> </w:t>
      </w:r>
      <w:r>
        <w:t xml:space="preserve">8, 352.</w:t>
      </w:r>
      <w:r>
        <w:t xml:space="preserve"> </w:t>
      </w:r>
      <w:hyperlink r:id="rId32">
        <w:r>
          <w:rPr>
            <w:rStyle w:val="Hyperlink"/>
          </w:rPr>
          <w:t xml:space="preserve">doi:10.1038/s41746-025-01963-x</w:t>
        </w:r>
      </w:hyperlink>
      <w:r>
        <w:t xml:space="preserve">.</w:t>
      </w:r>
    </w:p>
    <w:p>
      <w:pPr>
        <w:numPr>
          <w:numId w:val="1002"/>
          <w:ilvl w:val="0"/>
        </w:numPr>
      </w:pPr>
      <w:r>
        <w:t xml:space="preserve">Alahmari, S.S., Hall, L., Mouton, P.R., Goldgof, D., 2025. Large language models robustness against perturbation.</w:t>
      </w:r>
      <w:r>
        <w:t xml:space="preserve"> </w:t>
      </w:r>
      <w:r>
        <w:rPr>
          <w:i/>
        </w:rPr>
        <w:t xml:space="preserve">Scientific Reports</w:t>
      </w:r>
      <w:r>
        <w:t xml:space="preserve"> </w:t>
      </w:r>
      <w:r>
        <w:t xml:space="preserve">16, 346.</w:t>
      </w:r>
      <w:r>
        <w:t xml:space="preserve"> </w:t>
      </w:r>
      <w:hyperlink r:id="rId33">
        <w:r>
          <w:rPr>
            <w:rStyle w:val="Hyperlink"/>
          </w:rPr>
          <w:t xml:space="preserve">doi:10.1038/s41598-025-29770-0</w:t>
        </w:r>
      </w:hyperlink>
      <w:r>
        <w:t xml:space="preserve">.</w:t>
      </w:r>
    </w:p>
    <w:p>
      <w:pPr>
        <w:numPr>
          <w:numId w:val="1002"/>
          <w:ilvl w:val="0"/>
        </w:numPr>
      </w:pPr>
      <w:r>
        <w:t xml:space="preserve">Boag, W., Doss, D., Naumann, T., Szolovits, P., 2018. What’s in a note? Unpacking predictive value in clinical note representations, in:</w:t>
      </w:r>
      <w:r>
        <w:t xml:space="preserve"> </w:t>
      </w:r>
      <w:r>
        <w:rPr>
          <w:i/>
        </w:rPr>
        <w:t xml:space="preserve">AMIA Joint Summits on Translational Science Proceedings</w:t>
      </w:r>
      <w:r>
        <w:t xml:space="preserve">, pp. 26–34. PMID:29888035.</w:t>
      </w:r>
      <w:r>
        <w:t xml:space="preserve"> </w:t>
      </w:r>
      <w:hyperlink r:id="rId34">
        <w:r>
          <w:rPr>
            <w:rStyle w:val="Hyperlink"/>
          </w:rPr>
          <w:t xml:space="preserve">https://pmc.ncbi.nlm.nih.gov/articles/PMC5961801/</w:t>
        </w:r>
      </w:hyperlink>
      <w:r>
        <w:t xml:space="preserve">.</w:t>
      </w:r>
    </w:p>
    <w:p>
      <w:pPr>
        <w:numPr>
          <w:numId w:val="1002"/>
          <w:ilvl w:val="0"/>
        </w:numPr>
      </w:pPr>
      <w:r>
        <w:t xml:space="preserve">Bodenreider, O., 2004. The Unified Medical Language System (UMLS): integrating biomedical terminology.</w:t>
      </w:r>
      <w:r>
        <w:t xml:space="preserve"> </w:t>
      </w:r>
      <w:r>
        <w:rPr>
          <w:i/>
        </w:rPr>
        <w:t xml:space="preserve">Nucleic Acids Research</w:t>
      </w:r>
      <w:r>
        <w:t xml:space="preserve"> </w:t>
      </w:r>
      <w:r>
        <w:t xml:space="preserve">32, D267–D270.</w:t>
      </w:r>
      <w:r>
        <w:t xml:space="preserve"> </w:t>
      </w:r>
      <w:hyperlink r:id="rId35">
        <w:r>
          <w:rPr>
            <w:rStyle w:val="Hyperlink"/>
          </w:rPr>
          <w:t xml:space="preserve">doi:10.1093/nar/gkh061</w:t>
        </w:r>
      </w:hyperlink>
      <w:r>
        <w:t xml:space="preserve">.</w:t>
      </w:r>
    </w:p>
    <w:p>
      <w:pPr>
        <w:numPr>
          <w:numId w:val="1002"/>
          <w:ilvl w:val="0"/>
        </w:numPr>
      </w:pPr>
      <w:r>
        <w:t xml:space="preserve">Chow, C.K., 1970. On optimum recognition error and reject tradeoff.</w:t>
      </w:r>
      <w:r>
        <w:t xml:space="preserve"> </w:t>
      </w:r>
      <w:r>
        <w:rPr>
          <w:i/>
        </w:rPr>
        <w:t xml:space="preserve">IEEE Transactions on Information Theory</w:t>
      </w:r>
      <w:r>
        <w:t xml:space="preserve"> </w:t>
      </w:r>
      <w:r>
        <w:t xml:space="preserve">16 (1), 41–46.</w:t>
      </w:r>
      <w:r>
        <w:t xml:space="preserve"> </w:t>
      </w:r>
      <w:hyperlink r:id="rId36">
        <w:r>
          <w:rPr>
            <w:rStyle w:val="Hyperlink"/>
          </w:rPr>
          <w:t xml:space="preserve">doi:10.1109/TIT.1970.1054406</w:t>
        </w:r>
      </w:hyperlink>
      <w:r>
        <w:t xml:space="preserve">.</w:t>
      </w:r>
    </w:p>
    <w:p>
      <w:pPr>
        <w:numPr>
          <w:numId w:val="1002"/>
          <w:ilvl w:val="0"/>
        </w:numPr>
      </w:pPr>
      <w:r>
        <w:t xml:space="preserve">Dobbins, N.J., 2025. Generalizable and scalable multistage biomedical concept normalization leveraging large language models.</w:t>
      </w:r>
      <w:r>
        <w:t xml:space="preserve"> </w:t>
      </w:r>
      <w:r>
        <w:rPr>
          <w:i/>
        </w:rPr>
        <w:t xml:space="preserve">Research Synthesis Methods</w:t>
      </w:r>
      <w:r>
        <w:t xml:space="preserve">.</w:t>
      </w:r>
      <w:r>
        <w:t xml:space="preserve"> </w:t>
      </w:r>
      <w:hyperlink r:id="rId37">
        <w:r>
          <w:rPr>
            <w:rStyle w:val="Hyperlink"/>
          </w:rPr>
          <w:t xml:space="preserve">doi:10.1017/rsm.2025.9</w:t>
        </w:r>
      </w:hyperlink>
      <w:r>
        <w:t xml:space="preserve">.</w:t>
      </w:r>
    </w:p>
    <w:p>
      <w:pPr>
        <w:numPr>
          <w:numId w:val="1002"/>
          <w:ilvl w:val="0"/>
        </w:numPr>
      </w:pPr>
      <w:r>
        <w:t xml:space="preserve">Ebrahimi, J., Rao, A., Lowd, D., Dou, D., 2018. HotFlip: White-box adversarial examples for text classification, in:</w:t>
      </w:r>
      <w:r>
        <w:t xml:space="preserve"> </w:t>
      </w:r>
      <w:r>
        <w:rPr>
          <w:i/>
        </w:rPr>
        <w:t xml:space="preserve">Proceedings of the 56th Annual Meeting of the Association for Computational Linguistics</w:t>
      </w:r>
      <w:r>
        <w:t xml:space="preserve">, pp. 31–36.</w:t>
      </w:r>
      <w:r>
        <w:t xml:space="preserve"> </w:t>
      </w:r>
      <w:hyperlink r:id="rId38">
        <w:r>
          <w:rPr>
            <w:rStyle w:val="Hyperlink"/>
          </w:rPr>
          <w:t xml:space="preserve">doi:10.18653/v1/P18-2006</w:t>
        </w:r>
      </w:hyperlink>
      <w:r>
        <w:t xml:space="preserve">.</w:t>
      </w:r>
    </w:p>
    <w:p>
      <w:pPr>
        <w:numPr>
          <w:numId w:val="1002"/>
          <w:ilvl w:val="0"/>
        </w:numPr>
      </w:pPr>
      <w:r>
        <w:t xml:space="preserve">El-Yaniv, R., Wiener, Y., 2010. On the foundations of noise-free selective classification.</w:t>
      </w:r>
      <w:r>
        <w:t xml:space="preserve"> </w:t>
      </w:r>
      <w:r>
        <w:rPr>
          <w:i/>
        </w:rPr>
        <w:t xml:space="preserve">Journal of Machine Learning Research</w:t>
      </w:r>
      <w:r>
        <w:t xml:space="preserve"> </w:t>
      </w:r>
      <w:r>
        <w:t xml:space="preserve">11, 1605–1641.</w:t>
      </w:r>
      <w:r>
        <w:t xml:space="preserve"> </w:t>
      </w:r>
      <w:hyperlink r:id="rId39">
        <w:r>
          <w:rPr>
            <w:rStyle w:val="Hyperlink"/>
          </w:rPr>
          <w:t xml:space="preserve">https://jmlr.org/papers/v11/el-yaniv10a.html</w:t>
        </w:r>
      </w:hyperlink>
      <w:r>
        <w:t xml:space="preserve">.</w:t>
      </w:r>
    </w:p>
    <w:p>
      <w:pPr>
        <w:numPr>
          <w:numId w:val="1002"/>
          <w:ilvl w:val="0"/>
        </w:numPr>
      </w:pPr>
      <w:r>
        <w:t xml:space="preserve">Farquhar, S., Kossen, J., Kuhn, L., Gal, Y., 2024. Detecting hallucinations in large language models using semantic entropy.</w:t>
      </w:r>
      <w:r>
        <w:t xml:space="preserve"> </w:t>
      </w:r>
      <w:r>
        <w:rPr>
          <w:i/>
        </w:rPr>
        <w:t xml:space="preserve">Nature</w:t>
      </w:r>
      <w:r>
        <w:t xml:space="preserve"> </w:t>
      </w:r>
      <w:r>
        <w:t xml:space="preserve">630, 625–630.</w:t>
      </w:r>
      <w:r>
        <w:t xml:space="preserve"> </w:t>
      </w:r>
      <w:hyperlink r:id="rId40">
        <w:r>
          <w:rPr>
            <w:rStyle w:val="Hyperlink"/>
          </w:rPr>
          <w:t xml:space="preserve">doi:10.1038/s41586-024-07421-0</w:t>
        </w:r>
      </w:hyperlink>
      <w:r>
        <w:t xml:space="preserve">.</w:t>
      </w:r>
    </w:p>
    <w:p>
      <w:pPr>
        <w:numPr>
          <w:numId w:val="1002"/>
          <w:ilvl w:val="0"/>
        </w:numPr>
      </w:pPr>
      <w:r>
        <w:t xml:space="preserve">Geifman, Y., El-Yaniv, R., 2017. Selective classification for deep neural networks, in:</w:t>
      </w:r>
      <w:r>
        <w:t xml:space="preserve"> </w:t>
      </w:r>
      <w:r>
        <w:rPr>
          <w:i/>
        </w:rPr>
        <w:t xml:space="preserve">Advances in Neural Information Processing Systems</w:t>
      </w:r>
      <w:r>
        <w:t xml:space="preserve">.</w:t>
      </w:r>
      <w:r>
        <w:t xml:space="preserve"> </w:t>
      </w:r>
      <w:hyperlink r:id="rId41">
        <w:r>
          <w:rPr>
            <w:rStyle w:val="Hyperlink"/>
          </w:rPr>
          <w:t xml:space="preserve">doi:10.48550/arXiv.1705.08500</w:t>
        </w:r>
      </w:hyperlink>
      <w:r>
        <w:t xml:space="preserve">.</w:t>
      </w:r>
    </w:p>
    <w:p>
      <w:pPr>
        <w:numPr>
          <w:numId w:val="1002"/>
          <w:ilvl w:val="0"/>
        </w:numPr>
      </w:pPr>
      <w:r>
        <w:t xml:space="preserve">Goyal, S., Doddapaneni, S., Khapra, M.M., Ravindran, B., 2023. A survey of adversarial defenses and robustness in NLP.</w:t>
      </w:r>
      <w:r>
        <w:t xml:space="preserve"> </w:t>
      </w:r>
      <w:r>
        <w:rPr>
          <w:i/>
        </w:rPr>
        <w:t xml:space="preserve">ACM Computing Surveys</w:t>
      </w:r>
      <w:r>
        <w:t xml:space="preserve"> </w:t>
      </w:r>
      <w:r>
        <w:t xml:space="preserve">55, 1–39.</w:t>
      </w:r>
      <w:r>
        <w:t xml:space="preserve"> </w:t>
      </w:r>
      <w:hyperlink r:id="rId42">
        <w:r>
          <w:rPr>
            <w:rStyle w:val="Hyperlink"/>
          </w:rPr>
          <w:t xml:space="preserve">doi:10.1145/3593042</w:t>
        </w:r>
      </w:hyperlink>
      <w:r>
        <w:t xml:space="preserve">.</w:t>
      </w:r>
    </w:p>
    <w:p>
      <w:pPr>
        <w:numPr>
          <w:numId w:val="1002"/>
          <w:ilvl w:val="0"/>
        </w:numPr>
      </w:pPr>
      <w:r>
        <w:t xml:space="preserve">Grattafiori, A., Dubey, A., Jauhri, A., et al., 2024. The Llama 3 herd of models.</w:t>
      </w:r>
      <w:r>
        <w:t xml:space="preserve"> </w:t>
      </w:r>
      <w:hyperlink r:id="rId43">
        <w:r>
          <w:rPr>
            <w:rStyle w:val="Hyperlink"/>
          </w:rPr>
          <w:t xml:space="preserve">doi:10.48550/arXiv.2407.21783</w:t>
        </w:r>
      </w:hyperlink>
      <w:r>
        <w:t xml:space="preserve">.</w:t>
      </w:r>
    </w:p>
    <w:p>
      <w:pPr>
        <w:numPr>
          <w:numId w:val="1002"/>
          <w:ilvl w:val="0"/>
        </w:numPr>
      </w:pPr>
      <w:r>
        <w:t xml:space="preserve">Gu, Y., Tinn, R., Cheng, H., Lucas, M., Usuyama, N., Liu, X., Naumann, T., Gao, J., Poon, H., 2021. Domain-specific language model pretraining for biomedical natural language processing.</w:t>
      </w:r>
      <w:r>
        <w:t xml:space="preserve"> </w:t>
      </w:r>
      <w:r>
        <w:rPr>
          <w:i/>
        </w:rPr>
        <w:t xml:space="preserve">ACM Transactions on Computing for Healthcare</w:t>
      </w:r>
      <w:r>
        <w:t xml:space="preserve"> </w:t>
      </w:r>
      <w:r>
        <w:t xml:space="preserve">3, 1–23.</w:t>
      </w:r>
      <w:r>
        <w:t xml:space="preserve"> </w:t>
      </w:r>
      <w:hyperlink r:id="rId44">
        <w:r>
          <w:rPr>
            <w:rStyle w:val="Hyperlink"/>
          </w:rPr>
          <w:t xml:space="preserve">doi:10.1145/3458754</w:t>
        </w:r>
      </w:hyperlink>
      <w:r>
        <w:t xml:space="preserve">.</w:t>
      </w:r>
    </w:p>
    <w:p>
      <w:pPr>
        <w:numPr>
          <w:numId w:val="1002"/>
          <w:ilvl w:val="0"/>
        </w:numPr>
      </w:pPr>
      <w:r>
        <w:t xml:space="preserve">Guo, C., Pleiss, G., Sun, Y., Weinberger, K.Q., 2017. On calibration of modern neural networks, in:</w:t>
      </w:r>
      <w:r>
        <w:t xml:space="preserve"> </w:t>
      </w:r>
      <w:r>
        <w:rPr>
          <w:i/>
        </w:rPr>
        <w:t xml:space="preserve">Proceedings of the 34th International Conference on Machine Learning</w:t>
      </w:r>
      <w:r>
        <w:t xml:space="preserve">, pp. 1321–1330.</w:t>
      </w:r>
      <w:r>
        <w:t xml:space="preserve"> </w:t>
      </w:r>
      <w:hyperlink r:id="rId45">
        <w:r>
          <w:rPr>
            <w:rStyle w:val="Hyperlink"/>
          </w:rPr>
          <w:t xml:space="preserve">doi:10.48550/arXiv.1706.04599</w:t>
        </w:r>
      </w:hyperlink>
      <w:r>
        <w:t xml:space="preserve">.</w:t>
      </w:r>
    </w:p>
    <w:p>
      <w:pPr>
        <w:numPr>
          <w:numId w:val="1002"/>
          <w:ilvl w:val="0"/>
        </w:numPr>
      </w:pPr>
      <w:r>
        <w:t xml:space="preserve">Hager, P., Jungmann, F., Holland, R., Bhatt, K., Butcher, E., Bhatt, P., Rückert, D., 2024. Evaluation and mitigation of the limitations of large language models in clinical decision-making.</w:t>
      </w:r>
      <w:r>
        <w:t xml:space="preserve"> </w:t>
      </w:r>
      <w:r>
        <w:rPr>
          <w:i/>
        </w:rPr>
        <w:t xml:space="preserve">Nature Medicine</w:t>
      </w:r>
      <w:r>
        <w:t xml:space="preserve"> </w:t>
      </w:r>
      <w:r>
        <w:t xml:space="preserve">30, 2613–2622.</w:t>
      </w:r>
      <w:r>
        <w:t xml:space="preserve"> </w:t>
      </w:r>
      <w:hyperlink r:id="rId46">
        <w:r>
          <w:rPr>
            <w:rStyle w:val="Hyperlink"/>
          </w:rPr>
          <w:t xml:space="preserve">doi:10.1038/s41591-024-03097-1</w:t>
        </w:r>
      </w:hyperlink>
      <w:r>
        <w:t xml:space="preserve">.</w:t>
      </w:r>
    </w:p>
    <w:p>
      <w:pPr>
        <w:numPr>
          <w:numId w:val="1002"/>
          <w:ilvl w:val="0"/>
        </w:numPr>
      </w:pPr>
      <w:r>
        <w:t xml:space="preserve">Hendrycks, D., Gimpel, K., 2017. A baseline for detecting misclassified and out-of-distribution examples in neural networks, in:</w:t>
      </w:r>
      <w:r>
        <w:t xml:space="preserve"> </w:t>
      </w:r>
      <w:r>
        <w:rPr>
          <w:i/>
        </w:rPr>
        <w:t xml:space="preserve">International Conference on Learning Representations</w:t>
      </w:r>
      <w:r>
        <w:t xml:space="preserve">.</w:t>
      </w:r>
      <w:r>
        <w:t xml:space="preserve"> </w:t>
      </w:r>
      <w:hyperlink r:id="rId47">
        <w:r>
          <w:rPr>
            <w:rStyle w:val="Hyperlink"/>
          </w:rPr>
          <w:t xml:space="preserve">doi:10.48550/arXiv.1610.02136</w:t>
        </w:r>
      </w:hyperlink>
      <w:r>
        <w:t xml:space="preserve">.</w:t>
      </w:r>
    </w:p>
    <w:p>
      <w:pPr>
        <w:numPr>
          <w:numId w:val="1002"/>
          <w:ilvl w:val="0"/>
        </w:numPr>
      </w:pPr>
      <w:r>
        <w:t xml:space="preserve">Huang, L., Yu, W., Ma, W., Zhong, W., Feng, Z., Wang, H., Chen, Q., Peng, W., Feng, X., Qin, B., Liu, T., 2025. A survey on hallucination in large language models: Principles, taxonomy, challenges, and open questions.</w:t>
      </w:r>
      <w:r>
        <w:t xml:space="preserve"> </w:t>
      </w:r>
      <w:r>
        <w:rPr>
          <w:i/>
        </w:rPr>
        <w:t xml:space="preserve">ACM Transactions on Information Systems</w:t>
      </w:r>
      <w:r>
        <w:t xml:space="preserve"> </w:t>
      </w:r>
      <w:r>
        <w:t xml:space="preserve">43, 1–55.</w:t>
      </w:r>
      <w:r>
        <w:t xml:space="preserve"> </w:t>
      </w:r>
      <w:hyperlink r:id="rId48">
        <w:r>
          <w:rPr>
            <w:rStyle w:val="Hyperlink"/>
          </w:rPr>
          <w:t xml:space="preserve">doi:10.1145/3703155</w:t>
        </w:r>
      </w:hyperlink>
      <w:r>
        <w:t xml:space="preserve">.</w:t>
      </w:r>
    </w:p>
    <w:p>
      <w:pPr>
        <w:numPr>
          <w:numId w:val="1002"/>
          <w:ilvl w:val="0"/>
        </w:numPr>
      </w:pPr>
      <w:r>
        <w:t xml:space="preserve">Ji, Z., Lee, N., Frieske, R., Yu, T., Su, D., Xu, Y., Ishii, E., Bang, Y.J., Chen, D., Dai, H.W., Madotto, A., Fung, P., 2023. Survey of hallucination in natural language generation.</w:t>
      </w:r>
      <w:r>
        <w:t xml:space="preserve"> </w:t>
      </w:r>
      <w:r>
        <w:rPr>
          <w:i/>
        </w:rPr>
        <w:t xml:space="preserve">ACM Computing Surveys</w:t>
      </w:r>
      <w:r>
        <w:t xml:space="preserve"> </w:t>
      </w:r>
      <w:r>
        <w:t xml:space="preserve">55, 1–38.</w:t>
      </w:r>
      <w:r>
        <w:t xml:space="preserve"> </w:t>
      </w:r>
      <w:hyperlink r:id="rId49">
        <w:r>
          <w:rPr>
            <w:rStyle w:val="Hyperlink"/>
          </w:rPr>
          <w:t xml:space="preserve">doi:10.1145/3571730</w:t>
        </w:r>
      </w:hyperlink>
      <w:r>
        <w:t xml:space="preserve">.</w:t>
      </w:r>
    </w:p>
    <w:p>
      <w:pPr>
        <w:numPr>
          <w:numId w:val="1002"/>
          <w:ilvl w:val="0"/>
        </w:numPr>
      </w:pPr>
      <w:r>
        <w:t xml:space="preserve">Jiang, A.Q., Sablayrolles, A., Mensch, A., Bamford, C., Chaplot, D.S., de las Casas, D., Bressand, F., Lengyel, G., Lample, G., Saulnier, L., Lavaud, L.R., Lachaux, M.-A., Stock, P., Le Scao, T., Lavril, T., Wang, T., Lacroix, T., El Sayed, W., 2023. Mistral 7B.</w:t>
      </w:r>
      <w:r>
        <w:t xml:space="preserve"> </w:t>
      </w:r>
      <w:hyperlink r:id="rId50">
        <w:r>
          <w:rPr>
            <w:rStyle w:val="Hyperlink"/>
          </w:rPr>
          <w:t xml:space="preserve">doi:10.48550/arXiv.2310.06825</w:t>
        </w:r>
      </w:hyperlink>
      <w:r>
        <w:t xml:space="preserve">.</w:t>
      </w:r>
    </w:p>
    <w:p>
      <w:pPr>
        <w:numPr>
          <w:numId w:val="1002"/>
          <w:ilvl w:val="0"/>
        </w:numPr>
      </w:pPr>
      <w:r>
        <w:t xml:space="preserve">Jin, D., Jin, Z., Zhou, J.T., Szolovits, P., 2020. Is BERT really robust? A strong baseline for natural language attack on text classification and entailment, in:</w:t>
      </w:r>
      <w:r>
        <w:t xml:space="preserve"> </w:t>
      </w:r>
      <w:r>
        <w:rPr>
          <w:i/>
        </w:rPr>
        <w:t xml:space="preserve">Proceedings of the AAAI Conference on Artificial Intelligence</w:t>
      </w:r>
      <w:r>
        <w:t xml:space="preserve">, pp. 8018–8025.</w:t>
      </w:r>
      <w:r>
        <w:t xml:space="preserve"> </w:t>
      </w:r>
      <w:hyperlink r:id="rId51">
        <w:r>
          <w:rPr>
            <w:rStyle w:val="Hyperlink"/>
          </w:rPr>
          <w:t xml:space="preserve">doi:10.1609/aaai.v34i05.6311</w:t>
        </w:r>
      </w:hyperlink>
      <w:r>
        <w:t xml:space="preserve">.</w:t>
      </w:r>
    </w:p>
    <w:p>
      <w:pPr>
        <w:numPr>
          <w:numId w:val="1002"/>
          <w:ilvl w:val="0"/>
        </w:numPr>
      </w:pPr>
      <w:r>
        <w:t xml:space="preserve">Kadavath, S., Conerly, T., Askell, A., Henighan, T., Drain, D., Perez, E., Schiefer, N., Hatfield-Dodds, Z., DasSarma, N., et al., 2022. Language models (mostly) know what they know.</w:t>
      </w:r>
      <w:r>
        <w:t xml:space="preserve"> </w:t>
      </w:r>
      <w:hyperlink r:id="rId52">
        <w:r>
          <w:rPr>
            <w:rStyle w:val="Hyperlink"/>
          </w:rPr>
          <w:t xml:space="preserve">doi:10.48550/arXiv.2207.05221</w:t>
        </w:r>
      </w:hyperlink>
      <w:r>
        <w:t xml:space="preserve">.</w:t>
      </w:r>
    </w:p>
    <w:p>
      <w:pPr>
        <w:numPr>
          <w:numId w:val="1002"/>
          <w:ilvl w:val="0"/>
        </w:numPr>
      </w:pPr>
      <w:r>
        <w:t xml:space="preserve">Kamath, A., Jia, R., Liang, P., 2020. Selective question answering under domain shift, in:</w:t>
      </w:r>
      <w:r>
        <w:t xml:space="preserve"> </w:t>
      </w:r>
      <w:r>
        <w:rPr>
          <w:i/>
        </w:rPr>
        <w:t xml:space="preserve">Proceedings of the 58th Annual Meeting of the Association for Computational Linguistics</w:t>
      </w:r>
      <w:r>
        <w:t xml:space="preserve">, pp. 5684–5696.</w:t>
      </w:r>
      <w:r>
        <w:t xml:space="preserve"> </w:t>
      </w:r>
      <w:hyperlink r:id="rId53">
        <w:r>
          <w:rPr>
            <w:rStyle w:val="Hyperlink"/>
          </w:rPr>
          <w:t xml:space="preserve">doi:10.18653/v1/2020.acl-main.503</w:t>
        </w:r>
      </w:hyperlink>
      <w:r>
        <w:t xml:space="preserve">.</w:t>
      </w:r>
    </w:p>
    <w:p>
      <w:pPr>
        <w:numPr>
          <w:numId w:val="1002"/>
          <w:ilvl w:val="0"/>
        </w:numPr>
      </w:pPr>
      <w:r>
        <w:t xml:space="preserve">Karimi, S., Metke-Jimenez, A., Kemp, M., Wang, C., 2015. Cadec: A corpus of adverse drug event annotations.</w:t>
      </w:r>
      <w:r>
        <w:t xml:space="preserve"> </w:t>
      </w:r>
      <w:r>
        <w:rPr>
          <w:i/>
        </w:rPr>
        <w:t xml:space="preserve">Journal of Biomedical Informatics</w:t>
      </w:r>
      <w:r>
        <w:t xml:space="preserve"> </w:t>
      </w:r>
      <w:r>
        <w:t xml:space="preserve">55, 73–81.</w:t>
      </w:r>
      <w:r>
        <w:t xml:space="preserve"> </w:t>
      </w:r>
      <w:hyperlink r:id="rId54">
        <w:r>
          <w:rPr>
            <w:rStyle w:val="Hyperlink"/>
          </w:rPr>
          <w:t xml:space="preserve">doi:10.1016/j.jbi.2015.03.010</w:t>
        </w:r>
      </w:hyperlink>
      <w:r>
        <w:t xml:space="preserve">.</w:t>
      </w:r>
    </w:p>
    <w:p>
      <w:pPr>
        <w:numPr>
          <w:numId w:val="1002"/>
          <w:ilvl w:val="0"/>
        </w:numPr>
      </w:pPr>
      <w:r>
        <w:t xml:space="preserve">Kittler, J., Hatef, M., Duin, R.P.W., Matas, J., 1998. On combining classifiers.</w:t>
      </w:r>
      <w:r>
        <w:t xml:space="preserve"> </w:t>
      </w:r>
      <w:r>
        <w:rPr>
          <w:i/>
        </w:rPr>
        <w:t xml:space="preserve">IEEE Transactions on Pattern Analysis and Machine Intelligence</w:t>
      </w:r>
      <w:r>
        <w:t xml:space="preserve"> </w:t>
      </w:r>
      <w:r>
        <w:t xml:space="preserve">20 (3), 226–239.</w:t>
      </w:r>
      <w:r>
        <w:t xml:space="preserve"> </w:t>
      </w:r>
      <w:hyperlink r:id="rId55">
        <w:r>
          <w:rPr>
            <w:rStyle w:val="Hyperlink"/>
          </w:rPr>
          <w:t xml:space="preserve">doi:10.1109/34.667881</w:t>
        </w:r>
      </w:hyperlink>
      <w:r>
        <w:t xml:space="preserve">.</w:t>
      </w:r>
    </w:p>
    <w:p>
      <w:pPr>
        <w:numPr>
          <w:numId w:val="1002"/>
          <w:ilvl w:val="0"/>
        </w:numPr>
      </w:pPr>
      <w:r>
        <w:t xml:space="preserve">Kuhn, L., Gal, Y., Farquhar, S., 2023. Semantic uncertainty: Linguistic invariances for uncertainty estimation in natural language generation, in:</w:t>
      </w:r>
      <w:r>
        <w:t xml:space="preserve"> </w:t>
      </w:r>
      <w:r>
        <w:rPr>
          <w:i/>
        </w:rPr>
        <w:t xml:space="preserve">International Conference on Learning Representations</w:t>
      </w:r>
      <w:r>
        <w:t xml:space="preserve">.</w:t>
      </w:r>
      <w:r>
        <w:t xml:space="preserve"> </w:t>
      </w:r>
      <w:hyperlink r:id="rId56">
        <w:r>
          <w:rPr>
            <w:rStyle w:val="Hyperlink"/>
          </w:rPr>
          <w:t xml:space="preserve">doi:10.48550/arXiv.2302.09664</w:t>
        </w:r>
      </w:hyperlink>
      <w:r>
        <w:t xml:space="preserve">.</w:t>
      </w:r>
    </w:p>
    <w:p>
      <w:pPr>
        <w:numPr>
          <w:numId w:val="1002"/>
          <w:ilvl w:val="0"/>
        </w:numPr>
      </w:pPr>
      <w:r>
        <w:t xml:space="preserve">Labrak, Y., Bazoge, A., Morin, E., Gourraud, P.-A., Rouvier, M., Dufour, R., 2024. BioMistral: A collection of open-source pretrained large language models for medical domains, in:</w:t>
      </w:r>
      <w:r>
        <w:t xml:space="preserve"> </w:t>
      </w:r>
      <w:r>
        <w:rPr>
          <w:i/>
        </w:rPr>
        <w:t xml:space="preserve">Findings of the Association for Computational Linguistics: ACL 2024</w:t>
      </w:r>
      <w:r>
        <w:t xml:space="preserve">, pp. 5848–5864.</w:t>
      </w:r>
      <w:r>
        <w:t xml:space="preserve"> </w:t>
      </w:r>
      <w:hyperlink r:id="rId57">
        <w:r>
          <w:rPr>
            <w:rStyle w:val="Hyperlink"/>
          </w:rPr>
          <w:t xml:space="preserve">doi:10.18653/v1/2024.findings-acl.348</w:t>
        </w:r>
      </w:hyperlink>
      <w:r>
        <w:t xml:space="preserve">.</w:t>
      </w:r>
    </w:p>
    <w:p>
      <w:pPr>
        <w:numPr>
          <w:numId w:val="1002"/>
          <w:ilvl w:val="0"/>
        </w:numPr>
      </w:pPr>
      <w:r>
        <w:t xml:space="preserve">Lee, J., Yoon, W., Kim, S., Kim, D., Kim, S., So, C.H., Kang, J., 2020. BioBERT: A pre-trained biomedical language representation model for biomedical text mining.</w:t>
      </w:r>
      <w:r>
        <w:t xml:space="preserve"> </w:t>
      </w:r>
      <w:r>
        <w:rPr>
          <w:i/>
        </w:rPr>
        <w:t xml:space="preserve">Bioinformatics</w:t>
      </w:r>
      <w:r>
        <w:t xml:space="preserve"> </w:t>
      </w:r>
      <w:r>
        <w:t xml:space="preserve">36, 1234–1240.</w:t>
      </w:r>
      <w:r>
        <w:t xml:space="preserve"> </w:t>
      </w:r>
      <w:hyperlink r:id="rId58">
        <w:r>
          <w:rPr>
            <w:rStyle w:val="Hyperlink"/>
          </w:rPr>
          <w:t xml:space="preserve">doi:10.1093/bioinformatics/btz682</w:t>
        </w:r>
      </w:hyperlink>
      <w:r>
        <w:t xml:space="preserve">.</w:t>
      </w:r>
    </w:p>
    <w:p>
      <w:pPr>
        <w:numPr>
          <w:numId w:val="1002"/>
          <w:ilvl w:val="0"/>
        </w:numPr>
      </w:pPr>
      <w:r>
        <w:t xml:space="preserve">Lin, S., Hilton, J., Evans, O., 2022. Teaching models to express their uncertainty in words.</w:t>
      </w:r>
      <w:r>
        <w:t xml:space="preserve"> </w:t>
      </w:r>
      <w:r>
        <w:rPr>
          <w:i/>
        </w:rPr>
        <w:t xml:space="preserve">Transactions on Machine Learning Research</w:t>
      </w:r>
      <w:r>
        <w:t xml:space="preserve">.</w:t>
      </w:r>
      <w:r>
        <w:t xml:space="preserve"> </w:t>
      </w:r>
      <w:hyperlink r:id="rId59">
        <w:r>
          <w:rPr>
            <w:rStyle w:val="Hyperlink"/>
          </w:rPr>
          <w:t xml:space="preserve">doi:10.48550/arXiv.2205.14334</w:t>
        </w:r>
      </w:hyperlink>
      <w:r>
        <w:t xml:space="preserve">.</w:t>
      </w:r>
    </w:p>
    <w:p>
      <w:pPr>
        <w:numPr>
          <w:numId w:val="1002"/>
          <w:ilvl w:val="0"/>
        </w:numPr>
      </w:pPr>
      <w:r>
        <w:t xml:space="preserve">Liu, F., Shareghi, E., Meng, Z., Basaldella, M., Collier, N., 2021. Self-alignment pretraining for biomedical entity representations, in:</w:t>
      </w:r>
      <w:r>
        <w:t xml:space="preserve"> </w:t>
      </w:r>
      <w:r>
        <w:rPr>
          <w:i/>
        </w:rPr>
        <w:t xml:space="preserve">Proceedings of the 2021 Conference of the North American Chapter of the Association for Computational Linguistics: Human Language Technologies</w:t>
      </w:r>
      <w:r>
        <w:t xml:space="preserve">, pp. 4228–4238.</w:t>
      </w:r>
      <w:r>
        <w:t xml:space="preserve"> </w:t>
      </w:r>
      <w:hyperlink r:id="rId60">
        <w:r>
          <w:rPr>
            <w:rStyle w:val="Hyperlink"/>
          </w:rPr>
          <w:t xml:space="preserve">doi:10.18653/v1/2021.naacl-main.334</w:t>
        </w:r>
      </w:hyperlink>
      <w:r>
        <w:t xml:space="preserve">.</w:t>
      </w:r>
    </w:p>
    <w:p>
      <w:pPr>
        <w:numPr>
          <w:numId w:val="1002"/>
          <w:ilvl w:val="0"/>
        </w:numPr>
      </w:pPr>
      <w:r>
        <w:t xml:space="preserve">Manakul, P., Liusie, A., Gales, M., 2023. SelfCheckGPT: Zero-resource black-box hallucination detection for generative large language models, in:</w:t>
      </w:r>
      <w:r>
        <w:t xml:space="preserve"> </w:t>
      </w:r>
      <w:r>
        <w:rPr>
          <w:i/>
        </w:rPr>
        <w:t xml:space="preserve">Proceedings of the 2023 Conference on Empirical Methods in Natural Language Processing</w:t>
      </w:r>
      <w:r>
        <w:t xml:space="preserve">, pp. 9004–9017.</w:t>
      </w:r>
      <w:r>
        <w:t xml:space="preserve"> </w:t>
      </w:r>
      <w:hyperlink r:id="rId61">
        <w:r>
          <w:rPr>
            <w:rStyle w:val="Hyperlink"/>
          </w:rPr>
          <w:t xml:space="preserve">doi:10.18653/v1/2023.emnlp-main.557</w:t>
        </w:r>
      </w:hyperlink>
      <w:r>
        <w:t xml:space="preserve">.</w:t>
      </w:r>
    </w:p>
    <w:p>
      <w:pPr>
        <w:numPr>
          <w:numId w:val="1002"/>
          <w:ilvl w:val="0"/>
        </w:numPr>
      </w:pPr>
      <w:r>
        <w:t xml:space="preserve">Mohan, S., Li, D., 2019. MedMentions: A large biomedical corpus annotated with UMLS concepts, in:</w:t>
      </w:r>
      <w:r>
        <w:t xml:space="preserve"> </w:t>
      </w:r>
      <w:r>
        <w:rPr>
          <w:i/>
        </w:rPr>
        <w:t xml:space="preserve">Proceedings of the 2019 Conference on Automated Knowledge Base Construction</w:t>
      </w:r>
      <w:r>
        <w:t xml:space="preserve">.</w:t>
      </w:r>
      <w:r>
        <w:t xml:space="preserve"> </w:t>
      </w:r>
      <w:hyperlink r:id="rId62">
        <w:r>
          <w:rPr>
            <w:rStyle w:val="Hyperlink"/>
          </w:rPr>
          <w:t xml:space="preserve">doi:10.48550/arXiv.1902.09476</w:t>
        </w:r>
      </w:hyperlink>
      <w:r>
        <w:t xml:space="preserve">.</w:t>
      </w:r>
    </w:p>
    <w:p>
      <w:pPr>
        <w:numPr>
          <w:numId w:val="1002"/>
          <w:ilvl w:val="0"/>
        </w:numPr>
      </w:pPr>
      <w:r>
        <w:t xml:space="preserve">Moradi, M., Samwald, M., 2022. Improving the robustness and accuracy of biomedical language models through adversarial training.</w:t>
      </w:r>
      <w:r>
        <w:t xml:space="preserve"> </w:t>
      </w:r>
      <w:r>
        <w:rPr>
          <w:i/>
        </w:rPr>
        <w:t xml:space="preserve">Journal of Biomedical Informatics</w:t>
      </w:r>
      <w:r>
        <w:t xml:space="preserve"> </w:t>
      </w:r>
      <w:r>
        <w:t xml:space="preserve">132, 104114.</w:t>
      </w:r>
      <w:r>
        <w:t xml:space="preserve"> </w:t>
      </w:r>
      <w:hyperlink r:id="rId63">
        <w:r>
          <w:rPr>
            <w:rStyle w:val="Hyperlink"/>
          </w:rPr>
          <w:t xml:space="preserve">doi:10.1016/j.jbi.2022.104114</w:t>
        </w:r>
      </w:hyperlink>
      <w:r>
        <w:t xml:space="preserve">.</w:t>
      </w:r>
    </w:p>
    <w:p>
      <w:pPr>
        <w:numPr>
          <w:numId w:val="1002"/>
          <w:ilvl w:val="0"/>
        </w:numPr>
      </w:pPr>
      <w:r>
        <w:t xml:space="preserve">Neumann, M., King, D., Beltagy, I., Ammar, W., 2019. ScispaCy: Fast and robust models for biomedical natural language processing, in:</w:t>
      </w:r>
      <w:r>
        <w:t xml:space="preserve"> </w:t>
      </w:r>
      <w:r>
        <w:rPr>
          <w:i/>
        </w:rPr>
        <w:t xml:space="preserve">Proceedings of the 18th BioNLP Workshop and Shared Task</w:t>
      </w:r>
      <w:r>
        <w:t xml:space="preserve">, pp. 319–327.</w:t>
      </w:r>
      <w:r>
        <w:t xml:space="preserve"> </w:t>
      </w:r>
      <w:hyperlink r:id="rId64">
        <w:r>
          <w:rPr>
            <w:rStyle w:val="Hyperlink"/>
          </w:rPr>
          <w:t xml:space="preserve">doi:10.18653/v1/W19-5034</w:t>
        </w:r>
      </w:hyperlink>
      <w:r>
        <w:t xml:space="preserve">.</w:t>
      </w:r>
    </w:p>
    <w:p>
      <w:pPr>
        <w:numPr>
          <w:numId w:val="1002"/>
          <w:ilvl w:val="0"/>
        </w:numPr>
      </w:pPr>
      <w:r>
        <w:t xml:space="preserve">Névéol, A., Dalianis, H., Velupillai, S., Savova, G., Zweigenbaum, P., 2018. Clinical natural language processing in languages other than English: opportunities and challenges.</w:t>
      </w:r>
      <w:r>
        <w:t xml:space="preserve"> </w:t>
      </w:r>
      <w:r>
        <w:rPr>
          <w:i/>
        </w:rPr>
        <w:t xml:space="preserve">Journal of Biomedical Semantics</w:t>
      </w:r>
      <w:r>
        <w:t xml:space="preserve"> </w:t>
      </w:r>
      <w:r>
        <w:t xml:space="preserve">9, 12.</w:t>
      </w:r>
      <w:r>
        <w:t xml:space="preserve"> </w:t>
      </w:r>
      <w:hyperlink r:id="rId65">
        <w:r>
          <w:rPr>
            <w:rStyle w:val="Hyperlink"/>
          </w:rPr>
          <w:t xml:space="preserve">doi:10.1186/s13326-018-0179-8</w:t>
        </w:r>
      </w:hyperlink>
      <w:r>
        <w:t xml:space="preserve">.</w:t>
      </w:r>
    </w:p>
    <w:p>
      <w:pPr>
        <w:numPr>
          <w:numId w:val="1002"/>
          <w:ilvl w:val="0"/>
        </w:numPr>
      </w:pPr>
      <w:r>
        <w:t xml:space="preserve">Novikova, J., Anderson, C., Blili-Hamelin, B., Rosati, D., Majumdar, S., 2025. Consistency in language models: Current landscape, challenges, and future directions.</w:t>
      </w:r>
      <w:r>
        <w:t xml:space="preserve"> </w:t>
      </w:r>
      <w:hyperlink r:id="rId66">
        <w:r>
          <w:rPr>
            <w:rStyle w:val="Hyperlink"/>
          </w:rPr>
          <w:t xml:space="preserve">doi:10.48550/arXiv.2505.00268</w:t>
        </w:r>
      </w:hyperlink>
      <w:r>
        <w:t xml:space="preserve">.</w:t>
      </w:r>
    </w:p>
    <w:p>
      <w:pPr>
        <w:numPr>
          <w:numId w:val="1002"/>
          <w:ilvl w:val="0"/>
        </w:numPr>
      </w:pPr>
      <w:r>
        <w:t xml:space="preserve">Pal, A., Sankarasubbu, M., 2024. OpenBioLLMs: Advancing open-source large language models for healthcare and life sciences. Hugging Face repository.</w:t>
      </w:r>
      <w:r>
        <w:t xml:space="preserve"> </w:t>
      </w:r>
      <w:hyperlink r:id="rId67">
        <w:r>
          <w:rPr>
            <w:rStyle w:val="Hyperlink"/>
          </w:rPr>
          <w:t xml:space="preserve">https://huggingface.co/aaditya/Llama3-OpenBioLLM-8B</w:t>
        </w:r>
      </w:hyperlink>
      <w:r>
        <w:t xml:space="preserve">.</w:t>
      </w:r>
    </w:p>
    <w:p>
      <w:pPr>
        <w:numPr>
          <w:numId w:val="1002"/>
          <w:ilvl w:val="0"/>
        </w:numPr>
      </w:pPr>
      <w:r>
        <w:t xml:space="preserve">Raj, H., Gupta, V., Rosati, D., Majumdar, S., 2023. Semantic consistency for assuring reliability of large language models.</w:t>
      </w:r>
      <w:r>
        <w:t xml:space="preserve"> </w:t>
      </w:r>
      <w:hyperlink r:id="rId68">
        <w:r>
          <w:rPr>
            <w:rStyle w:val="Hyperlink"/>
          </w:rPr>
          <w:t xml:space="preserve">doi:10.48550/arXiv.2308.09138</w:t>
        </w:r>
      </w:hyperlink>
      <w:r>
        <w:t xml:space="preserve">.</w:t>
      </w:r>
    </w:p>
    <w:p>
      <w:pPr>
        <w:numPr>
          <w:numId w:val="1002"/>
          <w:ilvl w:val="0"/>
        </w:numPr>
      </w:pPr>
      <w:r>
        <w:t xml:space="preserve">Rajpurkar, P., Jia, R., Liang, P., 2018. Know what you don’t know: Unanswerable questions for SQuAD, in:</w:t>
      </w:r>
      <w:r>
        <w:t xml:space="preserve"> </w:t>
      </w:r>
      <w:r>
        <w:rPr>
          <w:i/>
        </w:rPr>
        <w:t xml:space="preserve">Proceedings of the 56th Annual Meeting of the Association for Computational Linguistics</w:t>
      </w:r>
      <w:r>
        <w:t xml:space="preserve">, pp. 784–789.</w:t>
      </w:r>
      <w:r>
        <w:t xml:space="preserve"> </w:t>
      </w:r>
      <w:hyperlink r:id="rId69">
        <w:r>
          <w:rPr>
            <w:rStyle w:val="Hyperlink"/>
          </w:rPr>
          <w:t xml:space="preserve">doi:10.18653/v1/P18-2124</w:t>
        </w:r>
      </w:hyperlink>
      <w:r>
        <w:t xml:space="preserve">.</w:t>
      </w:r>
    </w:p>
    <w:p>
      <w:pPr>
        <w:numPr>
          <w:numId w:val="1002"/>
          <w:ilvl w:val="0"/>
        </w:numPr>
      </w:pPr>
      <w:r>
        <w:t xml:space="preserve">Şahin, G.G., 2022. To augment or not to augment? A comparative study on text augmentation techniques for low-resource NLP.</w:t>
      </w:r>
      <w:r>
        <w:t xml:space="preserve"> </w:t>
      </w:r>
      <w:r>
        <w:rPr>
          <w:i/>
        </w:rPr>
        <w:t xml:space="preserve">Computational Linguistics</w:t>
      </w:r>
      <w:r>
        <w:t xml:space="preserve"> </w:t>
      </w:r>
      <w:r>
        <w:t xml:space="preserve">48, 5–42.</w:t>
      </w:r>
      <w:r>
        <w:t xml:space="preserve"> </w:t>
      </w:r>
      <w:hyperlink r:id="rId70">
        <w:r>
          <w:rPr>
            <w:rStyle w:val="Hyperlink"/>
          </w:rPr>
          <w:t xml:space="preserve">doi:10.1162/coli_a_00425</w:t>
        </w:r>
      </w:hyperlink>
      <w:r>
        <w:t xml:space="preserve">.</w:t>
      </w:r>
    </w:p>
    <w:p>
      <w:pPr>
        <w:numPr>
          <w:numId w:val="1002"/>
          <w:ilvl w:val="0"/>
        </w:numPr>
      </w:pPr>
      <w:r>
        <w:t xml:space="preserve">Savage, T., Wang, J., Gallo, R., Boukil, A., Patel, V., Safavi-Naini, S.A.A., Soroush, A., Chen, J.H., 2024. Large language model uncertainty proxies: Discrimination and calibration for medical diagnosis and treatment.</w:t>
      </w:r>
      <w:r>
        <w:t xml:space="preserve"> </w:t>
      </w:r>
      <w:r>
        <w:rPr>
          <w:i/>
        </w:rPr>
        <w:t xml:space="preserve">Journal of the American Medical Informatics Association</w:t>
      </w:r>
      <w:r>
        <w:t xml:space="preserve"> </w:t>
      </w:r>
      <w:r>
        <w:t xml:space="preserve">32, 183–193.</w:t>
      </w:r>
      <w:r>
        <w:t xml:space="preserve"> </w:t>
      </w:r>
      <w:hyperlink r:id="rId71">
        <w:r>
          <w:rPr>
            <w:rStyle w:val="Hyperlink"/>
          </w:rPr>
          <w:t xml:space="preserve">doi:10.1093/jamia/ocae254</w:t>
        </w:r>
      </w:hyperlink>
      <w:r>
        <w:t xml:space="preserve">.</w:t>
      </w:r>
    </w:p>
    <w:p>
      <w:pPr>
        <w:numPr>
          <w:numId w:val="1002"/>
          <w:ilvl w:val="0"/>
        </w:numPr>
      </w:pPr>
      <w:r>
        <w:t xml:space="preserve">Sclar, M., Choi, Y., Tsvetkov, Y., Suhr, A., 2024. Quantifying language models’ sensitivity to spurious features in prompt design or: How I learned to start worrying about prompt formatting, in:</w:t>
      </w:r>
      <w:r>
        <w:t xml:space="preserve"> </w:t>
      </w:r>
      <w:r>
        <w:rPr>
          <w:i/>
        </w:rPr>
        <w:t xml:space="preserve">International Conference on Learning Representations</w:t>
      </w:r>
      <w:r>
        <w:t xml:space="preserve">.</w:t>
      </w:r>
      <w:r>
        <w:t xml:space="preserve"> </w:t>
      </w:r>
      <w:hyperlink r:id="rId72">
        <w:r>
          <w:rPr>
            <w:rStyle w:val="Hyperlink"/>
          </w:rPr>
          <w:t xml:space="preserve">doi:10.48550/arXiv.2310.11324</w:t>
        </w:r>
      </w:hyperlink>
      <w:r>
        <w:t xml:space="preserve">.</w:t>
      </w:r>
    </w:p>
    <w:p>
      <w:pPr>
        <w:numPr>
          <w:numId w:val="1002"/>
          <w:ilvl w:val="0"/>
        </w:numPr>
      </w:pPr>
      <w:r>
        <w:t xml:space="preserve">Singhal, K., Azizi, S., Tu, T., Mahdavi, S.S., Wei, J., Chung, H.W., Scales, N., et al., 2023. Large language models encode clinical knowledge.</w:t>
      </w:r>
      <w:r>
        <w:t xml:space="preserve"> </w:t>
      </w:r>
      <w:r>
        <w:rPr>
          <w:i/>
        </w:rPr>
        <w:t xml:space="preserve">Nature</w:t>
      </w:r>
      <w:r>
        <w:t xml:space="preserve"> </w:t>
      </w:r>
      <w:r>
        <w:t xml:space="preserve">620, 172–180.</w:t>
      </w:r>
      <w:r>
        <w:t xml:space="preserve"> </w:t>
      </w:r>
      <w:hyperlink r:id="rId73">
        <w:r>
          <w:rPr>
            <w:rStyle w:val="Hyperlink"/>
          </w:rPr>
          <w:t xml:space="preserve">doi:10.1038/s41586-023-06291-2</w:t>
        </w:r>
      </w:hyperlink>
      <w:r>
        <w:t xml:space="preserve">.</w:t>
      </w:r>
    </w:p>
    <w:p>
      <w:pPr>
        <w:numPr>
          <w:numId w:val="1002"/>
          <w:ilvl w:val="0"/>
        </w:numPr>
      </w:pPr>
      <w:r>
        <w:t xml:space="preserve">Thirunavukarasu, A.J., Ting, D.S.J., Elangovan, K., Gutierrez, L., Tan, T.F., Ting, D.S.W., 2023. Large language models in medicine.</w:t>
      </w:r>
      <w:r>
        <w:t xml:space="preserve"> </w:t>
      </w:r>
      <w:r>
        <w:rPr>
          <w:i/>
        </w:rPr>
        <w:t xml:space="preserve">Nature Medicine</w:t>
      </w:r>
      <w:r>
        <w:t xml:space="preserve"> </w:t>
      </w:r>
      <w:r>
        <w:t xml:space="preserve">29, 1930–1940.</w:t>
      </w:r>
      <w:r>
        <w:t xml:space="preserve"> </w:t>
      </w:r>
      <w:hyperlink r:id="rId74">
        <w:r>
          <w:rPr>
            <w:rStyle w:val="Hyperlink"/>
          </w:rPr>
          <w:t xml:space="preserve">doi:10.1038/s41591-023-02448-8</w:t>
        </w:r>
      </w:hyperlink>
      <w:r>
        <w:t xml:space="preserve">.</w:t>
      </w:r>
    </w:p>
    <w:p>
      <w:pPr>
        <w:numPr>
          <w:numId w:val="1002"/>
          <w:ilvl w:val="0"/>
        </w:numPr>
      </w:pPr>
      <w:r>
        <w:t xml:space="preserve">Tian, K., Mitchell, E., Zhou, A., Sharma, A., Rafailov, R., Yao, H., Finn, C., Manning, C.D., 2023. Just ask for calibration: Strategies for eliciting calibrated confidence scores from language models fine-tuned with human feedback, in:</w:t>
      </w:r>
      <w:r>
        <w:t xml:space="preserve"> </w:t>
      </w:r>
      <w:r>
        <w:rPr>
          <w:i/>
        </w:rPr>
        <w:t xml:space="preserve">Proceedings of the 2023 Conference on Empirical Methods in Natural Language Processing</w:t>
      </w:r>
      <w:r>
        <w:t xml:space="preserve">, pp. 5433–5442.</w:t>
      </w:r>
      <w:r>
        <w:t xml:space="preserve"> </w:t>
      </w:r>
      <w:hyperlink r:id="rId75">
        <w:r>
          <w:rPr>
            <w:rStyle w:val="Hyperlink"/>
          </w:rPr>
          <w:t xml:space="preserve">doi:10.18653/v1/2023.emnlp-main.330</w:t>
        </w:r>
      </w:hyperlink>
      <w:r>
        <w:t xml:space="preserve">.</w:t>
      </w:r>
    </w:p>
    <w:p>
      <w:pPr>
        <w:numPr>
          <w:numId w:val="1002"/>
          <w:ilvl w:val="0"/>
        </w:numPr>
      </w:pPr>
      <w:r>
        <w:t xml:space="preserve">Tinn, R., Cheng, H., Gu, Y., Usuyama, N., Liu, X., Naumann, T., Gao, J., Poon, H., 2023. Fine-tuning large neural language models for biomedical natural language processing.</w:t>
      </w:r>
      <w:r>
        <w:t xml:space="preserve"> </w:t>
      </w:r>
      <w:r>
        <w:rPr>
          <w:i/>
        </w:rPr>
        <w:t xml:space="preserve">Patterns</w:t>
      </w:r>
      <w:r>
        <w:t xml:space="preserve"> </w:t>
      </w:r>
      <w:r>
        <w:t xml:space="preserve">4, 100729.</w:t>
      </w:r>
      <w:r>
        <w:t xml:space="preserve"> </w:t>
      </w:r>
      <w:hyperlink r:id="rId76">
        <w:r>
          <w:rPr>
            <w:rStyle w:val="Hyperlink"/>
          </w:rPr>
          <w:t xml:space="preserve">doi:10.1016/j.patter.2023.100729</w:t>
        </w:r>
      </w:hyperlink>
      <w:r>
        <w:t xml:space="preserve">.</w:t>
      </w:r>
    </w:p>
    <w:p>
      <w:pPr>
        <w:numPr>
          <w:numId w:val="1002"/>
          <w:ilvl w:val="0"/>
        </w:numPr>
      </w:pPr>
      <w:r>
        <w:t xml:space="preserve">Tsatsaronis, G., Balikas, G., Malakasiotis, P., Partalas, I., Zschunke, M., Alvers, M.R., Weissenborn, D., Krithara, A., Petridis, S., Polychronopoulos, D., et al., 2015. An overview of the BioASQ large-scale biomedical semantic indexing and question answering competition.</w:t>
      </w:r>
      <w:r>
        <w:t xml:space="preserve"> </w:t>
      </w:r>
      <w:r>
        <w:rPr>
          <w:i/>
        </w:rPr>
        <w:t xml:space="preserve">BMC Bioinformatics</w:t>
      </w:r>
      <w:r>
        <w:t xml:space="preserve"> </w:t>
      </w:r>
      <w:r>
        <w:t xml:space="preserve">16, 138.</w:t>
      </w:r>
      <w:r>
        <w:t xml:space="preserve"> </w:t>
      </w:r>
      <w:hyperlink r:id="rId77">
        <w:r>
          <w:rPr>
            <w:rStyle w:val="Hyperlink"/>
          </w:rPr>
          <w:t xml:space="preserve">doi:10.1186/s12859-015-0564-6</w:t>
        </w:r>
      </w:hyperlink>
      <w:r>
        <w:t xml:space="preserve">.</w:t>
      </w:r>
    </w:p>
    <w:p>
      <w:pPr>
        <w:numPr>
          <w:numId w:val="1002"/>
          <w:ilvl w:val="0"/>
        </w:numPr>
      </w:pPr>
      <w:r>
        <w:t xml:space="preserve">Wang, X., Wei, J., Schuurmans, D., Le, Q.V., Chi, E., Narang, S., Chowdhery, A., Zhou, D., 2023. Self-consistency improves chain of thought reasoning in language models, in:</w:t>
      </w:r>
      <w:r>
        <w:t xml:space="preserve"> </w:t>
      </w:r>
      <w:r>
        <w:rPr>
          <w:i/>
        </w:rPr>
        <w:t xml:space="preserve">International Conference on Learning Representations</w:t>
      </w:r>
      <w:r>
        <w:t xml:space="preserve">.</w:t>
      </w:r>
      <w:r>
        <w:t xml:space="preserve"> </w:t>
      </w:r>
      <w:hyperlink r:id="rId78">
        <w:r>
          <w:rPr>
            <w:rStyle w:val="Hyperlink"/>
          </w:rPr>
          <w:t xml:space="preserve">doi:10.48550/arXiv.2203.11171</w:t>
        </w:r>
      </w:hyperlink>
      <w:r>
        <w:t xml:space="preserve">.</w:t>
      </w:r>
    </w:p>
    <w:p>
      <w:pPr>
        <w:numPr>
          <w:numId w:val="1002"/>
          <w:ilvl w:val="0"/>
        </w:numPr>
      </w:pPr>
      <w:r>
        <w:t xml:space="preserve">Wei, J., Wang, X., Schuurmans, D., Bosma, M., Ichter, B., Xia, F., Chi, E., Le, Q.V., Zhou, D., 2022. Chain-of-thought prompting elicits reasoning in large language models, in:</w:t>
      </w:r>
      <w:r>
        <w:t xml:space="preserve"> </w:t>
      </w:r>
      <w:r>
        <w:rPr>
          <w:i/>
        </w:rPr>
        <w:t xml:space="preserve">Advances in Neural Information Processing Systems</w:t>
      </w:r>
      <w:r>
        <w:t xml:space="preserve">, pp. 24824–24837.</w:t>
      </w:r>
      <w:r>
        <w:t xml:space="preserve"> </w:t>
      </w:r>
      <w:hyperlink r:id="rId79">
        <w:r>
          <w:rPr>
            <w:rStyle w:val="Hyperlink"/>
          </w:rPr>
          <w:t xml:space="preserve">doi:10.48550/arXiv.2201.11903</w:t>
        </w:r>
      </w:hyperlink>
      <w:r>
        <w:t xml:space="preserve">.</w:t>
      </w:r>
    </w:p>
    <w:p>
      <w:pPr>
        <w:numPr>
          <w:numId w:val="1002"/>
          <w:ilvl w:val="0"/>
        </w:numPr>
      </w:pPr>
      <w:r>
        <w:t xml:space="preserve">Xin, J., Tang, R., Yu, Y., Lin, J., 2021. The art of abstention: Selective prediction and error regularization for natural language processing, in:</w:t>
      </w:r>
      <w:r>
        <w:t xml:space="preserve"> </w:t>
      </w:r>
      <w:r>
        <w:rPr>
          <w:i/>
        </w:rPr>
        <w:t xml:space="preserve">Proceedings of the 59th Annual Meeting of the Association for Computational Linguistics and the 11th International Joint Conference on Natural Language Processing (Volume 1: Long Papers)</w:t>
      </w:r>
      <w:r>
        <w:t xml:space="preserve">, pp. 1040–1051.</w:t>
      </w:r>
      <w:r>
        <w:t xml:space="preserve"> </w:t>
      </w:r>
      <w:hyperlink r:id="rId80">
        <w:r>
          <w:rPr>
            <w:rStyle w:val="Hyperlink"/>
          </w:rPr>
          <w:t xml:space="preserve">doi:10.18653/v1/2021.acl-long.84</w:t>
        </w:r>
      </w:hyperlink>
      <w:r>
        <w:t xml:space="preserve">.</w:t>
      </w:r>
    </w:p>
    <w:p>
      <w:pPr>
        <w:numPr>
          <w:numId w:val="1002"/>
          <w:ilvl w:val="0"/>
        </w:numPr>
      </w:pPr>
      <w:r>
        <w:t xml:space="preserve">Xu, X., Kong, K., Liu, N., Cui, L., Wang, D., Zhang, J., Kankanhalli, M., 2024. An LLM can fool itself: A prompt-based adversarial attack, in:</w:t>
      </w:r>
      <w:r>
        <w:t xml:space="preserve"> </w:t>
      </w:r>
      <w:r>
        <w:rPr>
          <w:i/>
        </w:rPr>
        <w:t xml:space="preserve">International Conference on Learning Representations</w:t>
      </w:r>
      <w:r>
        <w:t xml:space="preserve">.</w:t>
      </w:r>
      <w:r>
        <w:t xml:space="preserve"> </w:t>
      </w:r>
      <w:hyperlink r:id="rId81">
        <w:r>
          <w:rPr>
            <w:rStyle w:val="Hyperlink"/>
          </w:rPr>
          <w:t xml:space="preserve">doi:10.48550/arXiv.2310.13345</w:t>
        </w:r>
      </w:hyperlink>
      <w:r>
        <w:t xml:space="preserve">.</w:t>
      </w:r>
    </w:p>
    <w:p>
      <w:pPr>
        <w:numPr>
          <w:numId w:val="1002"/>
          <w:ilvl w:val="0"/>
        </w:numPr>
      </w:pPr>
      <w:r>
        <w:t xml:space="preserve">Zhou, S., Cheng, Y., Zhang, W., Liang, X., Li, C., Li, Y., Hu, Y., Liu, J., 2025. Uncertainty-aware large language models for explainable disease diagnosis.</w:t>
      </w:r>
      <w:r>
        <w:t xml:space="preserve"> </w:t>
      </w:r>
      <w:r>
        <w:rPr>
          <w:i/>
        </w:rPr>
        <w:t xml:space="preserve">npj Digital Medicine</w:t>
      </w:r>
      <w:r>
        <w:t xml:space="preserve"> </w:t>
      </w:r>
      <w:r>
        <w:t xml:space="preserve">8, 529.</w:t>
      </w:r>
      <w:r>
        <w:t xml:space="preserve"> </w:t>
      </w:r>
      <w:hyperlink r:id="rId82">
        <w:r>
          <w:rPr>
            <w:rStyle w:val="Hyperlink"/>
          </w:rPr>
          <w:t xml:space="preserve">doi:10.1038/s41746-025-02071-6</w:t>
        </w:r>
      </w:hyperlink>
      <w:r>
        <w:t xml:space="preserve">.</w:t>
      </w:r>
    </w:p>
    <w:p>
      <w:pPr>
        <w:numPr>
          <w:numId w:val="1002"/>
          <w:ilvl w:val="0"/>
        </w:numPr>
      </w:pPr>
      <w:r>
        <w:t xml:space="preserve">Zhu, F., Lei, W., Wang, C., Zheng, J., Poria, S., Chua, T.S., 2021. Retrieving and reading: A comprehensive survey on open-domain question answering.</w:t>
      </w:r>
      <w:r>
        <w:t xml:space="preserve"> </w:t>
      </w:r>
      <w:hyperlink r:id="rId83">
        <w:r>
          <w:rPr>
            <w:rStyle w:val="Hyperlink"/>
          </w:rPr>
          <w:t xml:space="preserve">doi:10.48550/arXiv.2101.00774</w:t>
        </w:r>
      </w:hyperlink>
      <w:r>
        <w:t xml:space="preserve">.</w:t>
      </w:r>
    </w:p>
    <w:p>
      <w:pPr>
        <w:numPr>
          <w:numId w:val="1002"/>
          <w:ilvl w:val="0"/>
        </w:numPr>
      </w:pPr>
      <w:r>
        <w:t xml:space="preserve">Zhuo, J., Zhang, S., Fang, X., Duan, H., Lin, D., Chen, K., 2024. ProSA: Assessing and understanding the prompt sensitivity of LLMs, in:</w:t>
      </w:r>
      <w:r>
        <w:t xml:space="preserve"> </w:t>
      </w:r>
      <w:r>
        <w:rPr>
          <w:i/>
        </w:rPr>
        <w:t xml:space="preserve">Findings of the Association for Computational Linguistics: EMNLP 2024</w:t>
      </w:r>
      <w:r>
        <w:t xml:space="preserve">, pp. 1950–1976.</w:t>
      </w:r>
      <w:r>
        <w:t xml:space="preserve"> </w:t>
      </w:r>
      <w:hyperlink r:id="rId84">
        <w:r>
          <w:rPr>
            <w:rStyle w:val="Hyperlink"/>
          </w:rPr>
          <w:t xml:space="preserve">doi:10.18653/v1/2024.findings-emnlp.108</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doi.org/10.1016/j.jbi.2015.03.010" TargetMode="External" /><Relationship Type="http://schemas.openxmlformats.org/officeDocument/2006/relationships/hyperlink" Id="rId63" Target="https://doi.org/10.1016/j.jbi.2022.104114" TargetMode="External" /><Relationship Type="http://schemas.openxmlformats.org/officeDocument/2006/relationships/hyperlink" Id="rId31" Target="https://doi.org/10.1016/j.jbi.2024.104707" TargetMode="External" /><Relationship Type="http://schemas.openxmlformats.org/officeDocument/2006/relationships/hyperlink" Id="rId76" Target="https://doi.org/10.1016/j.patter.2023.100729" TargetMode="External" /><Relationship Type="http://schemas.openxmlformats.org/officeDocument/2006/relationships/hyperlink" Id="rId37" Target="https://doi.org/10.1017/rsm.2025.9" TargetMode="External" /><Relationship Type="http://schemas.openxmlformats.org/officeDocument/2006/relationships/hyperlink" Id="rId73" Target="https://doi.org/10.1038/s41586-023-06291-2" TargetMode="External" /><Relationship Type="http://schemas.openxmlformats.org/officeDocument/2006/relationships/hyperlink" Id="rId40" Target="https://doi.org/10.1038/s41586-024-07421-0" TargetMode="External" /><Relationship Type="http://schemas.openxmlformats.org/officeDocument/2006/relationships/hyperlink" Id="rId74" Target="https://doi.org/10.1038/s41591-023-02448-8" TargetMode="External" /><Relationship Type="http://schemas.openxmlformats.org/officeDocument/2006/relationships/hyperlink" Id="rId46" Target="https://doi.org/10.1038/s41591-024-03097-1" TargetMode="External" /><Relationship Type="http://schemas.openxmlformats.org/officeDocument/2006/relationships/hyperlink" Id="rId33" Target="https://doi.org/10.1038/s41598-025-29770-0" TargetMode="External" /><Relationship Type="http://schemas.openxmlformats.org/officeDocument/2006/relationships/hyperlink" Id="rId32" Target="https://doi.org/10.1038/s41746-025-01963-x" TargetMode="External" /><Relationship Type="http://schemas.openxmlformats.org/officeDocument/2006/relationships/hyperlink" Id="rId82" Target="https://doi.org/10.1038/s41746-025-02071-6" TargetMode="External" /><Relationship Type="http://schemas.openxmlformats.org/officeDocument/2006/relationships/hyperlink" Id="rId58" Target="https://doi.org/10.1093/bioinformatics/btz682" TargetMode="External" /><Relationship Type="http://schemas.openxmlformats.org/officeDocument/2006/relationships/hyperlink" Id="rId71" Target="https://doi.org/10.1093/jamia/ocae254" TargetMode="External" /><Relationship Type="http://schemas.openxmlformats.org/officeDocument/2006/relationships/hyperlink" Id="rId35" Target="https://doi.org/10.1093/nar/gkh061" TargetMode="External" /><Relationship Type="http://schemas.openxmlformats.org/officeDocument/2006/relationships/hyperlink" Id="rId55" Target="https://doi.org/10.1109/34.667881" TargetMode="External" /><Relationship Type="http://schemas.openxmlformats.org/officeDocument/2006/relationships/hyperlink" Id="rId36" Target="https://doi.org/10.1109/TIT.1970.1054406" TargetMode="External" /><Relationship Type="http://schemas.openxmlformats.org/officeDocument/2006/relationships/hyperlink" Id="rId44" Target="https://doi.org/10.1145/3458754" TargetMode="External" /><Relationship Type="http://schemas.openxmlformats.org/officeDocument/2006/relationships/hyperlink" Id="rId49" Target="https://doi.org/10.1145/3571730" TargetMode="External" /><Relationship Type="http://schemas.openxmlformats.org/officeDocument/2006/relationships/hyperlink" Id="rId42" Target="https://doi.org/10.1145/3593042" TargetMode="External" /><Relationship Type="http://schemas.openxmlformats.org/officeDocument/2006/relationships/hyperlink" Id="rId48" Target="https://doi.org/10.1145/3703155" TargetMode="External" /><Relationship Type="http://schemas.openxmlformats.org/officeDocument/2006/relationships/hyperlink" Id="rId70" Target="https://doi.org/10.1162/coli_a_00425" TargetMode="External" /><Relationship Type="http://schemas.openxmlformats.org/officeDocument/2006/relationships/hyperlink" Id="rId77" Target="https://doi.org/10.1186/s12859-015-0564-6" TargetMode="External" /><Relationship Type="http://schemas.openxmlformats.org/officeDocument/2006/relationships/hyperlink" Id="rId65" Target="https://doi.org/10.1186/s13326-018-0179-8" TargetMode="External" /><Relationship Type="http://schemas.openxmlformats.org/officeDocument/2006/relationships/hyperlink" Id="rId51" Target="https://doi.org/10.1609/aaai.v34i05.6311" TargetMode="External" /><Relationship Type="http://schemas.openxmlformats.org/officeDocument/2006/relationships/hyperlink" Id="rId53" Target="https://doi.org/10.18653/v1/2020.acl-main.503" TargetMode="External" /><Relationship Type="http://schemas.openxmlformats.org/officeDocument/2006/relationships/hyperlink" Id="rId80" Target="https://doi.org/10.18653/v1/2021.acl-long.84" TargetMode="External" /><Relationship Type="http://schemas.openxmlformats.org/officeDocument/2006/relationships/hyperlink" Id="rId60" Target="https://doi.org/10.18653/v1/2021.naacl-main.334" TargetMode="External" /><Relationship Type="http://schemas.openxmlformats.org/officeDocument/2006/relationships/hyperlink" Id="rId75" Target="https://doi.org/10.18653/v1/2023.emnlp-main.330" TargetMode="External" /><Relationship Type="http://schemas.openxmlformats.org/officeDocument/2006/relationships/hyperlink" Id="rId61" Target="https://doi.org/10.18653/v1/2023.emnlp-main.557" TargetMode="External" /><Relationship Type="http://schemas.openxmlformats.org/officeDocument/2006/relationships/hyperlink" Id="rId57" Target="https://doi.org/10.18653/v1/2024.findings-acl.348" TargetMode="External" /><Relationship Type="http://schemas.openxmlformats.org/officeDocument/2006/relationships/hyperlink" Id="rId84" Target="https://doi.org/10.18653/v1/2024.findings-emnlp.108" TargetMode="External" /><Relationship Type="http://schemas.openxmlformats.org/officeDocument/2006/relationships/hyperlink" Id="rId38" Target="https://doi.org/10.18653/v1/P18-2006" TargetMode="External" /><Relationship Type="http://schemas.openxmlformats.org/officeDocument/2006/relationships/hyperlink" Id="rId69" Target="https://doi.org/10.18653/v1/P18-2124" TargetMode="External" /><Relationship Type="http://schemas.openxmlformats.org/officeDocument/2006/relationships/hyperlink" Id="rId64" Target="https://doi.org/10.18653/v1/W19-5034" TargetMode="External" /><Relationship Type="http://schemas.openxmlformats.org/officeDocument/2006/relationships/hyperlink" Id="rId47" Target="https://doi.org/10.48550/arXiv.1610.02136" TargetMode="External" /><Relationship Type="http://schemas.openxmlformats.org/officeDocument/2006/relationships/hyperlink" Id="rId41" Target="https://doi.org/10.48550/arXiv.1705.08500" TargetMode="External" /><Relationship Type="http://schemas.openxmlformats.org/officeDocument/2006/relationships/hyperlink" Id="rId45" Target="https://doi.org/10.48550/arXiv.1706.04599" TargetMode="External" /><Relationship Type="http://schemas.openxmlformats.org/officeDocument/2006/relationships/hyperlink" Id="rId62" Target="https://doi.org/10.48550/arXiv.1902.09476" TargetMode="External" /><Relationship Type="http://schemas.openxmlformats.org/officeDocument/2006/relationships/hyperlink" Id="rId83" Target="https://doi.org/10.48550/arXiv.2101.00774" TargetMode="External" /><Relationship Type="http://schemas.openxmlformats.org/officeDocument/2006/relationships/hyperlink" Id="rId79" Target="https://doi.org/10.48550/arXiv.2201.11903" TargetMode="External" /><Relationship Type="http://schemas.openxmlformats.org/officeDocument/2006/relationships/hyperlink" Id="rId78" Target="https://doi.org/10.48550/arXiv.2203.11171" TargetMode="External" /><Relationship Type="http://schemas.openxmlformats.org/officeDocument/2006/relationships/hyperlink" Id="rId59" Target="https://doi.org/10.48550/arXiv.2205.14334" TargetMode="External" /><Relationship Type="http://schemas.openxmlformats.org/officeDocument/2006/relationships/hyperlink" Id="rId52" Target="https://doi.org/10.48550/arXiv.2207.05221" TargetMode="External" /><Relationship Type="http://schemas.openxmlformats.org/officeDocument/2006/relationships/hyperlink" Id="rId56" Target="https://doi.org/10.48550/arXiv.2302.09664" TargetMode="External" /><Relationship Type="http://schemas.openxmlformats.org/officeDocument/2006/relationships/hyperlink" Id="rId68" Target="https://doi.org/10.48550/arXiv.2308.09138" TargetMode="External" /><Relationship Type="http://schemas.openxmlformats.org/officeDocument/2006/relationships/hyperlink" Id="rId50" Target="https://doi.org/10.48550/arXiv.2310.06825" TargetMode="External" /><Relationship Type="http://schemas.openxmlformats.org/officeDocument/2006/relationships/hyperlink" Id="rId72" Target="https://doi.org/10.48550/arXiv.2310.11324" TargetMode="External" /><Relationship Type="http://schemas.openxmlformats.org/officeDocument/2006/relationships/hyperlink" Id="rId81" Target="https://doi.org/10.48550/arXiv.2310.13345" TargetMode="External" /><Relationship Type="http://schemas.openxmlformats.org/officeDocument/2006/relationships/hyperlink" Id="rId43" Target="https://doi.org/10.48550/arXiv.2407.21783" TargetMode="External" /><Relationship Type="http://schemas.openxmlformats.org/officeDocument/2006/relationships/hyperlink" Id="rId66" Target="https://doi.org/10.48550/arXiv.2505.00268" TargetMode="External" /><Relationship Type="http://schemas.openxmlformats.org/officeDocument/2006/relationships/hyperlink" Id="rId67" Target="https://huggingface.co/aaditya/Llama3-OpenBioLLM-8B" TargetMode="External" /><Relationship Type="http://schemas.openxmlformats.org/officeDocument/2006/relationships/hyperlink" Id="rId39" Target="https://jmlr.org/papers/v11/el-yaniv10a.html" TargetMode="External" /><Relationship Type="http://schemas.openxmlformats.org/officeDocument/2006/relationships/hyperlink" Id="rId34" Target="https://pmc.ncbi.nlm.nih.gov/articles/PMC5961801/" TargetMode="External" /></Relationships>
</file>

<file path=word/_rels/footnotes.xml.rels><?xml version="1.0" encoding="UTF-8"?>
<Relationships xmlns="http://schemas.openxmlformats.org/package/2006/relationships"><Relationship Type="http://schemas.openxmlformats.org/officeDocument/2006/relationships/hyperlink" Id="rId54" Target="https://doi.org/10.1016/j.jbi.2015.03.010" TargetMode="External" /><Relationship Type="http://schemas.openxmlformats.org/officeDocument/2006/relationships/hyperlink" Id="rId63" Target="https://doi.org/10.1016/j.jbi.2022.104114" TargetMode="External" /><Relationship Type="http://schemas.openxmlformats.org/officeDocument/2006/relationships/hyperlink" Id="rId31" Target="https://doi.org/10.1016/j.jbi.2024.104707" TargetMode="External" /><Relationship Type="http://schemas.openxmlformats.org/officeDocument/2006/relationships/hyperlink" Id="rId76" Target="https://doi.org/10.1016/j.patter.2023.100729" TargetMode="External" /><Relationship Type="http://schemas.openxmlformats.org/officeDocument/2006/relationships/hyperlink" Id="rId37" Target="https://doi.org/10.1017/rsm.2025.9" TargetMode="External" /><Relationship Type="http://schemas.openxmlformats.org/officeDocument/2006/relationships/hyperlink" Id="rId73" Target="https://doi.org/10.1038/s41586-023-06291-2" TargetMode="External" /><Relationship Type="http://schemas.openxmlformats.org/officeDocument/2006/relationships/hyperlink" Id="rId40" Target="https://doi.org/10.1038/s41586-024-07421-0" TargetMode="External" /><Relationship Type="http://schemas.openxmlformats.org/officeDocument/2006/relationships/hyperlink" Id="rId74" Target="https://doi.org/10.1038/s41591-023-02448-8" TargetMode="External" /><Relationship Type="http://schemas.openxmlformats.org/officeDocument/2006/relationships/hyperlink" Id="rId46" Target="https://doi.org/10.1038/s41591-024-03097-1" TargetMode="External" /><Relationship Type="http://schemas.openxmlformats.org/officeDocument/2006/relationships/hyperlink" Id="rId33" Target="https://doi.org/10.1038/s41598-025-29770-0" TargetMode="External" /><Relationship Type="http://schemas.openxmlformats.org/officeDocument/2006/relationships/hyperlink" Id="rId32" Target="https://doi.org/10.1038/s41746-025-01963-x" TargetMode="External" /><Relationship Type="http://schemas.openxmlformats.org/officeDocument/2006/relationships/hyperlink" Id="rId82" Target="https://doi.org/10.1038/s41746-025-02071-6" TargetMode="External" /><Relationship Type="http://schemas.openxmlformats.org/officeDocument/2006/relationships/hyperlink" Id="rId58" Target="https://doi.org/10.1093/bioinformatics/btz682" TargetMode="External" /><Relationship Type="http://schemas.openxmlformats.org/officeDocument/2006/relationships/hyperlink" Id="rId71" Target="https://doi.org/10.1093/jamia/ocae254" TargetMode="External" /><Relationship Type="http://schemas.openxmlformats.org/officeDocument/2006/relationships/hyperlink" Id="rId35" Target="https://doi.org/10.1093/nar/gkh061" TargetMode="External" /><Relationship Type="http://schemas.openxmlformats.org/officeDocument/2006/relationships/hyperlink" Id="rId55" Target="https://doi.org/10.1109/34.667881" TargetMode="External" /><Relationship Type="http://schemas.openxmlformats.org/officeDocument/2006/relationships/hyperlink" Id="rId36" Target="https://doi.org/10.1109/TIT.1970.1054406" TargetMode="External" /><Relationship Type="http://schemas.openxmlformats.org/officeDocument/2006/relationships/hyperlink" Id="rId44" Target="https://doi.org/10.1145/3458754" TargetMode="External" /><Relationship Type="http://schemas.openxmlformats.org/officeDocument/2006/relationships/hyperlink" Id="rId49" Target="https://doi.org/10.1145/3571730" TargetMode="External" /><Relationship Type="http://schemas.openxmlformats.org/officeDocument/2006/relationships/hyperlink" Id="rId42" Target="https://doi.org/10.1145/3593042" TargetMode="External" /><Relationship Type="http://schemas.openxmlformats.org/officeDocument/2006/relationships/hyperlink" Id="rId48" Target="https://doi.org/10.1145/3703155" TargetMode="External" /><Relationship Type="http://schemas.openxmlformats.org/officeDocument/2006/relationships/hyperlink" Id="rId70" Target="https://doi.org/10.1162/coli_a_00425" TargetMode="External" /><Relationship Type="http://schemas.openxmlformats.org/officeDocument/2006/relationships/hyperlink" Id="rId77" Target="https://doi.org/10.1186/s12859-015-0564-6" TargetMode="External" /><Relationship Type="http://schemas.openxmlformats.org/officeDocument/2006/relationships/hyperlink" Id="rId65" Target="https://doi.org/10.1186/s13326-018-0179-8" TargetMode="External" /><Relationship Type="http://schemas.openxmlformats.org/officeDocument/2006/relationships/hyperlink" Id="rId51" Target="https://doi.org/10.1609/aaai.v34i05.6311" TargetMode="External" /><Relationship Type="http://schemas.openxmlformats.org/officeDocument/2006/relationships/hyperlink" Id="rId53" Target="https://doi.org/10.18653/v1/2020.acl-main.503" TargetMode="External" /><Relationship Type="http://schemas.openxmlformats.org/officeDocument/2006/relationships/hyperlink" Id="rId80" Target="https://doi.org/10.18653/v1/2021.acl-long.84" TargetMode="External" /><Relationship Type="http://schemas.openxmlformats.org/officeDocument/2006/relationships/hyperlink" Id="rId60" Target="https://doi.org/10.18653/v1/2021.naacl-main.334" TargetMode="External" /><Relationship Type="http://schemas.openxmlformats.org/officeDocument/2006/relationships/hyperlink" Id="rId75" Target="https://doi.org/10.18653/v1/2023.emnlp-main.330" TargetMode="External" /><Relationship Type="http://schemas.openxmlformats.org/officeDocument/2006/relationships/hyperlink" Id="rId61" Target="https://doi.org/10.18653/v1/2023.emnlp-main.557" TargetMode="External" /><Relationship Type="http://schemas.openxmlformats.org/officeDocument/2006/relationships/hyperlink" Id="rId57" Target="https://doi.org/10.18653/v1/2024.findings-acl.348" TargetMode="External" /><Relationship Type="http://schemas.openxmlformats.org/officeDocument/2006/relationships/hyperlink" Id="rId84" Target="https://doi.org/10.18653/v1/2024.findings-emnlp.108" TargetMode="External" /><Relationship Type="http://schemas.openxmlformats.org/officeDocument/2006/relationships/hyperlink" Id="rId38" Target="https://doi.org/10.18653/v1/P18-2006" TargetMode="External" /><Relationship Type="http://schemas.openxmlformats.org/officeDocument/2006/relationships/hyperlink" Id="rId69" Target="https://doi.org/10.18653/v1/P18-2124" TargetMode="External" /><Relationship Type="http://schemas.openxmlformats.org/officeDocument/2006/relationships/hyperlink" Id="rId64" Target="https://doi.org/10.18653/v1/W19-5034" TargetMode="External" /><Relationship Type="http://schemas.openxmlformats.org/officeDocument/2006/relationships/hyperlink" Id="rId47" Target="https://doi.org/10.48550/arXiv.1610.02136" TargetMode="External" /><Relationship Type="http://schemas.openxmlformats.org/officeDocument/2006/relationships/hyperlink" Id="rId41" Target="https://doi.org/10.48550/arXiv.1705.08500" TargetMode="External" /><Relationship Type="http://schemas.openxmlformats.org/officeDocument/2006/relationships/hyperlink" Id="rId45" Target="https://doi.org/10.48550/arXiv.1706.04599" TargetMode="External" /><Relationship Type="http://schemas.openxmlformats.org/officeDocument/2006/relationships/hyperlink" Id="rId62" Target="https://doi.org/10.48550/arXiv.1902.09476" TargetMode="External" /><Relationship Type="http://schemas.openxmlformats.org/officeDocument/2006/relationships/hyperlink" Id="rId83" Target="https://doi.org/10.48550/arXiv.2101.00774" TargetMode="External" /><Relationship Type="http://schemas.openxmlformats.org/officeDocument/2006/relationships/hyperlink" Id="rId79" Target="https://doi.org/10.48550/arXiv.2201.11903" TargetMode="External" /><Relationship Type="http://schemas.openxmlformats.org/officeDocument/2006/relationships/hyperlink" Id="rId78" Target="https://doi.org/10.48550/arXiv.2203.11171" TargetMode="External" /><Relationship Type="http://schemas.openxmlformats.org/officeDocument/2006/relationships/hyperlink" Id="rId59" Target="https://doi.org/10.48550/arXiv.2205.14334" TargetMode="External" /><Relationship Type="http://schemas.openxmlformats.org/officeDocument/2006/relationships/hyperlink" Id="rId52" Target="https://doi.org/10.48550/arXiv.2207.05221" TargetMode="External" /><Relationship Type="http://schemas.openxmlformats.org/officeDocument/2006/relationships/hyperlink" Id="rId56" Target="https://doi.org/10.48550/arXiv.2302.09664" TargetMode="External" /><Relationship Type="http://schemas.openxmlformats.org/officeDocument/2006/relationships/hyperlink" Id="rId68" Target="https://doi.org/10.48550/arXiv.2308.09138" TargetMode="External" /><Relationship Type="http://schemas.openxmlformats.org/officeDocument/2006/relationships/hyperlink" Id="rId50" Target="https://doi.org/10.48550/arXiv.2310.06825" TargetMode="External" /><Relationship Type="http://schemas.openxmlformats.org/officeDocument/2006/relationships/hyperlink" Id="rId72" Target="https://doi.org/10.48550/arXiv.2310.11324" TargetMode="External" /><Relationship Type="http://schemas.openxmlformats.org/officeDocument/2006/relationships/hyperlink" Id="rId81" Target="https://doi.org/10.48550/arXiv.2310.13345" TargetMode="External" /><Relationship Type="http://schemas.openxmlformats.org/officeDocument/2006/relationships/hyperlink" Id="rId43" Target="https://doi.org/10.48550/arXiv.2407.21783" TargetMode="External" /><Relationship Type="http://schemas.openxmlformats.org/officeDocument/2006/relationships/hyperlink" Id="rId66" Target="https://doi.org/10.48550/arXiv.2505.00268" TargetMode="External" /><Relationship Type="http://schemas.openxmlformats.org/officeDocument/2006/relationships/hyperlink" Id="rId67" Target="https://huggingface.co/aaditya/Llama3-OpenBioLLM-8B" TargetMode="External" /><Relationship Type="http://schemas.openxmlformats.org/officeDocument/2006/relationships/hyperlink" Id="rId39" Target="https://jmlr.org/papers/v11/el-yaniv10a.html" TargetMode="External" /><Relationship Type="http://schemas.openxmlformats.org/officeDocument/2006/relationships/hyperlink" Id="rId34" Target="https://pmc.ncbi.nlm.nih.gov/articles/PMC59618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Related Work</dc:title>
  <dc:creator/>
  <cp:keywords/>
  <dcterms:created xsi:type="dcterms:W3CDTF">2026-08-19T14:21:25Z</dcterms:created>
  <dcterms:modified xsi:type="dcterms:W3CDTF">2026-08-19T14:21:25Z</dcterms:modified>
</cp:coreProperties>
</file>