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8F9577" w14:textId="77777777" w:rsidR="00B74A69" w:rsidRPr="00B74A69" w:rsidRDefault="00B74A69" w:rsidP="00B74A6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74A69">
        <w:rPr>
          <w:rFonts w:ascii="Times New Roman" w:eastAsia="Times New Roman" w:hAnsi="Times New Roman" w:cs="Times New Roman"/>
          <w:b/>
          <w:bCs/>
          <w:color w:val="000000"/>
          <w:kern w:val="36"/>
          <w:sz w:val="48"/>
          <w:szCs w:val="48"/>
          <w:lang w:eastAsia="en-GB"/>
          <w14:ligatures w14:val="none"/>
        </w:rPr>
        <w:t>Lab 3 – Architectural Justification</w:t>
      </w:r>
    </w:p>
    <w:p w14:paraId="4565E8B9" w14:textId="77777777" w:rsidR="00B74A69" w:rsidRPr="00B74A69" w:rsidRDefault="00B74A69" w:rsidP="00B74A6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74A69">
        <w:rPr>
          <w:rFonts w:ascii="Times New Roman" w:eastAsia="Times New Roman" w:hAnsi="Times New Roman" w:cs="Times New Roman"/>
          <w:b/>
          <w:bCs/>
          <w:color w:val="000000"/>
          <w:kern w:val="0"/>
          <w:sz w:val="36"/>
          <w:szCs w:val="36"/>
          <w:lang w:eastAsia="en-GB"/>
          <w14:ligatures w14:val="none"/>
        </w:rPr>
        <w:t>Micro-Lending &amp; Peer Credit Risk Assessor</w:t>
      </w:r>
    </w:p>
    <w:p w14:paraId="719DC9A9" w14:textId="77777777" w:rsidR="00B74A69" w:rsidRPr="00B74A69" w:rsidRDefault="00B74A69" w:rsidP="00B74A6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74A69">
        <w:rPr>
          <w:rFonts w:ascii="Times New Roman" w:eastAsia="Times New Roman" w:hAnsi="Times New Roman" w:cs="Times New Roman"/>
          <w:b/>
          <w:bCs/>
          <w:color w:val="000000"/>
          <w:kern w:val="0"/>
          <w:sz w:val="27"/>
          <w:szCs w:val="27"/>
          <w:lang w:eastAsia="en-GB"/>
          <w14:ligatures w14:val="none"/>
        </w:rPr>
        <w:t>Architectural Choice</w:t>
      </w:r>
    </w:p>
    <w:p w14:paraId="4D4E4B09" w14:textId="4A96EACE" w:rsidR="00B74A69" w:rsidRPr="00B74A69" w:rsidRDefault="00762B0C" w:rsidP="00B74A6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We</w:t>
      </w:r>
      <w:r w:rsidR="00B74A69" w:rsidRPr="00B74A69">
        <w:rPr>
          <w:rFonts w:ascii="Times New Roman" w:eastAsia="Times New Roman" w:hAnsi="Times New Roman" w:cs="Times New Roman"/>
          <w:color w:val="000000"/>
          <w:kern w:val="0"/>
          <w:lang w:eastAsia="en-GB"/>
          <w14:ligatures w14:val="none"/>
        </w:rPr>
        <w:t xml:space="preserve"> chose </w:t>
      </w:r>
      <w:r w:rsidR="00B74A69" w:rsidRPr="00B74A69">
        <w:rPr>
          <w:rFonts w:ascii="Times New Roman" w:eastAsia="Times New Roman" w:hAnsi="Times New Roman" w:cs="Times New Roman"/>
          <w:b/>
          <w:bCs/>
          <w:color w:val="000000"/>
          <w:kern w:val="0"/>
          <w:lang w:eastAsia="en-GB"/>
          <w14:ligatures w14:val="none"/>
        </w:rPr>
        <w:t>Microservices Architecture</w:t>
      </w:r>
      <w:r w:rsidR="00B74A69" w:rsidRPr="00B74A69">
        <w:rPr>
          <w:rFonts w:ascii="Times New Roman" w:eastAsia="Times New Roman" w:hAnsi="Times New Roman" w:cs="Times New Roman"/>
          <w:color w:val="000000"/>
          <w:kern w:val="0"/>
          <w:lang w:eastAsia="en-GB"/>
          <w14:ligatures w14:val="none"/>
        </w:rPr>
        <w:t xml:space="preserve"> for the Micro-Lending &amp; Peer Credit Risk Assessor system. The architecture divides the system into independent services such as </w:t>
      </w:r>
      <w:r w:rsidR="00B74A69" w:rsidRPr="00B74A69">
        <w:rPr>
          <w:rFonts w:ascii="Times New Roman" w:eastAsia="Times New Roman" w:hAnsi="Times New Roman" w:cs="Times New Roman"/>
          <w:b/>
          <w:bCs/>
          <w:color w:val="000000"/>
          <w:kern w:val="0"/>
          <w:lang w:eastAsia="en-GB"/>
          <w14:ligatures w14:val="none"/>
        </w:rPr>
        <w:t>Order Manager, Payment Service, Credit Risk Assessment, Repayment Management, Notification Service, and Database</w:t>
      </w:r>
      <w:r w:rsidR="00B74A69" w:rsidRPr="00B74A69">
        <w:rPr>
          <w:rFonts w:ascii="Times New Roman" w:eastAsia="Times New Roman" w:hAnsi="Times New Roman" w:cs="Times New Roman"/>
          <w:color w:val="000000"/>
          <w:kern w:val="0"/>
          <w:lang w:eastAsia="en-GB"/>
          <w14:ligatures w14:val="none"/>
        </w:rPr>
        <w:t>. Each component has a specific responsibility and communicates with other components through well-defined interfaces. This follows the microservices model described in the lab handout, where functionality is divided into small, independently deployable services. </w:t>
      </w:r>
    </w:p>
    <w:p w14:paraId="4FA16EA9" w14:textId="77777777" w:rsidR="00B74A69" w:rsidRPr="00B74A69" w:rsidRDefault="00B74A69" w:rsidP="00B74A6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74A69">
        <w:rPr>
          <w:rFonts w:ascii="Times New Roman" w:eastAsia="Times New Roman" w:hAnsi="Times New Roman" w:cs="Times New Roman"/>
          <w:b/>
          <w:bCs/>
          <w:color w:val="000000"/>
          <w:kern w:val="0"/>
          <w:sz w:val="27"/>
          <w:szCs w:val="27"/>
          <w:lang w:eastAsia="en-GB"/>
          <w14:ligatures w14:val="none"/>
        </w:rPr>
        <w:t>Reasons for Choosing Microservices</w:t>
      </w:r>
    </w:p>
    <w:p w14:paraId="7F1F33CA" w14:textId="77777777" w:rsidR="00B74A69" w:rsidRPr="00B74A69" w:rsidRDefault="00B74A69" w:rsidP="00B74A6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74A69">
        <w:rPr>
          <w:rFonts w:ascii="Times New Roman" w:eastAsia="Times New Roman" w:hAnsi="Times New Roman" w:cs="Times New Roman"/>
          <w:b/>
          <w:bCs/>
          <w:color w:val="000000"/>
          <w:kern w:val="0"/>
          <w:lang w:eastAsia="en-GB"/>
          <w14:ligatures w14:val="none"/>
        </w:rPr>
        <w:t>1. Independent scaling and modularity:</w:t>
      </w:r>
      <w:r w:rsidRPr="00B74A69">
        <w:rPr>
          <w:rFonts w:ascii="Times New Roman" w:eastAsia="Times New Roman" w:hAnsi="Times New Roman" w:cs="Times New Roman"/>
          <w:color w:val="000000"/>
          <w:kern w:val="0"/>
          <w:lang w:eastAsia="en-GB"/>
          <w14:ligatures w14:val="none"/>
        </w:rPr>
        <w:br/>
        <w:t>Different parts of the lending system can have different workloads. For example, </w:t>
      </w:r>
      <w:r w:rsidRPr="00B74A69">
        <w:rPr>
          <w:rFonts w:ascii="Times New Roman" w:eastAsia="Times New Roman" w:hAnsi="Times New Roman" w:cs="Times New Roman"/>
          <w:b/>
          <w:bCs/>
          <w:color w:val="000000"/>
          <w:kern w:val="0"/>
          <w:lang w:eastAsia="en-GB"/>
          <w14:ligatures w14:val="none"/>
        </w:rPr>
        <w:t>Credit Risk Assessment</w:t>
      </w:r>
      <w:r w:rsidRPr="00B74A69">
        <w:rPr>
          <w:rFonts w:ascii="Times New Roman" w:eastAsia="Times New Roman" w:hAnsi="Times New Roman" w:cs="Times New Roman"/>
          <w:color w:val="000000"/>
          <w:kern w:val="0"/>
          <w:lang w:eastAsia="en-GB"/>
          <w14:ligatures w14:val="none"/>
        </w:rPr>
        <w:t> may receive many requests when borrowers apply for loans, while </w:t>
      </w:r>
      <w:r w:rsidRPr="00B74A69">
        <w:rPr>
          <w:rFonts w:ascii="Times New Roman" w:eastAsia="Times New Roman" w:hAnsi="Times New Roman" w:cs="Times New Roman"/>
          <w:b/>
          <w:bCs/>
          <w:color w:val="000000"/>
          <w:kern w:val="0"/>
          <w:lang w:eastAsia="en-GB"/>
          <w14:ligatures w14:val="none"/>
        </w:rPr>
        <w:t>Notification Service</w:t>
      </w:r>
      <w:r w:rsidRPr="00B74A69">
        <w:rPr>
          <w:rFonts w:ascii="Times New Roman" w:eastAsia="Times New Roman" w:hAnsi="Times New Roman" w:cs="Times New Roman"/>
          <w:color w:val="000000"/>
          <w:kern w:val="0"/>
          <w:lang w:eastAsia="en-GB"/>
          <w14:ligatures w14:val="none"/>
        </w:rPr>
        <w:t> may have a different workload. With microservices, individual services can be scaled independently without scaling the entire system. This is one of the advantages of Microservices Architecture identified in the lab handout. </w:t>
      </w:r>
    </w:p>
    <w:p w14:paraId="6B12C9E3" w14:textId="77777777" w:rsidR="00B74A69" w:rsidRPr="00B74A69" w:rsidRDefault="00B74A69" w:rsidP="00B74A6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74A69">
        <w:rPr>
          <w:rFonts w:ascii="Times New Roman" w:eastAsia="Times New Roman" w:hAnsi="Times New Roman" w:cs="Times New Roman"/>
          <w:b/>
          <w:bCs/>
          <w:color w:val="000000"/>
          <w:kern w:val="0"/>
          <w:lang w:eastAsia="en-GB"/>
          <w14:ligatures w14:val="none"/>
        </w:rPr>
        <w:t>2. Fault isolation and independent deployment:</w:t>
      </w:r>
      <w:r w:rsidRPr="00B74A69">
        <w:rPr>
          <w:rFonts w:ascii="Times New Roman" w:eastAsia="Times New Roman" w:hAnsi="Times New Roman" w:cs="Times New Roman"/>
          <w:color w:val="000000"/>
          <w:kern w:val="0"/>
          <w:lang w:eastAsia="en-GB"/>
          <w14:ligatures w14:val="none"/>
        </w:rPr>
        <w:br/>
        <w:t>The system contains separate functions for loan processing, payment, risk assessment, repayment, and notifications. Separating these functions reduces the impact of failures in one component on other components. For example, a problem in the Notification Service does not require the entire loan-processing system to be redeployed. Individual services can also be updated or deployed independently. The lab handout identifies fault isolation and independent deployment as key Microservices advantages. </w:t>
      </w:r>
    </w:p>
    <w:p w14:paraId="4AD7ECE5" w14:textId="77777777" w:rsidR="00B74A69" w:rsidRPr="00B74A69" w:rsidRDefault="00B74A69" w:rsidP="00B74A6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74A69">
        <w:rPr>
          <w:rFonts w:ascii="Times New Roman" w:eastAsia="Times New Roman" w:hAnsi="Times New Roman" w:cs="Times New Roman"/>
          <w:b/>
          <w:bCs/>
          <w:color w:val="000000"/>
          <w:kern w:val="0"/>
          <w:sz w:val="27"/>
          <w:szCs w:val="27"/>
          <w:lang w:eastAsia="en-GB"/>
          <w14:ligatures w14:val="none"/>
        </w:rPr>
        <w:t>Security Advantage</w:t>
      </w:r>
    </w:p>
    <w:p w14:paraId="58A7E887" w14:textId="77777777" w:rsidR="00B74A69" w:rsidRPr="00B74A69" w:rsidRDefault="00B74A69" w:rsidP="00B74A6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74A69">
        <w:rPr>
          <w:rFonts w:ascii="Times New Roman" w:eastAsia="Times New Roman" w:hAnsi="Times New Roman" w:cs="Times New Roman"/>
          <w:color w:val="000000"/>
          <w:kern w:val="0"/>
          <w:lang w:eastAsia="en-GB"/>
          <w14:ligatures w14:val="none"/>
        </w:rPr>
        <w:t>Microservices allow security responsibilities to be separated between services. Sensitive operations such as </w:t>
      </w:r>
      <w:r w:rsidRPr="00B74A69">
        <w:rPr>
          <w:rFonts w:ascii="Times New Roman" w:eastAsia="Times New Roman" w:hAnsi="Times New Roman" w:cs="Times New Roman"/>
          <w:b/>
          <w:bCs/>
          <w:color w:val="000000"/>
          <w:kern w:val="0"/>
          <w:lang w:eastAsia="en-GB"/>
          <w14:ligatures w14:val="none"/>
        </w:rPr>
        <w:t>credit-risk assessment, payment processing, and repayment transactions</w:t>
      </w:r>
      <w:r w:rsidRPr="00B74A69">
        <w:rPr>
          <w:rFonts w:ascii="Times New Roman" w:eastAsia="Times New Roman" w:hAnsi="Times New Roman" w:cs="Times New Roman"/>
          <w:color w:val="000000"/>
          <w:kern w:val="0"/>
          <w:lang w:eastAsia="en-GB"/>
          <w14:ligatures w14:val="none"/>
        </w:rPr>
        <w:t> can be exposed only through their defined interfaces instead of exposing their internal implementation. This limits direct access between components and allows security controls to be applied at individual service boundaries. The component model also keeps implementation details hidden behind interfaces. </w:t>
      </w:r>
    </w:p>
    <w:p w14:paraId="3C906CFE" w14:textId="77777777" w:rsidR="00B74A69" w:rsidRPr="00B74A69" w:rsidRDefault="00B74A69" w:rsidP="00B74A6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74A69">
        <w:rPr>
          <w:rFonts w:ascii="Times New Roman" w:eastAsia="Times New Roman" w:hAnsi="Times New Roman" w:cs="Times New Roman"/>
          <w:b/>
          <w:bCs/>
          <w:color w:val="000000"/>
          <w:kern w:val="0"/>
          <w:sz w:val="27"/>
          <w:szCs w:val="27"/>
          <w:lang w:eastAsia="en-GB"/>
          <w14:ligatures w14:val="none"/>
        </w:rPr>
        <w:t>Performance Benefit</w:t>
      </w:r>
    </w:p>
    <w:p w14:paraId="0BB21FF9" w14:textId="77777777" w:rsidR="00B74A69" w:rsidRPr="00B74A69" w:rsidRDefault="00B74A69" w:rsidP="00B74A6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74A69">
        <w:rPr>
          <w:rFonts w:ascii="Times New Roman" w:eastAsia="Times New Roman" w:hAnsi="Times New Roman" w:cs="Times New Roman"/>
          <w:color w:val="000000"/>
          <w:kern w:val="0"/>
          <w:lang w:eastAsia="en-GB"/>
          <w14:ligatures w14:val="none"/>
        </w:rPr>
        <w:t>Microservices can improve performance by allowing </w:t>
      </w:r>
      <w:r w:rsidRPr="00B74A69">
        <w:rPr>
          <w:rFonts w:ascii="Times New Roman" w:eastAsia="Times New Roman" w:hAnsi="Times New Roman" w:cs="Times New Roman"/>
          <w:b/>
          <w:bCs/>
          <w:color w:val="000000"/>
          <w:kern w:val="0"/>
          <w:lang w:eastAsia="en-GB"/>
          <w14:ligatures w14:val="none"/>
        </w:rPr>
        <w:t>individual services to scale according to their workload</w:t>
      </w:r>
      <w:r w:rsidRPr="00B74A69">
        <w:rPr>
          <w:rFonts w:ascii="Times New Roman" w:eastAsia="Times New Roman" w:hAnsi="Times New Roman" w:cs="Times New Roman"/>
          <w:color w:val="000000"/>
          <w:kern w:val="0"/>
          <w:lang w:eastAsia="en-GB"/>
          <w14:ligatures w14:val="none"/>
        </w:rPr>
        <w:t>. For this system, resource-intensive operations such as credit-risk assessment or payment processing can be scaled independently when demand increases, rather than scaling the entire application. This makes better use of resources and supports higher request loads. Independent scaling is explicitly identified as a benefit of Microservices Architecture in the lab handout.</w:t>
      </w:r>
    </w:p>
    <w:p w14:paraId="22018C2A" w14:textId="77777777" w:rsidR="00C04A61" w:rsidRDefault="00C04A61"/>
    <w:sectPr w:rsidR="00C04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69"/>
    <w:rsid w:val="000270FE"/>
    <w:rsid w:val="004D677A"/>
    <w:rsid w:val="00762B0C"/>
    <w:rsid w:val="00B74A69"/>
    <w:rsid w:val="00C04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EFE15C"/>
  <w15:chartTrackingRefBased/>
  <w15:docId w15:val="{A18BF4BB-5815-8A4A-AB85-77494624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69"/>
    <w:rPr>
      <w:rFonts w:eastAsiaTheme="majorEastAsia" w:cstheme="majorBidi"/>
      <w:color w:val="272727" w:themeColor="text1" w:themeTint="D8"/>
    </w:rPr>
  </w:style>
  <w:style w:type="paragraph" w:styleId="Title">
    <w:name w:val="Title"/>
    <w:basedOn w:val="Normal"/>
    <w:next w:val="Normal"/>
    <w:link w:val="TitleChar"/>
    <w:uiPriority w:val="10"/>
    <w:qFormat/>
    <w:rsid w:val="00B7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69"/>
    <w:pPr>
      <w:spacing w:before="160"/>
      <w:jc w:val="center"/>
    </w:pPr>
    <w:rPr>
      <w:i/>
      <w:iCs/>
      <w:color w:val="404040" w:themeColor="text1" w:themeTint="BF"/>
    </w:rPr>
  </w:style>
  <w:style w:type="character" w:customStyle="1" w:styleId="QuoteChar">
    <w:name w:val="Quote Char"/>
    <w:basedOn w:val="DefaultParagraphFont"/>
    <w:link w:val="Quote"/>
    <w:uiPriority w:val="29"/>
    <w:rsid w:val="00B74A69"/>
    <w:rPr>
      <w:i/>
      <w:iCs/>
      <w:color w:val="404040" w:themeColor="text1" w:themeTint="BF"/>
    </w:rPr>
  </w:style>
  <w:style w:type="paragraph" w:styleId="ListParagraph">
    <w:name w:val="List Paragraph"/>
    <w:basedOn w:val="Normal"/>
    <w:uiPriority w:val="34"/>
    <w:qFormat/>
    <w:rsid w:val="00B74A69"/>
    <w:pPr>
      <w:ind w:left="720"/>
      <w:contextualSpacing/>
    </w:pPr>
  </w:style>
  <w:style w:type="character" w:styleId="IntenseEmphasis">
    <w:name w:val="Intense Emphasis"/>
    <w:basedOn w:val="DefaultParagraphFont"/>
    <w:uiPriority w:val="21"/>
    <w:qFormat/>
    <w:rsid w:val="00B74A69"/>
    <w:rPr>
      <w:i/>
      <w:iCs/>
      <w:color w:val="0F4761" w:themeColor="accent1" w:themeShade="BF"/>
    </w:rPr>
  </w:style>
  <w:style w:type="paragraph" w:styleId="IntenseQuote">
    <w:name w:val="Intense Quote"/>
    <w:basedOn w:val="Normal"/>
    <w:next w:val="Normal"/>
    <w:link w:val="IntenseQuoteChar"/>
    <w:uiPriority w:val="30"/>
    <w:qFormat/>
    <w:rsid w:val="00B7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69"/>
    <w:rPr>
      <w:i/>
      <w:iCs/>
      <w:color w:val="0F4761" w:themeColor="accent1" w:themeShade="BF"/>
    </w:rPr>
  </w:style>
  <w:style w:type="character" w:styleId="IntenseReference">
    <w:name w:val="Intense Reference"/>
    <w:basedOn w:val="DefaultParagraphFont"/>
    <w:uiPriority w:val="32"/>
    <w:qFormat/>
    <w:rsid w:val="00B74A69"/>
    <w:rPr>
      <w:b/>
      <w:bCs/>
      <w:smallCaps/>
      <w:color w:val="0F4761" w:themeColor="accent1" w:themeShade="BF"/>
      <w:spacing w:val="5"/>
    </w:rPr>
  </w:style>
  <w:style w:type="paragraph" w:styleId="NormalWeb">
    <w:name w:val="Normal (Web)"/>
    <w:basedOn w:val="Normal"/>
    <w:uiPriority w:val="99"/>
    <w:semiHidden/>
    <w:unhideWhenUsed/>
    <w:rsid w:val="00B74A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4A69"/>
    <w:rPr>
      <w:b/>
      <w:bCs/>
    </w:rPr>
  </w:style>
  <w:style w:type="character" w:customStyle="1" w:styleId="apple-converted-space">
    <w:name w:val="apple-converted-space"/>
    <w:basedOn w:val="DefaultParagraphFont"/>
    <w:rsid w:val="00B74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t79283</dc:creator>
  <cp:keywords/>
  <dc:description/>
  <cp:lastModifiedBy>t79283</cp:lastModifiedBy>
  <cp:revision>2</cp:revision>
  <dcterms:created xsi:type="dcterms:W3CDTF">2026-09-29T07:29:00Z</dcterms:created>
  <dcterms:modified xsi:type="dcterms:W3CDTF">2026-09-29T07:35:00Z</dcterms:modified>
</cp:coreProperties>
</file>