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Terraltans are a distinct and powerful species in the galaxy, known for their distinct physical features and unique society and culture. With a long history of colonization and political power, Terraltans have shaped the galaxy in their own image.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BIOLOGY AND APPEARANCE</w:t>
      </w:r>
    </w:p>
    <w:p w:rsidR="00000000" w:rsidDel="00000000" w:rsidP="00000000" w:rsidRDefault="00000000" w:rsidRPr="00000000" w14:paraId="00000004">
      <w:pPr>
        <w:rPr/>
      </w:pPr>
      <w:r w:rsidDel="00000000" w:rsidR="00000000" w:rsidRPr="00000000">
        <w:rPr>
          <w:rtl w:val="0"/>
        </w:rPr>
        <w:t xml:space="preserve">Terraltans are bipedal creatures with bilateral symmetry and opposable thumbs, making them highly dexterous and adaptable. Their skin is a pale shade of grey, with hair that is typically white or grey. Their most distinguishing feature is their pure white eyes, which are a result of their small gene pool after splitting off from Old Terrans.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Terraltans come in two sub-species: High Terraltans and Low Terraltans. The two can be differentiated by the facial tattoos traditionally worn by Low Terraltans. These tattoos are delicate and complex designs bordering the hairline and are often dictated by familial lineage. Originally mandated by High Terraltans as a way to prevent social mobility, these tattoos have become a proud tradition for Low Terraltans.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SOCIO-CULTURAL CHARACTERISTICS</w:t>
      </w:r>
    </w:p>
    <w:p w:rsidR="00000000" w:rsidDel="00000000" w:rsidP="00000000" w:rsidRDefault="00000000" w:rsidRPr="00000000" w14:paraId="00000009">
      <w:pPr>
        <w:rPr/>
      </w:pPr>
      <w:r w:rsidDel="00000000" w:rsidR="00000000" w:rsidRPr="00000000">
        <w:rPr>
          <w:rtl w:val="0"/>
        </w:rPr>
        <w:t xml:space="preserve">Terraltans originated from Old Terrans and made up the upper classes of that society. However, they left Terra and settled on the moon at the first sign of serious class tensions, before ultimately discovering the lush paradise planet of Verokka and leaving their old solar system altogether.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Verokka, Terraltans developed a caste system that has remained almost entirely separate ever since, creating what is often referred to as Upper Terraltans and Lower Terraltans. Their new caste system was established after their servants organized a rebellion that ultimately ended in their own slaughter. Without an underclass to exploit, Terraltans turned on each other in a mad dash for power and resources, ultimately creating a new lower class of formerly wealthy families.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Despite this, Terraltans remain a highly powerful and influential species in the galaxy. They have a long history of colonization and political power, with many groups of Terraltan colonizers becoming their own distinct species, some remaining loyal to Terraltan interests, and others denouncing their old ways.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Today, Terraltans are considered the most powerful species in the galaxy, with many megacorp heirs and species directly descended from Terraltans holding significant political and economic power. With a recent interest in colonizing neighboring galaxies, many speculate that Terraltans will continue to shape the galaxy in their own image for years to come.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