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Free People's Federation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Free People's Federation is a territory located in parts of the Gamma and Alpha Quadrants that is not recognized as belonging to any entity. Its borders are maintained by the Aekwani people and are shared with the Commonwealth of Enika, the Boopoo Alliance, Junq Space, and the Outer Rim.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Aekwani people do not enforce any laws within the borders of the Free People's Federation because they believe it would encroach on the freedom of other beings. As a result, this territory is considered lawless, and travel within it can be dangerous. While some individuals may be taken in and assisted by the Aekwani people or those who share similar philosophies, others may be robbed or murdered.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Despite the dangers, the Free People's Federation is a place where anyone can exist as they please and find a sense of belonging. It offers a unique opportunity to live outside of traditional societal structures for those who value freedom above all else. However, navigating the territory can be difficult due to the lack of laws and regulations.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Some Locations in the Free People’s Federation: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Kyron - terrestrial homeplanet of the Aekwani, a terranoid species descended from Terranos.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