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Stock Agent</w:t>
      </w:r>
    </w:p>
    <w:p>
      <w:pPr>
        <w:pStyle w:val="Subtitle"/>
      </w:pPr>
      <w:r>
        <w:t>Business Process Product Requirements Document</w:t>
      </w:r>
    </w:p>
    <w:p>
      <w:r>
        <w:t>Version 1.0   |   4 October 2026</w:t>
      </w:r>
    </w:p>
    <w:p>
      <w:r>
        <w:t>Prepared by the Smart Stock Agent Project Team</w:t>
      </w:r>
    </w:p>
    <w:p>
      <w:r>
        <w:rPr>
          <w:b/>
        </w:rPr>
        <w:t xml:space="preserve">Submission purpose: </w:t>
      </w:r>
      <w:r>
        <w:t>Business process review and product approval</w:t>
      </w:r>
    </w:p>
    <w:p>
      <w:pPr>
        <w:pStyle w:val="Heading1"/>
      </w:pPr>
      <w:r>
        <w:t>1 Executive summary</w:t>
      </w:r>
    </w:p>
    <w:p>
      <w:r>
        <w:t>Smart Stock Agent is a proposed decision-support and business process automation platform for general stores selling multiple product categories. It will connect sales records, inventory information, customer activity and market evidence to help owners decide what to buy, how much to buy, when to replenish and how to improve selling performance.</w:t>
      </w:r>
    </w:p>
    <w:p>
      <w:r>
        <w:t>The operating model combines demand forecasting with inventory rules and specialist AI assistance. Staff provide or confirm business data; the system produces evidence-backed recommendations; authorized managers review consequential actions; and actual outcomes are recorded for future evaluation. Business owners retain control of purchasing commitments, price changes, customer communication and sensitive employee decisions.</w:t>
      </w:r>
    </w:p>
    <w:p>
      <w:r>
        <w:t>This document establishes the business processes, functional requirements, responsibilities, controls and acceptance conditions for the proposed product. Approval would authorize a controlled pilot of the defined scope. Benefits and service targets are proposed objectives to be measured during the pilot, not claims of demonstrated performance.</w:t>
      </w:r>
    </w:p>
    <w:p>
      <w:pPr>
        <w:pStyle w:val="Heading2"/>
      </w:pPr>
      <w:r>
        <w:t>Business problem</w:t>
      </w:r>
    </w:p>
    <w:p>
      <w:r>
        <w:t>The target operating situation is a store using fragmented sales records and manual judgment to manage products, suppliers and customers. In this situation, replenishment can overlook changing demand, cash may remain tied up in slow stock, and business decisions may lack a consistent record of their evidence and results.</w:t>
      </w:r>
    </w:p>
    <w:p>
      <w:pPr>
        <w:pStyle w:val="Heading2"/>
      </w:pPr>
      <w:r>
        <w:t>Intended business outcomes</w:t>
      </w:r>
    </w:p>
    <w:p>
      <w:pPr>
        <w:pStyle w:val="ListBullet"/>
      </w:pPr>
      <w:r>
        <w:t>Improve product availability while keeping purchasing within working-capital and storage limits.</w:t>
      </w:r>
    </w:p>
    <w:p>
      <w:pPr>
        <w:pStyle w:val="ListBullet"/>
      </w:pPr>
      <w:r>
        <w:t>Reduce avoidable overstock and expiry losses through earlier review and measured replenishment.</w:t>
      </w:r>
    </w:p>
    <w:p>
      <w:pPr>
        <w:pStyle w:val="ListBullet"/>
      </w:pPr>
      <w:r>
        <w:t>Support customer retention, relevant product bundles and carefully tested assortment expansion.</w:t>
      </w:r>
    </w:p>
    <w:p>
      <w:pPr>
        <w:pStyle w:val="ListBullet"/>
      </w:pPr>
      <w:r>
        <w:t>Reduce time spent consolidating information and preparing reports while preserving accountability.</w:t>
      </w:r>
    </w:p>
    <w:p>
      <w:pPr>
        <w:pStyle w:val="Heading2"/>
      </w:pPr>
      <w:r>
        <w:t>Approval requested</w:t>
      </w:r>
    </w:p>
    <w:p>
      <w:r>
        <w:t>Approve the pilot scope, process ownership and decision controls in this PRD. Product readiness will depend on the acceptance gates in Section 14 and an owner review of pilot results before broader adoption.</w:t>
      </w:r>
    </w:p>
    <w:p>
      <w:r>
        <w:br w:type="page"/>
      </w:r>
    </w:p>
    <w:p>
      <w:pPr>
        <w:pStyle w:val="Heading1"/>
      </w:pPr>
      <w:r>
        <w:t>2 Scope and business responsibilities</w:t>
      </w:r>
    </w:p>
    <w:p>
      <w:r>
        <w:t>The initial business unit is one retail organization with one store. Records remain associated with that organization; the design must support additional stores and isolated organizations without sharing their private data. Store currency, trading calendar, timezone, categories and approval limits are configurable.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584"/>
        <w:gridCol w:w="8496"/>
      </w:tblGrid>
      <w:tr>
        <w:trPr>
          <w:cantSplit/>
          <w:tblHeader/>
        </w:trPr>
        <w:tc>
          <w:tcPr>
            <w:tcW w:type="dxa" w:w="1584"/>
            <w:vAlign w:val="center"/>
            <w:shd w:fill="17324D"/>
          </w:tcPr>
          <w:p>
            <w:pPr>
              <w:spacing w:after="0" w:before="0" w:line="245" w:lineRule="auto"/>
            </w:pPr>
            <w:r>
              <w:rPr>
                <w:rFonts w:ascii="Arial" w:hAnsi="Arial"/>
                <w:b/>
                <w:color w:val="FFFFFF"/>
                <w:sz w:val="20"/>
              </w:rPr>
              <w:t>Release</w:t>
            </w:r>
          </w:p>
        </w:tc>
        <w:tc>
          <w:tcPr>
            <w:tcW w:type="dxa" w:w="8496"/>
            <w:vAlign w:val="center"/>
            <w:shd w:fill="17324D"/>
          </w:tcPr>
          <w:p>
            <w:pPr>
              <w:spacing w:after="0" w:before="0" w:line="245" w:lineRule="auto"/>
            </w:pPr>
            <w:r>
              <w:rPr>
                <w:rFonts w:ascii="Arial" w:hAnsi="Arial"/>
                <w:b/>
                <w:color w:val="FFFFFF"/>
                <w:sz w:val="20"/>
              </w:rPr>
              <w:t>Business scope</w:t>
            </w:r>
          </w:p>
        </w:tc>
      </w:tr>
      <w:tr>
        <w:trPr>
          <w:cantSplit/>
        </w:trPr>
        <w:tc>
          <w:tcPr>
            <w:tcW w:type="dxa" w:w="1584"/>
            <w:vAlign w:val="center"/>
            <w:shd w:fill="FFFFFF"/>
          </w:tcPr>
          <w:p>
            <w:pPr>
              <w:spacing w:after="0" w:before="0" w:line="245" w:lineRule="auto"/>
            </w:pPr>
            <w:r>
              <w:rPr>
                <w:rFonts w:ascii="Arial" w:hAnsi="Arial"/>
                <w:b w:val="0"/>
                <w:color w:val="000000"/>
                <w:sz w:val="20"/>
              </w:rPr>
              <w:t>Pilot</w:t>
            </w:r>
          </w:p>
        </w:tc>
        <w:tc>
          <w:tcPr>
            <w:tcW w:type="dxa" w:w="8496"/>
            <w:vAlign w:val="center"/>
            <w:shd w:fill="FFFFFF"/>
          </w:tcPr>
          <w:p>
            <w:pPr>
              <w:spacing w:after="0" w:before="0" w:line="245" w:lineRule="auto"/>
            </w:pPr>
            <w:r>
              <w:rPr>
                <w:rFonts w:ascii="Arial" w:hAnsi="Arial"/>
                <w:b w:val="0"/>
                <w:color w:val="000000"/>
                <w:sz w:val="20"/>
              </w:rPr>
              <w:t>Secure access; business data import; dashboard; baseline demand forecasting; replenishment proposals; grounded chatbot; reports; approvals and audit history.</w:t>
            </w:r>
          </w:p>
        </w:tc>
      </w:tr>
      <w:tr>
        <w:trPr>
          <w:cantSplit/>
        </w:trPr>
        <w:tc>
          <w:tcPr>
            <w:tcW w:type="dxa" w:w="1584"/>
            <w:vAlign w:val="center"/>
            <w:shd w:fill="F3F6F8"/>
          </w:tcPr>
          <w:p>
            <w:pPr>
              <w:spacing w:after="0" w:before="0" w:line="245" w:lineRule="auto"/>
            </w:pPr>
            <w:r>
              <w:rPr>
                <w:rFonts w:ascii="Arial" w:hAnsi="Arial"/>
                <w:b w:val="0"/>
                <w:color w:val="000000"/>
                <w:sz w:val="20"/>
              </w:rPr>
              <w:t>Expansion</w:t>
            </w:r>
          </w:p>
        </w:tc>
        <w:tc>
          <w:tcPr>
            <w:tcW w:type="dxa" w:w="8496"/>
            <w:vAlign w:val="center"/>
            <w:shd w:fill="F3F6F8"/>
          </w:tcPr>
          <w:p>
            <w:pPr>
              <w:spacing w:after="0" w:before="0" w:line="245" w:lineRule="auto"/>
            </w:pPr>
            <w:r>
              <w:rPr>
                <w:rFonts w:ascii="Arial" w:hAnsi="Arial"/>
                <w:b w:val="0"/>
                <w:color w:val="000000"/>
                <w:sz w:val="20"/>
              </w:rPr>
              <w:t>Hugging Face model benchmarking; customer segmentation and churn where data permits; market-basket analysis; market research; finance summaries and scheduled workflows.</w:t>
            </w:r>
          </w:p>
        </w:tc>
      </w:tr>
      <w:tr>
        <w:trPr>
          <w:cantSplit/>
        </w:trPr>
        <w:tc>
          <w:tcPr>
            <w:tcW w:type="dxa" w:w="1584"/>
            <w:vAlign w:val="center"/>
            <w:shd w:fill="FFFFFF"/>
          </w:tcPr>
          <w:p>
            <w:pPr>
              <w:spacing w:after="0" w:before="0" w:line="245" w:lineRule="auto"/>
            </w:pPr>
            <w:r>
              <w:rPr>
                <w:rFonts w:ascii="Arial" w:hAnsi="Arial"/>
                <w:b w:val="0"/>
                <w:color w:val="000000"/>
                <w:sz w:val="20"/>
              </w:rPr>
              <w:t>Advanced</w:t>
            </w:r>
          </w:p>
        </w:tc>
        <w:tc>
          <w:tcPr>
            <w:tcW w:type="dxa" w:w="8496"/>
            <w:vAlign w:val="center"/>
            <w:shd w:fill="FFFFFF"/>
          </w:tcPr>
          <w:p>
            <w:pPr>
              <w:spacing w:after="0" w:before="0" w:line="245" w:lineRule="auto"/>
            </w:pPr>
            <w:r>
              <w:rPr>
                <w:rFonts w:ascii="Arial" w:hAnsi="Arial"/>
                <w:b w:val="0"/>
                <w:color w:val="000000"/>
                <w:sz w:val="20"/>
              </w:rPr>
              <w:t>Controlled dynamic pricing; HR support; more stores; supplier or point-of-sale integrations; optional model adaptation after evaluation.</w:t>
            </w:r>
          </w:p>
        </w:tc>
      </w:tr>
    </w:tbl>
    <w:p>
      <w:pPr>
        <w:spacing w:after="40" w:before="0" w:line="48" w:lineRule="auto"/>
      </w:pPr>
      <w:r>
        <w:rPr>
          <w:sz w:val="4"/>
        </w:rPr>
      </w:r>
    </w:p>
    <w:p>
      <w:pPr>
        <w:pStyle w:val="Heading2"/>
      </w:pPr>
      <w:r>
        <w:t>Process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656"/>
        <w:gridCol w:w="4320"/>
        <w:gridCol w:w="4104"/>
      </w:tblGrid>
      <w:tr>
        <w:trPr>
          <w:cantSplit/>
          <w:tblHeader/>
        </w:trPr>
        <w:tc>
          <w:tcPr>
            <w:tcW w:type="dxa" w:w="1656"/>
            <w:vAlign w:val="center"/>
            <w:shd w:fill="17324D"/>
          </w:tcPr>
          <w:p>
            <w:pPr>
              <w:spacing w:after="0" w:before="0" w:line="245" w:lineRule="auto"/>
            </w:pPr>
            <w:r>
              <w:rPr>
                <w:rFonts w:ascii="Arial" w:hAnsi="Arial"/>
                <w:b/>
                <w:color w:val="FFFFFF"/>
                <w:sz w:val="20"/>
              </w:rPr>
              <w:t>Role</w:t>
            </w:r>
          </w:p>
        </w:tc>
        <w:tc>
          <w:tcPr>
            <w:tcW w:type="dxa" w:w="4320"/>
            <w:vAlign w:val="center"/>
            <w:shd w:fill="17324D"/>
          </w:tcPr>
          <w:p>
            <w:pPr>
              <w:spacing w:after="0" w:before="0" w:line="245" w:lineRule="auto"/>
            </w:pPr>
            <w:r>
              <w:rPr>
                <w:rFonts w:ascii="Arial" w:hAnsi="Arial"/>
                <w:b/>
                <w:color w:val="FFFFFF"/>
                <w:sz w:val="20"/>
              </w:rPr>
              <w:t>Business responsibility</w:t>
            </w:r>
          </w:p>
        </w:tc>
        <w:tc>
          <w:tcPr>
            <w:tcW w:type="dxa" w:w="4104"/>
            <w:vAlign w:val="center"/>
            <w:shd w:fill="17324D"/>
          </w:tcPr>
          <w:p>
            <w:pPr>
              <w:spacing w:after="0" w:before="0" w:line="245" w:lineRule="auto"/>
            </w:pPr>
            <w:r>
              <w:rPr>
                <w:rFonts w:ascii="Arial" w:hAnsi="Arial"/>
                <w:b/>
                <w:color w:val="FFFFFF"/>
                <w:sz w:val="20"/>
              </w:rPr>
              <w:t>Decision authority</w:t>
            </w:r>
          </w:p>
        </w:tc>
      </w:tr>
      <w:tr>
        <w:trPr>
          <w:cantSplit/>
        </w:trPr>
        <w:tc>
          <w:tcPr>
            <w:tcW w:type="dxa" w:w="1656"/>
            <w:vAlign w:val="center"/>
            <w:shd w:fill="FFFFFF"/>
          </w:tcPr>
          <w:p>
            <w:pPr>
              <w:spacing w:after="0" w:before="0" w:line="245" w:lineRule="auto"/>
            </w:pPr>
            <w:r>
              <w:rPr>
                <w:rFonts w:ascii="Arial" w:hAnsi="Arial"/>
                <w:b w:val="0"/>
                <w:color w:val="000000"/>
                <w:sz w:val="20"/>
              </w:rPr>
              <w:t>Owner</w:t>
            </w:r>
          </w:p>
        </w:tc>
        <w:tc>
          <w:tcPr>
            <w:tcW w:type="dxa" w:w="4320"/>
            <w:vAlign w:val="center"/>
            <w:shd w:fill="FFFFFF"/>
          </w:tcPr>
          <w:p>
            <w:pPr>
              <w:spacing w:after="0" w:before="0" w:line="245" w:lineRule="auto"/>
            </w:pPr>
            <w:r>
              <w:rPr>
                <w:rFonts w:ascii="Arial" w:hAnsi="Arial"/>
                <w:b w:val="0"/>
                <w:color w:val="000000"/>
                <w:sz w:val="20"/>
              </w:rPr>
              <w:t>Set objectives, budgets, service levels and approval limits.</w:t>
            </w:r>
          </w:p>
        </w:tc>
        <w:tc>
          <w:tcPr>
            <w:tcW w:type="dxa" w:w="4104"/>
            <w:vAlign w:val="center"/>
            <w:shd w:fill="FFFFFF"/>
          </w:tcPr>
          <w:p>
            <w:pPr>
              <w:spacing w:after="0" w:before="0" w:line="245" w:lineRule="auto"/>
            </w:pPr>
            <w:r>
              <w:rPr>
                <w:rFonts w:ascii="Arial" w:hAnsi="Arial"/>
                <w:b w:val="0"/>
                <w:color w:val="000000"/>
                <w:sz w:val="20"/>
              </w:rPr>
              <w:t>Approve pilot, purchases, price policy and major changes.</w:t>
            </w:r>
          </w:p>
        </w:tc>
      </w:tr>
      <w:tr>
        <w:trPr>
          <w:cantSplit/>
        </w:trPr>
        <w:tc>
          <w:tcPr>
            <w:tcW w:type="dxa" w:w="1656"/>
            <w:vAlign w:val="center"/>
            <w:shd w:fill="F3F6F8"/>
          </w:tcPr>
          <w:p>
            <w:pPr>
              <w:spacing w:after="0" w:before="0" w:line="245" w:lineRule="auto"/>
            </w:pPr>
            <w:r>
              <w:rPr>
                <w:rFonts w:ascii="Arial" w:hAnsi="Arial"/>
                <w:b w:val="0"/>
                <w:color w:val="000000"/>
                <w:sz w:val="20"/>
              </w:rPr>
              <w:t>Store manager</w:t>
            </w:r>
          </w:p>
        </w:tc>
        <w:tc>
          <w:tcPr>
            <w:tcW w:type="dxa" w:w="4320"/>
            <w:vAlign w:val="center"/>
            <w:shd w:fill="F3F6F8"/>
          </w:tcPr>
          <w:p>
            <w:pPr>
              <w:spacing w:after="0" w:before="0" w:line="245" w:lineRule="auto"/>
            </w:pPr>
            <w:r>
              <w:rPr>
                <w:rFonts w:ascii="Arial" w:hAnsi="Arial"/>
                <w:b w:val="0"/>
                <w:color w:val="000000"/>
                <w:sz w:val="20"/>
              </w:rPr>
              <w:t>Review daily sales, forecasts, exceptions and staff actions.</w:t>
            </w:r>
          </w:p>
        </w:tc>
        <w:tc>
          <w:tcPr>
            <w:tcW w:type="dxa" w:w="4104"/>
            <w:vAlign w:val="center"/>
            <w:shd w:fill="F3F6F8"/>
          </w:tcPr>
          <w:p>
            <w:pPr>
              <w:spacing w:after="0" w:before="0" w:line="245" w:lineRule="auto"/>
            </w:pPr>
            <w:r>
              <w:rPr>
                <w:rFonts w:ascii="Arial" w:hAnsi="Arial"/>
                <w:b w:val="0"/>
                <w:color w:val="000000"/>
                <w:sz w:val="20"/>
              </w:rPr>
              <w:t>Approve actions within owner-delegated limits.</w:t>
            </w:r>
          </w:p>
        </w:tc>
      </w:tr>
      <w:tr>
        <w:trPr>
          <w:cantSplit/>
        </w:trPr>
        <w:tc>
          <w:tcPr>
            <w:tcW w:type="dxa" w:w="1656"/>
            <w:vAlign w:val="center"/>
            <w:shd w:fill="FFFFFF"/>
          </w:tcPr>
          <w:p>
            <w:pPr>
              <w:spacing w:after="0" w:before="0" w:line="245" w:lineRule="auto"/>
            </w:pPr>
            <w:r>
              <w:rPr>
                <w:rFonts w:ascii="Arial" w:hAnsi="Arial"/>
                <w:b w:val="0"/>
                <w:color w:val="000000"/>
                <w:sz w:val="20"/>
              </w:rPr>
              <w:t>Sales staff</w:t>
            </w:r>
          </w:p>
        </w:tc>
        <w:tc>
          <w:tcPr>
            <w:tcW w:type="dxa" w:w="4320"/>
            <w:vAlign w:val="center"/>
            <w:shd w:fill="FFFFFF"/>
          </w:tcPr>
          <w:p>
            <w:pPr>
              <w:spacing w:after="0" w:before="0" w:line="245" w:lineRule="auto"/>
            </w:pPr>
            <w:r>
              <w:rPr>
                <w:rFonts w:ascii="Arial" w:hAnsi="Arial"/>
                <w:b w:val="0"/>
                <w:color w:val="000000"/>
                <w:sz w:val="20"/>
              </w:rPr>
              <w:t>Maintain authorized sales records and explain selling activity.</w:t>
            </w:r>
          </w:p>
        </w:tc>
        <w:tc>
          <w:tcPr>
            <w:tcW w:type="dxa" w:w="4104"/>
            <w:vAlign w:val="center"/>
            <w:shd w:fill="FFFFFF"/>
          </w:tcPr>
          <w:p>
            <w:pPr>
              <w:spacing w:after="0" w:before="0" w:line="245" w:lineRule="auto"/>
            </w:pPr>
            <w:r>
              <w:rPr>
                <w:rFonts w:ascii="Arial" w:hAnsi="Arial"/>
                <w:b w:val="0"/>
                <w:color w:val="000000"/>
                <w:sz w:val="20"/>
              </w:rPr>
              <w:t>Propose promotions; no unapproved price changes.</w:t>
            </w:r>
          </w:p>
        </w:tc>
      </w:tr>
      <w:tr>
        <w:trPr>
          <w:cantSplit/>
        </w:trPr>
        <w:tc>
          <w:tcPr>
            <w:tcW w:type="dxa" w:w="1656"/>
            <w:vAlign w:val="center"/>
            <w:shd w:fill="F3F6F8"/>
          </w:tcPr>
          <w:p>
            <w:pPr>
              <w:spacing w:after="0" w:before="0" w:line="245" w:lineRule="auto"/>
            </w:pPr>
            <w:r>
              <w:rPr>
                <w:rFonts w:ascii="Arial" w:hAnsi="Arial"/>
                <w:b w:val="0"/>
                <w:color w:val="000000"/>
                <w:sz w:val="20"/>
              </w:rPr>
              <w:t>Inventory officer</w:t>
            </w:r>
          </w:p>
        </w:tc>
        <w:tc>
          <w:tcPr>
            <w:tcW w:type="dxa" w:w="4320"/>
            <w:vAlign w:val="center"/>
            <w:shd w:fill="F3F6F8"/>
          </w:tcPr>
          <w:p>
            <w:pPr>
              <w:spacing w:after="0" w:before="0" w:line="245" w:lineRule="auto"/>
            </w:pPr>
            <w:r>
              <w:rPr>
                <w:rFonts w:ascii="Arial" w:hAnsi="Arial"/>
                <w:b w:val="0"/>
                <w:color w:val="000000"/>
                <w:sz w:val="20"/>
              </w:rPr>
              <w:t>Reconcile stock, receipts, returns and supplier information.</w:t>
            </w:r>
          </w:p>
        </w:tc>
        <w:tc>
          <w:tcPr>
            <w:tcW w:type="dxa" w:w="4104"/>
            <w:vAlign w:val="center"/>
            <w:shd w:fill="F3F6F8"/>
          </w:tcPr>
          <w:p>
            <w:pPr>
              <w:spacing w:after="0" w:before="0" w:line="245" w:lineRule="auto"/>
            </w:pPr>
            <w:r>
              <w:rPr>
                <w:rFonts w:ascii="Arial" w:hAnsi="Arial"/>
                <w:b w:val="0"/>
                <w:color w:val="000000"/>
                <w:sz w:val="20"/>
              </w:rPr>
              <w:t>Prepare replenishment proposals and record receipts.</w:t>
            </w:r>
          </w:p>
        </w:tc>
      </w:tr>
      <w:tr>
        <w:trPr>
          <w:cantSplit/>
        </w:trPr>
        <w:tc>
          <w:tcPr>
            <w:tcW w:type="dxa" w:w="1656"/>
            <w:vAlign w:val="center"/>
            <w:shd w:fill="FFFFFF"/>
          </w:tcPr>
          <w:p>
            <w:pPr>
              <w:spacing w:after="0" w:before="0" w:line="245" w:lineRule="auto"/>
            </w:pPr>
            <w:r>
              <w:rPr>
                <w:rFonts w:ascii="Arial" w:hAnsi="Arial"/>
                <w:b w:val="0"/>
                <w:color w:val="000000"/>
                <w:sz w:val="20"/>
              </w:rPr>
              <w:t>Finance officer</w:t>
            </w:r>
          </w:p>
        </w:tc>
        <w:tc>
          <w:tcPr>
            <w:tcW w:type="dxa" w:w="4320"/>
            <w:vAlign w:val="center"/>
            <w:shd w:fill="FFFFFF"/>
          </w:tcPr>
          <w:p>
            <w:pPr>
              <w:spacing w:after="0" w:before="0" w:line="245" w:lineRule="auto"/>
            </w:pPr>
            <w:r>
              <w:rPr>
                <w:rFonts w:ascii="Arial" w:hAnsi="Arial"/>
                <w:b w:val="0"/>
                <w:color w:val="000000"/>
                <w:sz w:val="20"/>
              </w:rPr>
              <w:t>Review costs, margins, cash forecasts and spending capacity.</w:t>
            </w:r>
          </w:p>
        </w:tc>
        <w:tc>
          <w:tcPr>
            <w:tcW w:type="dxa" w:w="4104"/>
            <w:vAlign w:val="center"/>
            <w:shd w:fill="FFFFFF"/>
          </w:tcPr>
          <w:p>
            <w:pPr>
              <w:spacing w:after="0" w:before="0" w:line="245" w:lineRule="auto"/>
            </w:pPr>
            <w:r>
              <w:rPr>
                <w:rFonts w:ascii="Arial" w:hAnsi="Arial"/>
                <w:b w:val="0"/>
                <w:color w:val="000000"/>
                <w:sz w:val="20"/>
              </w:rPr>
              <w:t>Validate affordability and finance exceptions.</w:t>
            </w:r>
          </w:p>
        </w:tc>
      </w:tr>
      <w:tr>
        <w:trPr>
          <w:cantSplit/>
        </w:trPr>
        <w:tc>
          <w:tcPr>
            <w:tcW w:type="dxa" w:w="1656"/>
            <w:vAlign w:val="center"/>
            <w:shd w:fill="F3F6F8"/>
          </w:tcPr>
          <w:p>
            <w:pPr>
              <w:spacing w:after="0" w:before="0" w:line="245" w:lineRule="auto"/>
            </w:pPr>
            <w:r>
              <w:rPr>
                <w:rFonts w:ascii="Arial" w:hAnsi="Arial"/>
                <w:b w:val="0"/>
                <w:color w:val="000000"/>
                <w:sz w:val="20"/>
              </w:rPr>
              <w:t>HR coordinator</w:t>
            </w:r>
          </w:p>
        </w:tc>
        <w:tc>
          <w:tcPr>
            <w:tcW w:type="dxa" w:w="4320"/>
            <w:vAlign w:val="center"/>
            <w:shd w:fill="F3F6F8"/>
          </w:tcPr>
          <w:p>
            <w:pPr>
              <w:spacing w:after="0" w:before="0" w:line="245" w:lineRule="auto"/>
            </w:pPr>
            <w:r>
              <w:rPr>
                <w:rFonts w:ascii="Arial" w:hAnsi="Arial"/>
                <w:b w:val="0"/>
                <w:color w:val="000000"/>
                <w:sz w:val="20"/>
              </w:rPr>
              <w:t>Maintain permitted employee records and schedules.</w:t>
            </w:r>
          </w:p>
        </w:tc>
        <w:tc>
          <w:tcPr>
            <w:tcW w:type="dxa" w:w="4104"/>
            <w:vAlign w:val="center"/>
            <w:shd w:fill="F3F6F8"/>
          </w:tcPr>
          <w:p>
            <w:pPr>
              <w:spacing w:after="0" w:before="0" w:line="245" w:lineRule="auto"/>
            </w:pPr>
            <w:r>
              <w:rPr>
                <w:rFonts w:ascii="Arial" w:hAnsi="Arial"/>
                <w:b w:val="0"/>
                <w:color w:val="000000"/>
                <w:sz w:val="20"/>
              </w:rPr>
              <w:t>Prepare staffing proposals and route sensitive decisions.</w:t>
            </w:r>
          </w:p>
        </w:tc>
      </w:tr>
      <w:tr>
        <w:trPr>
          <w:cantSplit/>
        </w:trPr>
        <w:tc>
          <w:tcPr>
            <w:tcW w:type="dxa" w:w="1656"/>
            <w:vAlign w:val="center"/>
            <w:shd w:fill="FFFFFF"/>
          </w:tcPr>
          <w:p>
            <w:pPr>
              <w:spacing w:after="0" w:before="0" w:line="245" w:lineRule="auto"/>
            </w:pPr>
            <w:r>
              <w:rPr>
                <w:rFonts w:ascii="Arial" w:hAnsi="Arial"/>
                <w:b w:val="0"/>
                <w:color w:val="000000"/>
                <w:sz w:val="20"/>
              </w:rPr>
              <w:t>System administrator</w:t>
            </w:r>
          </w:p>
        </w:tc>
        <w:tc>
          <w:tcPr>
            <w:tcW w:type="dxa" w:w="4320"/>
            <w:vAlign w:val="center"/>
            <w:shd w:fill="FFFFFF"/>
          </w:tcPr>
          <w:p>
            <w:pPr>
              <w:spacing w:after="0" w:before="0" w:line="245" w:lineRule="auto"/>
            </w:pPr>
            <w:r>
              <w:rPr>
                <w:rFonts w:ascii="Arial" w:hAnsi="Arial"/>
                <w:b w:val="0"/>
                <w:color w:val="000000"/>
                <w:sz w:val="20"/>
              </w:rPr>
              <w:t>Manage accounts, access, configuration and recovery.</w:t>
            </w:r>
          </w:p>
        </w:tc>
        <w:tc>
          <w:tcPr>
            <w:tcW w:type="dxa" w:w="4104"/>
            <w:vAlign w:val="center"/>
            <w:shd w:fill="FFFFFF"/>
          </w:tcPr>
          <w:p>
            <w:pPr>
              <w:spacing w:after="0" w:before="0" w:line="245" w:lineRule="auto"/>
            </w:pPr>
            <w:r>
              <w:rPr>
                <w:rFonts w:ascii="Arial" w:hAnsi="Arial"/>
                <w:b w:val="0"/>
                <w:color w:val="000000"/>
                <w:sz w:val="20"/>
              </w:rPr>
              <w:t>Administer the service; no automatic purchase authority.</w:t>
            </w:r>
          </w:p>
        </w:tc>
      </w:tr>
      <w:tr>
        <w:trPr>
          <w:cantSplit/>
        </w:trPr>
        <w:tc>
          <w:tcPr>
            <w:tcW w:type="dxa" w:w="1656"/>
            <w:vAlign w:val="center"/>
            <w:shd w:fill="F3F6F8"/>
          </w:tcPr>
          <w:p>
            <w:pPr>
              <w:spacing w:after="0" w:before="0" w:line="245" w:lineRule="auto"/>
            </w:pPr>
            <w:r>
              <w:rPr>
                <w:rFonts w:ascii="Arial" w:hAnsi="Arial"/>
                <w:b w:val="0"/>
                <w:color w:val="000000"/>
                <w:sz w:val="20"/>
              </w:rPr>
              <w:t>Project team</w:t>
            </w:r>
          </w:p>
        </w:tc>
        <w:tc>
          <w:tcPr>
            <w:tcW w:type="dxa" w:w="4320"/>
            <w:vAlign w:val="center"/>
            <w:shd w:fill="F3F6F8"/>
          </w:tcPr>
          <w:p>
            <w:pPr>
              <w:spacing w:after="0" w:before="0" w:line="245" w:lineRule="auto"/>
            </w:pPr>
            <w:r>
              <w:rPr>
                <w:rFonts w:ascii="Arial" w:hAnsi="Arial"/>
                <w:b w:val="0"/>
                <w:color w:val="000000"/>
                <w:sz w:val="20"/>
              </w:rPr>
              <w:t>Deliver, evaluate and maintain the approved product.</w:t>
            </w:r>
          </w:p>
        </w:tc>
        <w:tc>
          <w:tcPr>
            <w:tcW w:type="dxa" w:w="4104"/>
            <w:vAlign w:val="center"/>
            <w:shd w:fill="F3F6F8"/>
          </w:tcPr>
          <w:p>
            <w:pPr>
              <w:spacing w:after="0" w:before="0" w:line="245" w:lineRule="auto"/>
            </w:pPr>
            <w:r>
              <w:rPr>
                <w:rFonts w:ascii="Arial" w:hAnsi="Arial"/>
                <w:b w:val="0"/>
                <w:color w:val="000000"/>
                <w:sz w:val="20"/>
              </w:rPr>
              <w:t>Recommend changes through the change-control process.</w:t>
            </w:r>
          </w:p>
        </w:tc>
      </w:tr>
    </w:tbl>
    <w:p>
      <w:pPr>
        <w:spacing w:after="40" w:before="0" w:line="48" w:lineRule="auto"/>
      </w:pPr>
      <w:r>
        <w:rPr>
          <w:sz w:val="4"/>
        </w:rPr>
      </w:r>
    </w:p>
    <w:p>
      <w:pPr>
        <w:pStyle w:val="Heading2"/>
      </w:pPr>
      <w:r>
        <w:t>Boundaries</w:t>
      </w:r>
    </w:p>
    <w:p>
      <w:r>
        <w:t>The product supports merchandise trading decisions. It does not guarantee profit, replace statutory accounting or professional legal advice, make autonomous employment decisions, or commit store funds without approval. Full payroll, payments, tax filing and supplier order execution are outside the pilot. The About Us page will present the six project members using approved profile information.</w:t>
      </w:r>
    </w:p>
    <w:p>
      <w:r>
        <w:br w:type="page"/>
      </w:r>
    </w:p>
    <w:p>
      <w:pPr>
        <w:pStyle w:val="Heading1"/>
      </w:pPr>
      <w:r>
        <w:t>3 End to end business process</w:t>
      </w:r>
    </w:p>
    <w:p>
      <w:r>
        <w:t>Each decision begins with a user request, scheduled event or business exception. A common review process ensures that recommendations use current permitted data, identify assumptions and reach the correct decision owner.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088"/>
        <w:gridCol w:w="2376"/>
        <w:gridCol w:w="5616"/>
      </w:tblGrid>
      <w:tr>
        <w:trPr>
          <w:cantSplit/>
          <w:tblHeader/>
        </w:trPr>
        <w:tc>
          <w:tcPr>
            <w:tcW w:type="dxa" w:w="2088"/>
            <w:vAlign w:val="center"/>
            <w:shd w:fill="17324D"/>
          </w:tcPr>
          <w:p>
            <w:pPr>
              <w:spacing w:after="0" w:before="0" w:line="245" w:lineRule="auto"/>
            </w:pPr>
            <w:r>
              <w:rPr>
                <w:rFonts w:ascii="Arial" w:hAnsi="Arial"/>
                <w:b/>
                <w:color w:val="FFFFFF"/>
                <w:sz w:val="20"/>
              </w:rPr>
              <w:t>Stage</w:t>
            </w:r>
          </w:p>
        </w:tc>
        <w:tc>
          <w:tcPr>
            <w:tcW w:type="dxa" w:w="2376"/>
            <w:vAlign w:val="center"/>
            <w:shd w:fill="17324D"/>
          </w:tcPr>
          <w:p>
            <w:pPr>
              <w:spacing w:after="0" w:before="0" w:line="245" w:lineRule="auto"/>
            </w:pPr>
            <w:r>
              <w:rPr>
                <w:rFonts w:ascii="Arial" w:hAnsi="Arial"/>
                <w:b/>
                <w:color w:val="FFFFFF"/>
                <w:sz w:val="20"/>
              </w:rPr>
              <w:t>Responsible party</w:t>
            </w:r>
          </w:p>
        </w:tc>
        <w:tc>
          <w:tcPr>
            <w:tcW w:type="dxa" w:w="5616"/>
            <w:vAlign w:val="center"/>
            <w:shd w:fill="17324D"/>
          </w:tcPr>
          <w:p>
            <w:pPr>
              <w:spacing w:after="0" w:before="0" w:line="245" w:lineRule="auto"/>
            </w:pPr>
            <w:r>
              <w:rPr>
                <w:rFonts w:ascii="Arial" w:hAnsi="Arial"/>
                <w:b/>
                <w:color w:val="FFFFFF"/>
                <w:sz w:val="20"/>
              </w:rPr>
              <w:t>Business result and control</w:t>
            </w:r>
          </w:p>
        </w:tc>
      </w:tr>
      <w:tr>
        <w:trPr>
          <w:cantSplit/>
        </w:trPr>
        <w:tc>
          <w:tcPr>
            <w:tcW w:type="dxa" w:w="2088"/>
            <w:vAlign w:val="center"/>
            <w:shd w:fill="FFFFFF"/>
          </w:tcPr>
          <w:p>
            <w:pPr>
              <w:spacing w:after="0" w:before="0" w:line="245" w:lineRule="auto"/>
            </w:pPr>
            <w:r>
              <w:rPr>
                <w:rFonts w:ascii="Arial" w:hAnsi="Arial"/>
                <w:b w:val="0"/>
                <w:color w:val="000000"/>
                <w:sz w:val="20"/>
              </w:rPr>
              <w:t>1 Input</w:t>
            </w:r>
          </w:p>
        </w:tc>
        <w:tc>
          <w:tcPr>
            <w:tcW w:type="dxa" w:w="2376"/>
            <w:vAlign w:val="center"/>
            <w:shd w:fill="FFFFFF"/>
          </w:tcPr>
          <w:p>
            <w:pPr>
              <w:spacing w:after="0" w:before="0" w:line="245" w:lineRule="auto"/>
            </w:pPr>
            <w:r>
              <w:rPr>
                <w:rFonts w:ascii="Arial" w:hAnsi="Arial"/>
                <w:b w:val="0"/>
                <w:color w:val="000000"/>
                <w:sz w:val="20"/>
              </w:rPr>
              <w:t>User and orchestrator</w:t>
            </w:r>
          </w:p>
        </w:tc>
        <w:tc>
          <w:tcPr>
            <w:tcW w:type="dxa" w:w="5616"/>
            <w:vAlign w:val="center"/>
            <w:shd w:fill="FFFFFF"/>
          </w:tcPr>
          <w:p>
            <w:pPr>
              <w:spacing w:after="0" w:before="0" w:line="245" w:lineRule="auto"/>
            </w:pPr>
            <w:r>
              <w:rPr>
                <w:rFonts w:ascii="Arial" w:hAnsi="Arial"/>
                <w:b w:val="0"/>
                <w:color w:val="000000"/>
                <w:sz w:val="20"/>
              </w:rPr>
              <w:t>Confirm identity, store, objective, time period, constraints and requested output.</w:t>
            </w:r>
          </w:p>
        </w:tc>
      </w:tr>
      <w:tr>
        <w:trPr>
          <w:cantSplit/>
        </w:trPr>
        <w:tc>
          <w:tcPr>
            <w:tcW w:type="dxa" w:w="2088"/>
            <w:vAlign w:val="center"/>
            <w:shd w:fill="F3F6F8"/>
          </w:tcPr>
          <w:p>
            <w:pPr>
              <w:spacing w:after="0" w:before="0" w:line="245" w:lineRule="auto"/>
            </w:pPr>
            <w:r>
              <w:rPr>
                <w:rFonts w:ascii="Arial" w:hAnsi="Arial"/>
                <w:b w:val="0"/>
                <w:color w:val="000000"/>
                <w:sz w:val="20"/>
              </w:rPr>
              <w:t>2 Research</w:t>
            </w:r>
          </w:p>
        </w:tc>
        <w:tc>
          <w:tcPr>
            <w:tcW w:type="dxa" w:w="2376"/>
            <w:vAlign w:val="center"/>
            <w:shd w:fill="F3F6F8"/>
          </w:tcPr>
          <w:p>
            <w:pPr>
              <w:spacing w:after="0" w:before="0" w:line="245" w:lineRule="auto"/>
            </w:pPr>
            <w:r>
              <w:rPr>
                <w:rFonts w:ascii="Arial" w:hAnsi="Arial"/>
                <w:b w:val="0"/>
                <w:color w:val="000000"/>
                <w:sz w:val="20"/>
              </w:rPr>
              <w:t>Knowledge and market agents</w:t>
            </w:r>
          </w:p>
        </w:tc>
        <w:tc>
          <w:tcPr>
            <w:tcW w:type="dxa" w:w="5616"/>
            <w:vAlign w:val="center"/>
            <w:shd w:fill="F3F6F8"/>
          </w:tcPr>
          <w:p>
            <w:pPr>
              <w:spacing w:after="0" w:before="0" w:line="245" w:lineRule="auto"/>
            </w:pPr>
            <w:r>
              <w:rPr>
                <w:rFonts w:ascii="Arial" w:hAnsi="Arial"/>
                <w:b w:val="0"/>
                <w:color w:val="000000"/>
                <w:sz w:val="20"/>
              </w:rPr>
              <w:t>Collect authorized records and relevant external evidence with sources and dates.</w:t>
            </w:r>
          </w:p>
        </w:tc>
      </w:tr>
      <w:tr>
        <w:trPr>
          <w:cantSplit/>
        </w:trPr>
        <w:tc>
          <w:tcPr>
            <w:tcW w:type="dxa" w:w="2088"/>
            <w:vAlign w:val="center"/>
            <w:shd w:fill="FFFFFF"/>
          </w:tcPr>
          <w:p>
            <w:pPr>
              <w:spacing w:after="0" w:before="0" w:line="245" w:lineRule="auto"/>
            </w:pPr>
            <w:r>
              <w:rPr>
                <w:rFonts w:ascii="Arial" w:hAnsi="Arial"/>
                <w:b w:val="0"/>
                <w:color w:val="000000"/>
                <w:sz w:val="20"/>
              </w:rPr>
              <w:t>3 Analysis</w:t>
            </w:r>
          </w:p>
        </w:tc>
        <w:tc>
          <w:tcPr>
            <w:tcW w:type="dxa" w:w="2376"/>
            <w:vAlign w:val="center"/>
            <w:shd w:fill="FFFFFF"/>
          </w:tcPr>
          <w:p>
            <w:pPr>
              <w:spacing w:after="0" w:before="0" w:line="245" w:lineRule="auto"/>
            </w:pPr>
            <w:r>
              <w:rPr>
                <w:rFonts w:ascii="Arial" w:hAnsi="Arial"/>
                <w:b w:val="0"/>
                <w:color w:val="000000"/>
                <w:sz w:val="20"/>
              </w:rPr>
              <w:t>Analyst and domain agents</w:t>
            </w:r>
          </w:p>
        </w:tc>
        <w:tc>
          <w:tcPr>
            <w:tcW w:type="dxa" w:w="5616"/>
            <w:vAlign w:val="center"/>
            <w:shd w:fill="FFFFFF"/>
          </w:tcPr>
          <w:p>
            <w:pPr>
              <w:spacing w:after="0" w:before="0" w:line="245" w:lineRule="auto"/>
            </w:pPr>
            <w:r>
              <w:rPr>
                <w:rFonts w:ascii="Arial" w:hAnsi="Arial"/>
                <w:b w:val="0"/>
                <w:color w:val="000000"/>
                <w:sz w:val="20"/>
              </w:rPr>
              <w:t>Calculate forecasts, stock needs, margins or customer measures using approved tools.</w:t>
            </w:r>
          </w:p>
        </w:tc>
      </w:tr>
      <w:tr>
        <w:trPr>
          <w:cantSplit/>
        </w:trPr>
        <w:tc>
          <w:tcPr>
            <w:tcW w:type="dxa" w:w="2088"/>
            <w:vAlign w:val="center"/>
            <w:shd w:fill="F3F6F8"/>
          </w:tcPr>
          <w:p>
            <w:pPr>
              <w:spacing w:after="0" w:before="0" w:line="245" w:lineRule="auto"/>
            </w:pPr>
            <w:r>
              <w:rPr>
                <w:rFonts w:ascii="Arial" w:hAnsi="Arial"/>
                <w:b w:val="0"/>
                <w:color w:val="000000"/>
                <w:sz w:val="20"/>
              </w:rPr>
              <w:t>4 Verification</w:t>
            </w:r>
          </w:p>
        </w:tc>
        <w:tc>
          <w:tcPr>
            <w:tcW w:type="dxa" w:w="2376"/>
            <w:vAlign w:val="center"/>
            <w:shd w:fill="F3F6F8"/>
          </w:tcPr>
          <w:p>
            <w:pPr>
              <w:spacing w:after="0" w:before="0" w:line="245" w:lineRule="auto"/>
            </w:pPr>
            <w:r>
              <w:rPr>
                <w:rFonts w:ascii="Arial" w:hAnsi="Arial"/>
                <w:b w:val="0"/>
                <w:color w:val="000000"/>
                <w:sz w:val="20"/>
              </w:rPr>
              <w:t>Calculation services and analyst</w:t>
            </w:r>
          </w:p>
        </w:tc>
        <w:tc>
          <w:tcPr>
            <w:tcW w:type="dxa" w:w="5616"/>
            <w:vAlign w:val="center"/>
            <w:shd w:fill="F3F6F8"/>
          </w:tcPr>
          <w:p>
            <w:pPr>
              <w:spacing w:after="0" w:before="0" w:line="245" w:lineRule="auto"/>
            </w:pPr>
            <w:r>
              <w:rPr>
                <w:rFonts w:ascii="Arial" w:hAnsi="Arial"/>
                <w:b w:val="0"/>
                <w:color w:val="000000"/>
                <w:sz w:val="20"/>
              </w:rPr>
              <w:t>Reconcile totals, validate units and data coverage, and record missing evidence.</w:t>
            </w:r>
          </w:p>
        </w:tc>
      </w:tr>
      <w:tr>
        <w:trPr>
          <w:cantSplit/>
        </w:trPr>
        <w:tc>
          <w:tcPr>
            <w:tcW w:type="dxa" w:w="2088"/>
            <w:vAlign w:val="center"/>
            <w:shd w:fill="FFFFFF"/>
          </w:tcPr>
          <w:p>
            <w:pPr>
              <w:spacing w:after="0" w:before="0" w:line="245" w:lineRule="auto"/>
            </w:pPr>
            <w:r>
              <w:rPr>
                <w:rFonts w:ascii="Arial" w:hAnsi="Arial"/>
                <w:b w:val="0"/>
                <w:color w:val="000000"/>
                <w:sz w:val="20"/>
              </w:rPr>
              <w:t>5 Organization and writing</w:t>
            </w:r>
          </w:p>
        </w:tc>
        <w:tc>
          <w:tcPr>
            <w:tcW w:type="dxa" w:w="2376"/>
            <w:vAlign w:val="center"/>
            <w:shd w:fill="FFFFFF"/>
          </w:tcPr>
          <w:p>
            <w:pPr>
              <w:spacing w:after="0" w:before="0" w:line="245" w:lineRule="auto"/>
            </w:pPr>
            <w:r>
              <w:rPr>
                <w:rFonts w:ascii="Arial" w:hAnsi="Arial"/>
                <w:b w:val="0"/>
                <w:color w:val="000000"/>
                <w:sz w:val="20"/>
              </w:rPr>
              <w:t>Writer</w:t>
            </w:r>
          </w:p>
        </w:tc>
        <w:tc>
          <w:tcPr>
            <w:tcW w:type="dxa" w:w="5616"/>
            <w:vAlign w:val="center"/>
            <w:shd w:fill="FFFFFF"/>
          </w:tcPr>
          <w:p>
            <w:pPr>
              <w:spacing w:after="0" w:before="0" w:line="245" w:lineRule="auto"/>
            </w:pPr>
            <w:r>
              <w:rPr>
                <w:rFonts w:ascii="Arial" w:hAnsi="Arial"/>
                <w:b w:val="0"/>
                <w:color w:val="000000"/>
                <w:sz w:val="20"/>
              </w:rPr>
              <w:t>Prepare a clear recommendation with options, costs, uncertainty and next actions.</w:t>
            </w:r>
          </w:p>
        </w:tc>
      </w:tr>
      <w:tr>
        <w:trPr>
          <w:cantSplit/>
        </w:trPr>
        <w:tc>
          <w:tcPr>
            <w:tcW w:type="dxa" w:w="2088"/>
            <w:vAlign w:val="center"/>
            <w:shd w:fill="F3F6F8"/>
          </w:tcPr>
          <w:p>
            <w:pPr>
              <w:spacing w:after="0" w:before="0" w:line="245" w:lineRule="auto"/>
            </w:pPr>
            <w:r>
              <w:rPr>
                <w:rFonts w:ascii="Arial" w:hAnsi="Arial"/>
                <w:b w:val="0"/>
                <w:color w:val="000000"/>
                <w:sz w:val="20"/>
              </w:rPr>
              <w:t>6 Review</w:t>
            </w:r>
          </w:p>
        </w:tc>
        <w:tc>
          <w:tcPr>
            <w:tcW w:type="dxa" w:w="2376"/>
            <w:vAlign w:val="center"/>
            <w:shd w:fill="F3F6F8"/>
          </w:tcPr>
          <w:p>
            <w:pPr>
              <w:spacing w:after="0" w:before="0" w:line="245" w:lineRule="auto"/>
            </w:pPr>
            <w:r>
              <w:rPr>
                <w:rFonts w:ascii="Arial" w:hAnsi="Arial"/>
                <w:b w:val="0"/>
                <w:color w:val="000000"/>
                <w:sz w:val="20"/>
              </w:rPr>
              <w:t>Reviewer</w:t>
            </w:r>
          </w:p>
        </w:tc>
        <w:tc>
          <w:tcPr>
            <w:tcW w:type="dxa" w:w="5616"/>
            <w:vAlign w:val="center"/>
            <w:shd w:fill="F3F6F8"/>
          </w:tcPr>
          <w:p>
            <w:pPr>
              <w:spacing w:after="0" w:before="0" w:line="245" w:lineRule="auto"/>
            </w:pPr>
            <w:r>
              <w:rPr>
                <w:rFonts w:ascii="Arial" w:hAnsi="Arial"/>
                <w:b w:val="0"/>
                <w:color w:val="000000"/>
                <w:sz w:val="20"/>
              </w:rPr>
              <w:t>Check evidence, numerical consistency, completeness, permissions and report format.</w:t>
            </w:r>
          </w:p>
        </w:tc>
      </w:tr>
      <w:tr>
        <w:trPr>
          <w:cantSplit/>
        </w:trPr>
        <w:tc>
          <w:tcPr>
            <w:tcW w:type="dxa" w:w="2088"/>
            <w:vAlign w:val="center"/>
            <w:shd w:fill="FFFFFF"/>
          </w:tcPr>
          <w:p>
            <w:pPr>
              <w:spacing w:after="0" w:before="0" w:line="245" w:lineRule="auto"/>
            </w:pPr>
            <w:r>
              <w:rPr>
                <w:rFonts w:ascii="Arial" w:hAnsi="Arial"/>
                <w:b w:val="0"/>
                <w:color w:val="000000"/>
                <w:sz w:val="20"/>
              </w:rPr>
              <w:t>7 Final report</w:t>
            </w:r>
          </w:p>
        </w:tc>
        <w:tc>
          <w:tcPr>
            <w:tcW w:type="dxa" w:w="2376"/>
            <w:vAlign w:val="center"/>
            <w:shd w:fill="FFFFFF"/>
          </w:tcPr>
          <w:p>
            <w:pPr>
              <w:spacing w:after="0" w:before="0" w:line="245" w:lineRule="auto"/>
            </w:pPr>
            <w:r>
              <w:rPr>
                <w:rFonts w:ascii="Arial" w:hAnsi="Arial"/>
                <w:b w:val="0"/>
                <w:color w:val="000000"/>
                <w:sz w:val="20"/>
              </w:rPr>
              <w:t>Writer and orchestrator</w:t>
            </w:r>
          </w:p>
        </w:tc>
        <w:tc>
          <w:tcPr>
            <w:tcW w:type="dxa" w:w="5616"/>
            <w:vAlign w:val="center"/>
            <w:shd w:fill="FFFFFF"/>
          </w:tcPr>
          <w:p>
            <w:pPr>
              <w:spacing w:after="0" w:before="0" w:line="245" w:lineRule="auto"/>
            </w:pPr>
            <w:r>
              <w:rPr>
                <w:rFonts w:ascii="Arial" w:hAnsi="Arial"/>
                <w:b w:val="0"/>
                <w:color w:val="000000"/>
                <w:sz w:val="20"/>
              </w:rPr>
              <w:t>Deliver a reviewed report or a qualified result that explains unresolved limitations.</w:t>
            </w:r>
          </w:p>
        </w:tc>
      </w:tr>
      <w:tr>
        <w:trPr>
          <w:cantSplit/>
        </w:trPr>
        <w:tc>
          <w:tcPr>
            <w:tcW w:type="dxa" w:w="2088"/>
            <w:vAlign w:val="center"/>
            <w:shd w:fill="F3F6F8"/>
          </w:tcPr>
          <w:p>
            <w:pPr>
              <w:spacing w:after="0" w:before="0" w:line="245" w:lineRule="auto"/>
            </w:pPr>
            <w:r>
              <w:rPr>
                <w:rFonts w:ascii="Arial" w:hAnsi="Arial"/>
                <w:b w:val="0"/>
                <w:color w:val="000000"/>
                <w:sz w:val="20"/>
              </w:rPr>
              <w:t>8 Approval and follow up</w:t>
            </w:r>
          </w:p>
        </w:tc>
        <w:tc>
          <w:tcPr>
            <w:tcW w:type="dxa" w:w="2376"/>
            <w:vAlign w:val="center"/>
            <w:shd w:fill="F3F6F8"/>
          </w:tcPr>
          <w:p>
            <w:pPr>
              <w:spacing w:after="0" w:before="0" w:line="245" w:lineRule="auto"/>
            </w:pPr>
            <w:r>
              <w:rPr>
                <w:rFonts w:ascii="Arial" w:hAnsi="Arial"/>
                <w:b w:val="0"/>
                <w:color w:val="000000"/>
                <w:sz w:val="20"/>
              </w:rPr>
              <w:t>Authorized business owner</w:t>
            </w:r>
          </w:p>
        </w:tc>
        <w:tc>
          <w:tcPr>
            <w:tcW w:type="dxa" w:w="5616"/>
            <w:vAlign w:val="center"/>
            <w:shd w:fill="F3F6F8"/>
          </w:tcPr>
          <w:p>
            <w:pPr>
              <w:spacing w:after="0" w:before="0" w:line="245" w:lineRule="auto"/>
            </w:pPr>
            <w:r>
              <w:rPr>
                <w:rFonts w:ascii="Arial" w:hAnsi="Arial"/>
                <w:b w:val="0"/>
                <w:color w:val="000000"/>
                <w:sz w:val="20"/>
              </w:rPr>
              <w:t>Approve, reject or revise a consequential action, then record execution and outcomes.</w:t>
            </w:r>
          </w:p>
        </w:tc>
      </w:tr>
    </w:tbl>
    <w:p>
      <w:pPr>
        <w:spacing w:after="40" w:before="0" w:line="48" w:lineRule="auto"/>
      </w:pPr>
      <w:r>
        <w:rPr>
          <w:sz w:val="4"/>
        </w:rPr>
      </w:r>
    </w:p>
    <w:p>
      <w:pPr>
        <w:pStyle w:val="Heading2"/>
      </w:pPr>
      <w:r>
        <w:t>Decision branches</w:t>
      </w:r>
    </w:p>
    <w:p>
      <w:pPr>
        <w:pStyle w:val="ListBullet"/>
      </w:pPr>
      <w:r>
        <w:t>Insufficient data returns the case to the responsible data owner. Available partial results remain clearly qualified.</w:t>
      </w:r>
    </w:p>
    <w:p>
      <w:pPr>
        <w:pStyle w:val="ListBullet"/>
      </w:pPr>
      <w:r>
        <w:t>A failed review returns the issue to research, analysis or writing. After two revision cycles, an unresolved case escalates to a person.</w:t>
      </w:r>
    </w:p>
    <w:p>
      <w:pPr>
        <w:pStyle w:val="ListBullet"/>
      </w:pPr>
      <w:r>
        <w:t>A report answering a read-only question can be delivered after review. A purchase, live price change or customer message requires approval before execution.</w:t>
      </w:r>
    </w:p>
    <w:p>
      <w:pPr>
        <w:pStyle w:val="ListBullet"/>
      </w:pPr>
      <w:r>
        <w:t>An approved action must match the reviewed product, amount, price, recipient and expiry of approval. Material changes require a new decision.</w:t>
      </w:r>
    </w:p>
    <w:p>
      <w:pPr>
        <w:pStyle w:val="Heading2"/>
      </w:pPr>
      <w:r>
        <w:t>Process states and records</w:t>
      </w:r>
    </w:p>
    <w:p>
      <w:r>
        <w:t>Cases move through received, validated, researched, analyzed, reviewed, awaiting approval, approved, completed or rejected states. Blocked and cancelled cases retain a reason. Every case records the requester, data version, evidence, tool results, responsible role, decision time and final outcome. Simple factual questions may use a shorter retrieval-and-review route while retaining the same access controls.</w:t>
      </w:r>
    </w:p>
    <w:p>
      <w:r>
        <w:br w:type="page"/>
      </w:r>
    </w:p>
    <w:p>
      <w:pPr>
        <w:pStyle w:val="Heading1"/>
      </w:pPr>
      <w:r>
        <w:t>4 Data onboarding and demand planning</w:t>
      </w:r>
    </w:p>
    <w:p>
      <w:pPr>
        <w:pStyle w:val="Heading2"/>
      </w:pPr>
      <w:r>
        <w:t>BP01 Business onboarding and data acceptance</w:t>
      </w:r>
    </w:p>
    <w:p>
      <w:r>
        <w:rPr>
          <w:b/>
        </w:rPr>
        <w:t xml:space="preserve">Owner and trigger: </w:t>
      </w:r>
      <w:r>
        <w:t>Store manager with the data owner. Begins at registration or a new business-data import</w:t>
      </w:r>
    </w:p>
    <w:p>
      <w:r>
        <w:rPr>
          <w:b/>
        </w:rPr>
        <w:t xml:space="preserve">Inputs: </w:t>
      </w:r>
      <w:r>
        <w:t>Store settings and sales files in CSV, XLSX, XLS or TSV; optional product, inventory and supplier records.</w:t>
      </w:r>
    </w:p>
    <w:p>
      <w:r>
        <w:t>1. Confirm access, store identity, reporting currency, timezone and business calendar; inspect the file and preview its sheets.</w:t>
      </w:r>
    </w:p>
    <w:p>
      <w:r>
        <w:t>2. Map columns to sales dates, products and quantities. Confirm ambiguous dates, units and mappings before transformation.</w:t>
      </w:r>
    </w:p>
    <w:p>
      <w:r>
        <w:t>3. Validate duplicates, missing fields, returns and totals; separate rejected rows and preserve the original upload.</w:t>
      </w:r>
    </w:p>
    <w:p>
      <w:r>
        <w:t>4. Approve the import summary and publish a versioned dataset with its quality report and enabled features.</w:t>
      </w:r>
    </w:p>
    <w:p>
      <w:r>
        <w:rPr>
          <w:b/>
        </w:rPr>
        <w:t xml:space="preserve">Output and completion: </w:t>
      </w:r>
      <w:r>
        <w:t>An accepted dataset, reconciliation totals and a list of unavailable features. Reimporting the same file does not duplicate sales.</w:t>
      </w:r>
    </w:p>
    <w:p>
      <w:r>
        <w:rPr>
          <w:b/>
        </w:rPr>
        <w:t xml:space="preserve">Control and exception: </w:t>
      </w:r>
      <w:r>
        <w:t>Organization identity comes from the authenticated account, not an uploaded column. Unresolved mapping or reconciliation errors block publication and return to the data owner.</w:t>
      </w:r>
    </w:p>
    <w:p>
      <w:pPr>
        <w:pStyle w:val="Heading2"/>
      </w:pPr>
      <w:r>
        <w:t>BP02 Demand forecasting and sales planning</w:t>
      </w:r>
    </w:p>
    <w:p>
      <w:r>
        <w:rPr>
          <w:b/>
        </w:rPr>
        <w:t xml:space="preserve">Owner and trigger: </w:t>
      </w:r>
      <w:r>
        <w:t>Store manager supported by the analyst. Begins on a scheduled planning cycle or an explicit request</w:t>
      </w:r>
    </w:p>
    <w:p>
      <w:r>
        <w:rPr>
          <w:b/>
        </w:rPr>
        <w:t xml:space="preserve">Inputs: </w:t>
      </w:r>
      <w:r>
        <w:t>Accepted sales history by product and date; available stockout, promotion, holiday and price information.</w:t>
      </w:r>
    </w:p>
    <w:p>
      <w:r>
        <w:t>1. Select the store, product group, time frequency and forecast horizon; assess whether history is sufficient.</w:t>
      </w:r>
    </w:p>
    <w:p>
      <w:r>
        <w:t>2. Evaluate eligible forecasting methods on earlier periods and choose an approved method for the demand pattern.</w:t>
      </w:r>
    </w:p>
    <w:p>
      <w:r>
        <w:t>3. Generate forecasts and uncertainty ranges, flag low-confidence items and summarize products requiring attention.</w:t>
      </w:r>
    </w:p>
    <w:p>
      <w:r>
        <w:t>4. Publish the demand plan for replenishment and compare forecasts with actual sales after the period ends.</w:t>
      </w:r>
    </w:p>
    <w:p>
      <w:r>
        <w:rPr>
          <w:b/>
        </w:rPr>
        <w:t xml:space="preserve">Output and completion: </w:t>
      </w:r>
      <w:r>
        <w:t>A dated forecast with data/model versions, evaluation results, assumptions and suggested planning actions.</w:t>
      </w:r>
    </w:p>
    <w:p>
      <w:r>
        <w:rPr>
          <w:b/>
        </w:rPr>
        <w:t xml:space="preserve">Control and exception: </w:t>
      </w:r>
      <w:r>
        <w:t>Training and evaluation use chronological periods. Zero sales, missing data and stockouts are treated separately. Short histories use an identified fallback or a scenario; unsupported forecasts are withheld rather than invented.</w:t>
      </w:r>
    </w:p>
    <w:p>
      <w:r>
        <w:br w:type="page"/>
      </w:r>
    </w:p>
    <w:p>
      <w:pPr>
        <w:pStyle w:val="Heading1"/>
      </w:pPr>
      <w:r>
        <w:t>5 Replenishment and pricing processes</w:t>
      </w:r>
    </w:p>
    <w:p>
      <w:pPr>
        <w:pStyle w:val="Heading2"/>
      </w:pPr>
      <w:r>
        <w:t>BP03 Replenishment and procurement review</w:t>
      </w:r>
    </w:p>
    <w:p>
      <w:r>
        <w:rPr>
          <w:b/>
        </w:rPr>
        <w:t xml:space="preserve">Owner and trigger: </w:t>
      </w:r>
      <w:r>
        <w:t>Inventory officer with finance and manager approval. Begins when a reorder condition or planning cycle is reached</w:t>
      </w:r>
    </w:p>
    <w:p>
      <w:r>
        <w:rPr>
          <w:b/>
        </w:rPr>
        <w:t xml:space="preserve">Inputs: </w:t>
      </w:r>
      <w:r>
        <w:t>Demand plan, stock ledger, incoming orders, commitments, supplier lead times, costs, pack sizes and budget.</w:t>
      </w:r>
    </w:p>
    <w:p>
      <w:r>
        <w:t>1. Reconcile stock and calculate inventory position, expected demand during lead time, safety stock and reorder point.</w:t>
      </w:r>
    </w:p>
    <w:p>
      <w:r>
        <w:t>2. Estimate an order quantity using EOQ or a forecast-based policy suited to the product and demand pattern.</w:t>
      </w:r>
    </w:p>
    <w:p>
      <w:r>
        <w:t>3. Apply budget, storage, expiry, supplier minimum and pack-size constraints; create a purchase proposal.</w:t>
      </w:r>
    </w:p>
    <w:p>
      <w:r>
        <w:t>4. Obtain approval, record the order or handoff, confirm receipt and measure supplier delivery and stock outcomes.</w:t>
      </w:r>
    </w:p>
    <w:p>
      <w:r>
        <w:rPr>
          <w:b/>
        </w:rPr>
        <w:t xml:space="preserve">Output and completion: </w:t>
      </w:r>
      <w:r>
        <w:t>A traceable purchase proposal with quantities, cost, rationale, constraints and approval status. Receipt updates the stock ledger.</w:t>
      </w:r>
    </w:p>
    <w:p>
      <w:r>
        <w:rPr>
          <w:b/>
        </w:rPr>
        <w:t xml:space="preserve">Control and exception: </w:t>
      </w:r>
      <w:r>
        <w:t>Reservations and backorders are represented consistently to prevent double counting. Approval is tied to the exact order. Missing cost or lead-time data produces an information request; unaffordable quantities return for revision.</w:t>
      </w:r>
    </w:p>
    <w:p>
      <w:pPr>
        <w:pStyle w:val="Heading2"/>
      </w:pPr>
      <w:r>
        <w:t>Illustrative reorder decision</w:t>
      </w:r>
    </w:p>
    <w:p>
      <w:r>
        <w:t>Assume expected demand is 20 units per day, lead time is 4 days and approved safety stock is 25 units. The reorder point is 105 units. With 70 on hand, 20 on order and 10 backordered, inventory position is 80 units, so a reorder review is triggered. The 25-unit difference is not automatically the order quantity; quantity still depends on the replenishment policy and business constraints.</w:t>
      </w:r>
    </w:p>
    <w:p>
      <w:pPr>
        <w:pStyle w:val="Heading2"/>
      </w:pPr>
      <w:r>
        <w:t>BP04 Sales promotion and price review</w:t>
      </w:r>
    </w:p>
    <w:p>
      <w:r>
        <w:rPr>
          <w:b/>
        </w:rPr>
        <w:t xml:space="preserve">Owner and trigger: </w:t>
      </w:r>
      <w:r>
        <w:t>Sales manager with owner approval. Begins with slow stock, expiry exposure, a promotion or a pricing review</w:t>
      </w:r>
    </w:p>
    <w:p>
      <w:r>
        <w:rPr>
          <w:b/>
        </w:rPr>
        <w:t xml:space="preserve">Inputs: </w:t>
      </w:r>
      <w:r>
        <w:t>Current price, cost, stock age, sales pattern, margin floor and permitted market evidence.</w:t>
      </w:r>
    </w:p>
    <w:p>
      <w:r>
        <w:t>1. Compare hold-price, bundle, promotion and markdown options using explicit assumptions and margin limits.</w:t>
      </w:r>
    </w:p>
    <w:p>
      <w:r>
        <w:t>2. Present the proposed price, eligible products, duration, expected effect and uncertainty for approval.</w:t>
      </w:r>
    </w:p>
    <w:p>
      <w:r>
        <w:t>3. Apply an approved change through an authorized process; monitor margin and demand and end or revise the promotion.</w:t>
      </w:r>
    </w:p>
    <w:p>
      <w:r>
        <w:rPr>
          <w:b/>
        </w:rPr>
        <w:t xml:space="preserve">Output and completion: </w:t>
      </w:r>
      <w:r>
        <w:t>A reviewed price or promotion proposal and a record of observed results.</w:t>
      </w:r>
    </w:p>
    <w:p>
      <w:r>
        <w:rPr>
          <w:b/>
        </w:rPr>
        <w:t xml:space="preserve">Control and exception: </w:t>
      </w:r>
      <w:r>
        <w:t>Dynamic pricing begins with bounded rules and pilots; estimated price response is not presented as proven causation. A breached margin floor or unsupported market claim blocks approval.</w:t>
      </w:r>
    </w:p>
    <w:p>
      <w:r>
        <w:br w:type="page"/>
      </w:r>
    </w:p>
    <w:p>
      <w:pPr>
        <w:pStyle w:val="Heading1"/>
      </w:pPr>
      <w:r>
        <w:t>6 Customer retention and market opportunities</w:t>
      </w:r>
    </w:p>
    <w:p>
      <w:pPr>
        <w:pStyle w:val="Heading2"/>
      </w:pPr>
      <w:r>
        <w:t>BP05 Customer retention and basket planning</w:t>
      </w:r>
    </w:p>
    <w:p>
      <w:r>
        <w:rPr>
          <w:b/>
        </w:rPr>
        <w:t xml:space="preserve">Owner and trigger: </w:t>
      </w:r>
      <w:r>
        <w:t>Sales manager. Begins on a customer-review schedule or a retention request</w:t>
      </w:r>
    </w:p>
    <w:p>
      <w:r>
        <w:rPr>
          <w:b/>
        </w:rPr>
        <w:t xml:space="preserve">Inputs: </w:t>
      </w:r>
      <w:r>
        <w:t>Identifiable purchase history for customer analysis and transaction-level item groups for basket analysis.</w:t>
      </w:r>
    </w:p>
    <w:p>
      <w:r>
        <w:t>1. Measure recency, purchase frequency and monetary value; generate understandable segments and assess segment stability.</w:t>
      </w:r>
    </w:p>
    <w:p>
      <w:r>
        <w:t>2. Estimate churn only where customer identifiers, observation history and a defined inactivity outcome are available.</w:t>
      </w:r>
    </w:p>
    <w:p>
      <w:r>
        <w:t>3. Find supported product associations and prepare retention, bundle or cross-selling proposals.</w:t>
      </w:r>
    </w:p>
    <w:p>
      <w:r>
        <w:t>4. Obtain approval before customer outreach; measure response, margin and repeat purchases against the campaign objective.</w:t>
      </w:r>
    </w:p>
    <w:p>
      <w:r>
        <w:rPr>
          <w:b/>
        </w:rPr>
        <w:t xml:space="preserve">Output and completion: </w:t>
      </w:r>
      <w:r>
        <w:t>A customer or basket insight report with eligibility, evidence, recommended action and measurement period.</w:t>
      </w:r>
    </w:p>
    <w:p>
      <w:r>
        <w:rPr>
          <w:b/>
        </w:rPr>
        <w:t xml:space="preserve">Control and exception: </w:t>
      </w:r>
      <w:r>
        <w:t>RFM, K-Means and churn results support decisions; they do not establish why a customer changed behavior. Anonymous sales disable individual churn scoring. Missing transaction IDs disable basket reconstruction unless reliable grouping exists.</w:t>
      </w:r>
    </w:p>
    <w:p>
      <w:pPr>
        <w:pStyle w:val="Heading2"/>
      </w:pPr>
      <w:r>
        <w:t>BP06 Market research and assortment expansion</w:t>
      </w:r>
    </w:p>
    <w:p>
      <w:r>
        <w:rPr>
          <w:b/>
        </w:rPr>
        <w:t xml:space="preserve">Owner and trigger: </w:t>
      </w:r>
      <w:r>
        <w:t>Store manager supported by the market agent. Begins with an assortment request or scheduled research</w:t>
      </w:r>
    </w:p>
    <w:p>
      <w:r>
        <w:rPr>
          <w:b/>
        </w:rPr>
        <w:t xml:space="preserve">Inputs: </w:t>
      </w:r>
      <w:r>
        <w:t>Store catalog, location/market scope, category strategy, budget and public product evidence.</w:t>
      </w:r>
    </w:p>
    <w:p>
      <w:r>
        <w:t>1. Search relevant public sources through a DuckDuckGo-capable service and retain source dates, URLs and regional context.</w:t>
      </w:r>
    </w:p>
    <w:p>
      <w:r>
        <w:t>2. Match products against the catalog by brand, variant, size and unit; distinguish assortment gaps from temporary stockouts.</w:t>
      </w:r>
    </w:p>
    <w:p>
      <w:r>
        <w:t>3. Assess local relevance, supplier feasibility, estimated margin, shelf life and capital exposure.</w:t>
      </w:r>
    </w:p>
    <w:p>
      <w:r>
        <w:t>4. Propose a small pilot order and review date; record approval, dismissal or snooze, then compare actual sell-through with the plan.</w:t>
      </w:r>
    </w:p>
    <w:p>
      <w:r>
        <w:rPr>
          <w:b/>
        </w:rPr>
        <w:t xml:space="preserve">Output and completion: </w:t>
      </w:r>
      <w:r>
        <w:t>An evidence-backed assortment proposal with pilot quantity assumptions and a measurable review period.</w:t>
      </w:r>
    </w:p>
    <w:p>
      <w:r>
        <w:rPr>
          <w:b/>
        </w:rPr>
        <w:t xml:space="preserve">Control and exception: </w:t>
      </w:r>
      <w:r>
        <w:t>Online popularity and advertisements are not treated as verified sales. Best-selling claims require appropriate supporting evidence. Insufficient evidence or unavailable search produces a qualified result. Rejected ideas are not repeatedly promoted without new evidence.</w:t>
      </w:r>
    </w:p>
    <w:p>
      <w:r>
        <w:br w:type="page"/>
      </w:r>
    </w:p>
    <w:p>
      <w:pPr>
        <w:pStyle w:val="Heading1"/>
      </w:pPr>
      <w:r>
        <w:t>7 Finance staffing and business reporting</w:t>
      </w:r>
    </w:p>
    <w:p>
      <w:pPr>
        <w:pStyle w:val="Heading2"/>
      </w:pPr>
      <w:r>
        <w:t>BP07 Finance review</w:t>
      </w:r>
    </w:p>
    <w:p>
      <w:r>
        <w:t>The finance officer reviews sales, costs, purchases, expenses and payment timing to assess margins and cash availability. The finance agent reconciles approved records, flags missing cost or expense information and prepares scenarios for the proposed buying plan. The officer validates affordability before a purchase moves to approval. Estimated cash flow is labelled as a forecast and does not replace the store's accounting records or statutory reporting.</w:t>
      </w:r>
    </w:p>
    <w:p>
      <w:pPr>
        <w:pStyle w:val="Heading2"/>
      </w:pPr>
      <w:r>
        <w:t>BP08 HR and operational support</w:t>
      </w:r>
    </w:p>
    <w:p>
      <w:r>
        <w:t>The HR coordinator uses permitted staffing, availability and policy records to prepare schedules, onboarding checklists and policy answers. The HR agent can suggest coverage changes in response to a business need. A responsible manager approves schedules and any employee-related action. Restricted employee data is unavailable to sales or inventory roles; hiring, dismissal, pay and disciplinary decisions remain with authorized people.</w:t>
      </w:r>
    </w:p>
    <w:p>
      <w:pPr>
        <w:pStyle w:val="Heading2"/>
      </w:pPr>
      <w:r>
        <w:t>BP09 Reporting and owner review</w:t>
      </w:r>
    </w:p>
    <w:p>
      <w:r>
        <w:t>At the end of a selected period, the reporting process consolidates approved sales, forecasts, inventory, customer and finance findings. The reviewer checks source coverage and numerical consistency. The owner receives a report of exceptions, recommended actions, decisions awaiting approval and previous action outcomes. The case closes when the report is delivered; related purchase or campaign cases close only when their outcomes are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04"/>
        <w:gridCol w:w="2520"/>
        <w:gridCol w:w="5256"/>
      </w:tblGrid>
      <w:tr>
        <w:trPr>
          <w:cantSplit/>
          <w:tblHeader/>
        </w:trPr>
        <w:tc>
          <w:tcPr>
            <w:tcW w:type="dxa" w:w="2304"/>
            <w:vAlign w:val="center"/>
            <w:shd w:fill="17324D"/>
          </w:tcPr>
          <w:p>
            <w:pPr>
              <w:spacing w:after="0" w:before="0" w:line="245" w:lineRule="auto"/>
            </w:pPr>
            <w:r>
              <w:rPr>
                <w:rFonts w:ascii="Arial" w:hAnsi="Arial"/>
                <w:b/>
                <w:color w:val="FFFFFF"/>
                <w:sz w:val="20"/>
              </w:rPr>
              <w:t>Workflow</w:t>
            </w:r>
          </w:p>
        </w:tc>
        <w:tc>
          <w:tcPr>
            <w:tcW w:type="dxa" w:w="2520"/>
            <w:vAlign w:val="center"/>
            <w:shd w:fill="17324D"/>
          </w:tcPr>
          <w:p>
            <w:pPr>
              <w:spacing w:after="0" w:before="0" w:line="245" w:lineRule="auto"/>
            </w:pPr>
            <w:r>
              <w:rPr>
                <w:rFonts w:ascii="Arial" w:hAnsi="Arial"/>
                <w:b/>
                <w:color w:val="FFFFFF"/>
                <w:sz w:val="20"/>
              </w:rPr>
              <w:t>Initial cadence or event</w:t>
            </w:r>
          </w:p>
        </w:tc>
        <w:tc>
          <w:tcPr>
            <w:tcW w:type="dxa" w:w="5256"/>
            <w:vAlign w:val="center"/>
            <w:shd w:fill="17324D"/>
          </w:tcPr>
          <w:p>
            <w:pPr>
              <w:spacing w:after="0" w:before="0" w:line="245" w:lineRule="auto"/>
            </w:pPr>
            <w:r>
              <w:rPr>
                <w:rFonts w:ascii="Arial" w:hAnsi="Arial"/>
                <w:b/>
                <w:color w:val="FFFFFF"/>
                <w:sz w:val="20"/>
              </w:rPr>
              <w:t>Required business control</w:t>
            </w:r>
          </w:p>
        </w:tc>
      </w:tr>
      <w:tr>
        <w:trPr>
          <w:cantSplit/>
        </w:trPr>
        <w:tc>
          <w:tcPr>
            <w:tcW w:type="dxa" w:w="2304"/>
            <w:vAlign w:val="center"/>
            <w:shd w:fill="FFFFFF"/>
          </w:tcPr>
          <w:p>
            <w:pPr>
              <w:spacing w:after="0" w:before="0" w:line="245" w:lineRule="auto"/>
            </w:pPr>
            <w:r>
              <w:rPr>
                <w:rFonts w:ascii="Arial" w:hAnsi="Arial"/>
                <w:b w:val="0"/>
                <w:color w:val="000000"/>
                <w:sz w:val="20"/>
              </w:rPr>
              <w:t>Sales and stock refresh</w:t>
            </w:r>
          </w:p>
        </w:tc>
        <w:tc>
          <w:tcPr>
            <w:tcW w:type="dxa" w:w="2520"/>
            <w:vAlign w:val="center"/>
            <w:shd w:fill="FFFFFF"/>
          </w:tcPr>
          <w:p>
            <w:pPr>
              <w:spacing w:after="0" w:before="0" w:line="245" w:lineRule="auto"/>
            </w:pPr>
            <w:r>
              <w:rPr>
                <w:rFonts w:ascii="Arial" w:hAnsi="Arial"/>
                <w:b w:val="0"/>
                <w:color w:val="000000"/>
                <w:sz w:val="20"/>
              </w:rPr>
              <w:t>After an accepted import</w:t>
            </w:r>
          </w:p>
        </w:tc>
        <w:tc>
          <w:tcPr>
            <w:tcW w:type="dxa" w:w="5256"/>
            <w:vAlign w:val="center"/>
            <w:shd w:fill="FFFFFF"/>
          </w:tcPr>
          <w:p>
            <w:pPr>
              <w:spacing w:after="0" w:before="0" w:line="245" w:lineRule="auto"/>
            </w:pPr>
            <w:r>
              <w:rPr>
                <w:rFonts w:ascii="Arial" w:hAnsi="Arial"/>
                <w:b w:val="0"/>
                <w:color w:val="000000"/>
                <w:sz w:val="20"/>
              </w:rPr>
              <w:t>Reconcile totals and reject duplicate batches.</w:t>
            </w:r>
          </w:p>
        </w:tc>
      </w:tr>
      <w:tr>
        <w:trPr>
          <w:cantSplit/>
        </w:trPr>
        <w:tc>
          <w:tcPr>
            <w:tcW w:type="dxa" w:w="2304"/>
            <w:vAlign w:val="center"/>
            <w:shd w:fill="F3F6F8"/>
          </w:tcPr>
          <w:p>
            <w:pPr>
              <w:spacing w:after="0" w:before="0" w:line="245" w:lineRule="auto"/>
            </w:pPr>
            <w:r>
              <w:rPr>
                <w:rFonts w:ascii="Arial" w:hAnsi="Arial"/>
                <w:b w:val="0"/>
                <w:color w:val="000000"/>
                <w:sz w:val="20"/>
              </w:rPr>
              <w:t>Demand and replenishment</w:t>
            </w:r>
          </w:p>
        </w:tc>
        <w:tc>
          <w:tcPr>
            <w:tcW w:type="dxa" w:w="2520"/>
            <w:vAlign w:val="center"/>
            <w:shd w:fill="F3F6F8"/>
          </w:tcPr>
          <w:p>
            <w:pPr>
              <w:spacing w:after="0" w:before="0" w:line="245" w:lineRule="auto"/>
            </w:pPr>
            <w:r>
              <w:rPr>
                <w:rFonts w:ascii="Arial" w:hAnsi="Arial"/>
                <w:b w:val="0"/>
                <w:color w:val="000000"/>
                <w:sz w:val="20"/>
              </w:rPr>
              <w:t>Weekly or owner-configured</w:t>
            </w:r>
          </w:p>
        </w:tc>
        <w:tc>
          <w:tcPr>
            <w:tcW w:type="dxa" w:w="5256"/>
            <w:vAlign w:val="center"/>
            <w:shd w:fill="F3F6F8"/>
          </w:tcPr>
          <w:p>
            <w:pPr>
              <w:spacing w:after="0" w:before="0" w:line="245" w:lineRule="auto"/>
            </w:pPr>
            <w:r>
              <w:rPr>
                <w:rFonts w:ascii="Arial" w:hAnsi="Arial"/>
                <w:b w:val="0"/>
                <w:color w:val="000000"/>
                <w:sz w:val="20"/>
              </w:rPr>
              <w:t>Use current data and route orders for approval.</w:t>
            </w:r>
          </w:p>
        </w:tc>
      </w:tr>
      <w:tr>
        <w:trPr>
          <w:cantSplit/>
        </w:trPr>
        <w:tc>
          <w:tcPr>
            <w:tcW w:type="dxa" w:w="2304"/>
            <w:vAlign w:val="center"/>
            <w:shd w:fill="FFFFFF"/>
          </w:tcPr>
          <w:p>
            <w:pPr>
              <w:spacing w:after="0" w:before="0" w:line="245" w:lineRule="auto"/>
            </w:pPr>
            <w:r>
              <w:rPr>
                <w:rFonts w:ascii="Arial" w:hAnsi="Arial"/>
                <w:b w:val="0"/>
                <w:color w:val="000000"/>
                <w:sz w:val="20"/>
              </w:rPr>
              <w:t>Expiry and slow stock</w:t>
            </w:r>
          </w:p>
        </w:tc>
        <w:tc>
          <w:tcPr>
            <w:tcW w:type="dxa" w:w="2520"/>
            <w:vAlign w:val="center"/>
            <w:shd w:fill="FFFFFF"/>
          </w:tcPr>
          <w:p>
            <w:pPr>
              <w:spacing w:after="0" w:before="0" w:line="245" w:lineRule="auto"/>
            </w:pPr>
            <w:r>
              <w:rPr>
                <w:rFonts w:ascii="Arial" w:hAnsi="Arial"/>
                <w:b w:val="0"/>
                <w:color w:val="000000"/>
                <w:sz w:val="20"/>
              </w:rPr>
              <w:t>Daily review where dates exist</w:t>
            </w:r>
          </w:p>
        </w:tc>
        <w:tc>
          <w:tcPr>
            <w:tcW w:type="dxa" w:w="5256"/>
            <w:vAlign w:val="center"/>
            <w:shd w:fill="FFFFFF"/>
          </w:tcPr>
          <w:p>
            <w:pPr>
              <w:spacing w:after="0" w:before="0" w:line="245" w:lineRule="auto"/>
            </w:pPr>
            <w:r>
              <w:rPr>
                <w:rFonts w:ascii="Arial" w:hAnsi="Arial"/>
                <w:b w:val="0"/>
                <w:color w:val="000000"/>
                <w:sz w:val="20"/>
              </w:rPr>
              <w:t>Validate batches and margin limits before action.</w:t>
            </w:r>
          </w:p>
        </w:tc>
      </w:tr>
      <w:tr>
        <w:trPr>
          <w:cantSplit/>
        </w:trPr>
        <w:tc>
          <w:tcPr>
            <w:tcW w:type="dxa" w:w="2304"/>
            <w:vAlign w:val="center"/>
            <w:shd w:fill="F3F6F8"/>
          </w:tcPr>
          <w:p>
            <w:pPr>
              <w:spacing w:after="0" w:before="0" w:line="245" w:lineRule="auto"/>
            </w:pPr>
            <w:r>
              <w:rPr>
                <w:rFonts w:ascii="Arial" w:hAnsi="Arial"/>
                <w:b w:val="0"/>
                <w:color w:val="000000"/>
                <w:sz w:val="20"/>
              </w:rPr>
              <w:t>Customer review</w:t>
            </w:r>
          </w:p>
        </w:tc>
        <w:tc>
          <w:tcPr>
            <w:tcW w:type="dxa" w:w="2520"/>
            <w:vAlign w:val="center"/>
            <w:shd w:fill="F3F6F8"/>
          </w:tcPr>
          <w:p>
            <w:pPr>
              <w:spacing w:after="0" w:before="0" w:line="245" w:lineRule="auto"/>
            </w:pPr>
            <w:r>
              <w:rPr>
                <w:rFonts w:ascii="Arial" w:hAnsi="Arial"/>
                <w:b w:val="0"/>
                <w:color w:val="000000"/>
                <w:sz w:val="20"/>
              </w:rPr>
              <w:t>Monthly or campaign request</w:t>
            </w:r>
          </w:p>
        </w:tc>
        <w:tc>
          <w:tcPr>
            <w:tcW w:type="dxa" w:w="5256"/>
            <w:vAlign w:val="center"/>
            <w:shd w:fill="F3F6F8"/>
          </w:tcPr>
          <w:p>
            <w:pPr>
              <w:spacing w:after="0" w:before="0" w:line="245" w:lineRule="auto"/>
            </w:pPr>
            <w:r>
              <w:rPr>
                <w:rFonts w:ascii="Arial" w:hAnsi="Arial"/>
                <w:b w:val="0"/>
                <w:color w:val="000000"/>
                <w:sz w:val="20"/>
              </w:rPr>
              <w:t>Use eligible data and approved communication.</w:t>
            </w:r>
          </w:p>
        </w:tc>
      </w:tr>
      <w:tr>
        <w:trPr>
          <w:cantSplit/>
        </w:trPr>
        <w:tc>
          <w:tcPr>
            <w:tcW w:type="dxa" w:w="2304"/>
            <w:vAlign w:val="center"/>
            <w:shd w:fill="FFFFFF"/>
          </w:tcPr>
          <w:p>
            <w:pPr>
              <w:spacing w:after="0" w:before="0" w:line="245" w:lineRule="auto"/>
            </w:pPr>
            <w:r>
              <w:rPr>
                <w:rFonts w:ascii="Arial" w:hAnsi="Arial"/>
                <w:b w:val="0"/>
                <w:color w:val="000000"/>
                <w:sz w:val="20"/>
              </w:rPr>
              <w:t>Market opportunities</w:t>
            </w:r>
          </w:p>
        </w:tc>
        <w:tc>
          <w:tcPr>
            <w:tcW w:type="dxa" w:w="2520"/>
            <w:vAlign w:val="center"/>
            <w:shd w:fill="FFFFFF"/>
          </w:tcPr>
          <w:p>
            <w:pPr>
              <w:spacing w:after="0" w:before="0" w:line="245" w:lineRule="auto"/>
            </w:pPr>
            <w:r>
              <w:rPr>
                <w:rFonts w:ascii="Arial" w:hAnsi="Arial"/>
                <w:b w:val="0"/>
                <w:color w:val="000000"/>
                <w:sz w:val="20"/>
              </w:rPr>
              <w:t>Weekly by category</w:t>
            </w:r>
          </w:p>
        </w:tc>
        <w:tc>
          <w:tcPr>
            <w:tcW w:type="dxa" w:w="5256"/>
            <w:vAlign w:val="center"/>
            <w:shd w:fill="FFFFFF"/>
          </w:tcPr>
          <w:p>
            <w:pPr>
              <w:spacing w:after="0" w:before="0" w:line="245" w:lineRule="auto"/>
            </w:pPr>
            <w:r>
              <w:rPr>
                <w:rFonts w:ascii="Arial" w:hAnsi="Arial"/>
                <w:b w:val="0"/>
                <w:color w:val="000000"/>
                <w:sz w:val="20"/>
              </w:rPr>
              <w:t>Check freshness, relevance and recommendation cooldowns.</w:t>
            </w:r>
          </w:p>
        </w:tc>
      </w:tr>
      <w:tr>
        <w:trPr>
          <w:cantSplit/>
        </w:trPr>
        <w:tc>
          <w:tcPr>
            <w:tcW w:type="dxa" w:w="2304"/>
            <w:vAlign w:val="center"/>
            <w:shd w:fill="F3F6F8"/>
          </w:tcPr>
          <w:p>
            <w:pPr>
              <w:spacing w:after="0" w:before="0" w:line="245" w:lineRule="auto"/>
            </w:pPr>
            <w:r>
              <w:rPr>
                <w:rFonts w:ascii="Arial" w:hAnsi="Arial"/>
                <w:b w:val="0"/>
                <w:color w:val="000000"/>
                <w:sz w:val="20"/>
              </w:rPr>
              <w:t>Finance summary</w:t>
            </w:r>
          </w:p>
        </w:tc>
        <w:tc>
          <w:tcPr>
            <w:tcW w:type="dxa" w:w="2520"/>
            <w:vAlign w:val="center"/>
            <w:shd w:fill="F3F6F8"/>
          </w:tcPr>
          <w:p>
            <w:pPr>
              <w:spacing w:after="0" w:before="0" w:line="245" w:lineRule="auto"/>
            </w:pPr>
            <w:r>
              <w:rPr>
                <w:rFonts w:ascii="Arial" w:hAnsi="Arial"/>
                <w:b w:val="0"/>
                <w:color w:val="000000"/>
                <w:sz w:val="20"/>
              </w:rPr>
              <w:t>Weekly and month end</w:t>
            </w:r>
          </w:p>
        </w:tc>
        <w:tc>
          <w:tcPr>
            <w:tcW w:type="dxa" w:w="5256"/>
            <w:vAlign w:val="center"/>
            <w:shd w:fill="F3F6F8"/>
          </w:tcPr>
          <w:p>
            <w:pPr>
              <w:spacing w:after="0" w:before="0" w:line="245" w:lineRule="auto"/>
            </w:pPr>
            <w:r>
              <w:rPr>
                <w:rFonts w:ascii="Arial" w:hAnsi="Arial"/>
                <w:b w:val="0"/>
                <w:color w:val="000000"/>
                <w:sz w:val="20"/>
              </w:rPr>
              <w:t>Reconcile records and flag incomplete costs.</w:t>
            </w:r>
          </w:p>
        </w:tc>
      </w:tr>
      <w:tr>
        <w:trPr>
          <w:cantSplit/>
        </w:trPr>
        <w:tc>
          <w:tcPr>
            <w:tcW w:type="dxa" w:w="2304"/>
            <w:vAlign w:val="center"/>
            <w:shd w:fill="FFFFFF"/>
          </w:tcPr>
          <w:p>
            <w:pPr>
              <w:spacing w:after="0" w:before="0" w:line="245" w:lineRule="auto"/>
            </w:pPr>
            <w:r>
              <w:rPr>
                <w:rFonts w:ascii="Arial" w:hAnsi="Arial"/>
                <w:b w:val="0"/>
                <w:color w:val="000000"/>
                <w:sz w:val="20"/>
              </w:rPr>
              <w:t>Staffing review</w:t>
            </w:r>
          </w:p>
        </w:tc>
        <w:tc>
          <w:tcPr>
            <w:tcW w:type="dxa" w:w="2520"/>
            <w:vAlign w:val="center"/>
            <w:shd w:fill="FFFFFF"/>
          </w:tcPr>
          <w:p>
            <w:pPr>
              <w:spacing w:after="0" w:before="0" w:line="245" w:lineRule="auto"/>
            </w:pPr>
            <w:r>
              <w:rPr>
                <w:rFonts w:ascii="Arial" w:hAnsi="Arial"/>
                <w:b w:val="0"/>
                <w:color w:val="000000"/>
                <w:sz w:val="20"/>
              </w:rPr>
              <w:t>Before the next schedule period</w:t>
            </w:r>
          </w:p>
        </w:tc>
        <w:tc>
          <w:tcPr>
            <w:tcW w:type="dxa" w:w="5256"/>
            <w:vAlign w:val="center"/>
            <w:shd w:fill="FFFFFF"/>
          </w:tcPr>
          <w:p>
            <w:pPr>
              <w:spacing w:after="0" w:before="0" w:line="245" w:lineRule="auto"/>
            </w:pPr>
            <w:r>
              <w:rPr>
                <w:rFonts w:ascii="Arial" w:hAnsi="Arial"/>
                <w:b w:val="0"/>
                <w:color w:val="000000"/>
                <w:sz w:val="20"/>
              </w:rPr>
              <w:t>Restrict employee records and obtain manager approval.</w:t>
            </w:r>
          </w:p>
        </w:tc>
      </w:tr>
    </w:tbl>
    <w:p>
      <w:pPr>
        <w:spacing w:after="40" w:before="0" w:line="48" w:lineRule="auto"/>
      </w:pPr>
      <w:r>
        <w:rPr>
          <w:sz w:val="4"/>
        </w:rPr>
      </w:r>
    </w:p>
    <w:p>
      <w:pPr>
        <w:pStyle w:val="Heading2"/>
      </w:pPr>
      <w:r>
        <w:t>Automation operating rule</w:t>
      </w:r>
    </w:p>
    <w:p>
      <w:r>
        <w:t>Schedules follow the store timezone and can be paused or cancelled. Each job has a unique run identifier, bounded retries and a visible result. Repeated execution cannot duplicate imports, purchase proposals or notifications. A failed job alerts its process owner without silently marking the work complete. External customer or supplier messages require an authorized recipient and an approved action.</w:t>
      </w:r>
    </w:p>
    <w:p>
      <w:r>
        <w:br w:type="page"/>
      </w:r>
    </w:p>
    <w:p>
      <w:pPr>
        <w:pStyle w:val="Heading1"/>
      </w:pPr>
      <w:r>
        <w:t>8 Chatbot knowledge and evidence requirements</w:t>
      </w:r>
    </w:p>
    <w:p>
      <w:r>
        <w:t>The business chatbot is the conversational entry point to the approved processes. It interprets a question, selects permitted evidence and tools, and returns an answer, table or report in the requested format. Advice must identify the business period, relevant records, assumptions and next action. Questions outside available evidence receive a clear limitation or a request for the specific missing data.</w:t>
      </w:r>
    </w:p>
    <w:p>
      <w:pPr>
        <w:pStyle w:val="Heading2"/>
      </w:pPr>
      <w:r>
        <w:t>Knowledge acceptance</w:t>
      </w:r>
    </w:p>
    <w:p>
      <w:r>
        <w:t>The knowledge process accepts permitted PDF, DOCX, text, Markdown, spreadsheet and web content. Scanned pages and images require OCR, which converts their text for review. Extraction preserves headings, tables, page or sheet references and document ownership. Poor-quality tables or scans are flagged for correction before they support a material business recommendation.</w:t>
      </w:r>
    </w:p>
    <w:p>
      <w:pPr>
        <w:pStyle w:val="Heading2"/>
      </w:pPr>
      <w:r>
        <w:t>Retrieval and source attribution</w:t>
      </w:r>
    </w:p>
    <w:p>
      <w:r>
        <w:t>Accepted content is cleaned, deduplicated and divided into sections that preserve context. Each section has a stable identifier, document version, access scope and source location. Semantic embeddings support FAISS retrieval; a separate keyword index preserves product codes, invoice numbers and exact terms. Combined candidates are fused and reranked before the answer is written. Retrieval quality determines the final chunking and model settings.</w:t>
      </w:r>
    </w:p>
    <w:p>
      <w:r>
        <w:t>Indexes are stored in protected, versioned folders for each organization and permitted knowledge collection. Updates, deletions and permission changes propagate to retrieval. Only trusted index files are loaded because FAISS index loading requires integrity controls [5]. Retrieval permission checks occur before content reaches the LLM, reranker, cache or final answer.</w:t>
      </w:r>
    </w:p>
    <w:p>
      <w:r>
        <w:t>Answers cite document titles and page/section references, or web URLs with available publication and access dates. Numerical answers also identify their reporting period and data/model run. Exact totals come from database or calculation tools rather than approximate document matching. Sources that disagree are identified; the chatbot does not combine them into an unsupported conclusion.</w:t>
      </w:r>
    </w:p>
    <w:p>
      <w:pPr>
        <w:pStyle w:val="Heading2"/>
      </w:pPr>
      <w:r>
        <w:t>Illustrative business question</w:t>
      </w:r>
    </w:p>
    <w:p>
      <w:r>
        <w:t>For the question "Which products should I reorder next week?", the chatbot retrieves the approved sales period and stock position, calls forecast and replenishment tools, and returns product, expected demand, inventory position, proposed quantity, cost and reason. Missing lead time or cost remains visible. The report provides a route to approval and does not place an order by itself.</w:t>
      </w:r>
    </w:p>
    <w:p>
      <w:pPr>
        <w:pStyle w:val="Heading2"/>
      </w:pPr>
      <w:r>
        <w:t>Learning and confidentiality</w:t>
      </w:r>
    </w:p>
    <w:p>
      <w:r>
        <w:t>Retrieval-augmented generation supplies relevant knowledge when answering; it does not change the LLM's weights. Business uploads do not authorize cross-customer training. Fine-tuning is a separate future decision requiring suitable data rights, evaluation and privacy approval. Queries sent to public search exclude private customer, employee and confidential business details.</w:t>
      </w:r>
    </w:p>
    <w:p>
      <w:r>
        <w:br w:type="page"/>
      </w:r>
    </w:p>
    <w:p>
      <w:pPr>
        <w:pStyle w:val="Heading1"/>
      </w:pPr>
      <w:r>
        <w:t>9 Agent responsibilities for business decisions</w:t>
      </w:r>
    </w:p>
    <w:p>
      <w:r>
        <w:t>Each role has a defined purpose, workflow, permitted tools/state and output. Agents use the authenticated organization and case context; they do not grant themselves additional permissions.</w:t>
      </w:r>
    </w:p>
    <w:p>
      <w:pPr>
        <w:pStyle w:val="Heading2"/>
      </w:pPr>
      <w:r>
        <w:t>Orchestrator agent</w:t>
      </w:r>
    </w:p>
    <w:p>
      <w:r>
        <w:rPr>
          <w:b/>
        </w:rPr>
        <w:t xml:space="preserve">Goal and task: </w:t>
      </w:r>
      <w:r>
        <w:t>Route the request and coordinate the right business process. Confirm objective, constraints and output format.</w:t>
      </w:r>
    </w:p>
    <w:p>
      <w:r>
        <w:rPr>
          <w:b/>
        </w:rPr>
        <w:t xml:space="preserve">Workflow and tools or state: </w:t>
      </w:r>
      <w:r>
        <w:t>Classify, assign, track and escalate through controlled CrewAI workflows [3]. State includes case ID, owner, permissions, stage and approval status.</w:t>
      </w:r>
    </w:p>
    <w:p>
      <w:r>
        <w:rPr>
          <w:b/>
        </w:rPr>
        <w:t xml:space="preserve">Output: </w:t>
      </w:r>
      <w:r>
        <w:t>A task plan, accountable handoffs and final delivery or escalation status.</w:t>
      </w:r>
    </w:p>
    <w:p>
      <w:pPr>
        <w:pStyle w:val="Heading2"/>
      </w:pPr>
      <w:r>
        <w:t>Market research agent</w:t>
      </w:r>
    </w:p>
    <w:p>
      <w:r>
        <w:rPr>
          <w:b/>
        </w:rPr>
        <w:t xml:space="preserve">Goal and task: </w:t>
      </w:r>
      <w:r>
        <w:t>Find relevant product opportunities and assess public market evidence against the store assortment.</w:t>
      </w:r>
    </w:p>
    <w:p>
      <w:r>
        <w:rPr>
          <w:b/>
        </w:rPr>
        <w:t xml:space="preserve">Workflow and tools or state: </w:t>
      </w:r>
      <w:r>
        <w:t>Search, inspect sources, match the catalog and evaluate a pilot. Tools include permitted web search and catalog lookup; state retains dated evidence and dismissals.</w:t>
      </w:r>
    </w:p>
    <w:p>
      <w:r>
        <w:rPr>
          <w:b/>
        </w:rPr>
        <w:t xml:space="preserve">Output: </w:t>
      </w:r>
      <w:r>
        <w:t>A cited opportunity proposal with assumptions, risks and pilot review date.</w:t>
      </w:r>
    </w:p>
    <w:p>
      <w:pPr>
        <w:pStyle w:val="Heading2"/>
      </w:pPr>
      <w:r>
        <w:t>Demand analyst agent</w:t>
      </w:r>
    </w:p>
    <w:p>
      <w:r>
        <w:rPr>
          <w:b/>
        </w:rPr>
        <w:t xml:space="preserve">Goal and task: </w:t>
      </w:r>
      <w:r>
        <w:t>Translate accepted sales history into a defensible demand plan and explain forecast limitations.</w:t>
      </w:r>
    </w:p>
    <w:p>
      <w:r>
        <w:rPr>
          <w:b/>
        </w:rPr>
        <w:t xml:space="preserve">Workflow and tools or state: </w:t>
      </w:r>
      <w:r>
        <w:t>Assess data, invoke forecasting/backtesting tools, verify outputs and compare actuals. State records dataset, model, horizon, validation results and uncertainty.</w:t>
      </w:r>
    </w:p>
    <w:p>
      <w:r>
        <w:rPr>
          <w:b/>
        </w:rPr>
        <w:t xml:space="preserve">Output: </w:t>
      </w:r>
      <w:r>
        <w:t>Versioned forecasts and an explanation of eligible products, accuracy and exceptions.</w:t>
      </w:r>
    </w:p>
    <w:p>
      <w:pPr>
        <w:pStyle w:val="Heading2"/>
      </w:pPr>
      <w:r>
        <w:t>Operations and inventory agent</w:t>
      </w:r>
    </w:p>
    <w:p>
      <w:r>
        <w:rPr>
          <w:b/>
        </w:rPr>
        <w:t xml:space="preserve">Goal and task: </w:t>
      </w:r>
      <w:r>
        <w:t>Maintain appropriate stock and prepare procurement or expiry actions within operating constraints.</w:t>
      </w:r>
    </w:p>
    <w:p>
      <w:r>
        <w:rPr>
          <w:b/>
        </w:rPr>
        <w:t xml:space="preserve">Workflow and tools or state: </w:t>
      </w:r>
      <w:r>
        <w:t>Read the stock ledger, calculate replenishment and check suppliers, budget and shelf life. State tracks inventory position, constraints and pending proposals.</w:t>
      </w:r>
    </w:p>
    <w:p>
      <w:r>
        <w:rPr>
          <w:b/>
        </w:rPr>
        <w:t xml:space="preserve">Output: </w:t>
      </w:r>
      <w:r>
        <w:t>A justified replenishment or stock-action proposal requiring the applicable approval.</w:t>
      </w:r>
    </w:p>
    <w:p>
      <w:pPr>
        <w:pStyle w:val="Heading2"/>
      </w:pPr>
      <w:r>
        <w:t>Sales and customer agent</w:t>
      </w:r>
    </w:p>
    <w:p>
      <w:r>
        <w:rPr>
          <w:b/>
        </w:rPr>
        <w:t xml:space="preserve">Goal and task: </w:t>
      </w:r>
      <w:r>
        <w:t>Support selling performance, retention and useful product bundles.</w:t>
      </w:r>
    </w:p>
    <w:p>
      <w:r>
        <w:rPr>
          <w:b/>
        </w:rPr>
        <w:t xml:space="preserve">Workflow and tools or state: </w:t>
      </w:r>
      <w:r>
        <w:t>Invoke sales, RFM, clustering, churn and basket tools only when data qualifies. State holds approved segments, campaign scope, evidence and margin limits.</w:t>
      </w:r>
    </w:p>
    <w:p>
      <w:r>
        <w:rPr>
          <w:b/>
        </w:rPr>
        <w:t xml:space="preserve">Output: </w:t>
      </w:r>
      <w:r>
        <w:t>A promotion or retention proposal with eligible audience, evidence and measurement plan.</w:t>
      </w:r>
    </w:p>
    <w:p>
      <w:r>
        <w:br w:type="page"/>
      </w:r>
    </w:p>
    <w:p>
      <w:pPr>
        <w:pStyle w:val="Heading1"/>
      </w:pPr>
      <w:r>
        <w:t>10 Agent controls for support and review</w:t>
      </w:r>
    </w:p>
    <w:p>
      <w:pPr>
        <w:pStyle w:val="Heading2"/>
      </w:pPr>
      <w:r>
        <w:t>Finance agent</w:t>
      </w:r>
    </w:p>
    <w:p>
      <w:r>
        <w:rPr>
          <w:b/>
        </w:rPr>
        <w:t xml:space="preserve">Goal and task: </w:t>
      </w:r>
      <w:r>
        <w:t>Assess affordability, margins and cash scenarios for business decisions.</w:t>
      </w:r>
    </w:p>
    <w:p>
      <w:r>
        <w:rPr>
          <w:b/>
        </w:rPr>
        <w:t xml:space="preserve">Workflow and tools or state: </w:t>
      </w:r>
      <w:r>
        <w:t>Reconcile authorized finance records, calculate scenarios and flag exceptions. Tools use approved transactions; state separates actuals, estimates and missing costs.</w:t>
      </w:r>
    </w:p>
    <w:p>
      <w:r>
        <w:rPr>
          <w:b/>
        </w:rPr>
        <w:t xml:space="preserve">Output: </w:t>
      </w:r>
      <w:r>
        <w:t>A finance summary and affordability assessment for the finance officer.</w:t>
      </w:r>
    </w:p>
    <w:p>
      <w:pPr>
        <w:pStyle w:val="Heading2"/>
      </w:pPr>
      <w:r>
        <w:t>HR support agent</w:t>
      </w:r>
    </w:p>
    <w:p>
      <w:r>
        <w:rPr>
          <w:b/>
        </w:rPr>
        <w:t xml:space="preserve">Goal and task: </w:t>
      </w:r>
      <w:r>
        <w:t>Help the HR coordinator prepare schedules, onboarding material and policy answers.</w:t>
      </w:r>
    </w:p>
    <w:p>
      <w:r>
        <w:rPr>
          <w:b/>
        </w:rPr>
        <w:t xml:space="preserve">Workflow and tools or state: </w:t>
      </w:r>
      <w:r>
        <w:t>Retrieve permitted policy and availability records, prepare a proposal and route it to a manager. Employee state remains restricted to HR permissions.</w:t>
      </w:r>
    </w:p>
    <w:p>
      <w:r>
        <w:rPr>
          <w:b/>
        </w:rPr>
        <w:t xml:space="preserve">Output: </w:t>
      </w:r>
      <w:r>
        <w:t>A staffing draft or cited policy answer; no autonomous employment decision.</w:t>
      </w:r>
    </w:p>
    <w:p>
      <w:pPr>
        <w:pStyle w:val="Heading2"/>
      </w:pPr>
      <w:r>
        <w:t>Knowledge agent</w:t>
      </w:r>
    </w:p>
    <w:p>
      <w:r>
        <w:rPr>
          <w:b/>
        </w:rPr>
        <w:t xml:space="preserve">Goal and task: </w:t>
      </w:r>
      <w:r>
        <w:t>Find relevant, authorized evidence and identify missing or conflicting information.</w:t>
      </w:r>
    </w:p>
    <w:p>
      <w:r>
        <w:rPr>
          <w:b/>
        </w:rPr>
        <w:t xml:space="preserve">Workflow and tools or state: </w:t>
      </w:r>
      <w:r>
        <w:t>Validate corpus access, perform keyword and semantic retrieval, rerank and return citations. State includes source IDs, versions, access scope and retrieval results.</w:t>
      </w:r>
    </w:p>
    <w:p>
      <w:r>
        <w:rPr>
          <w:b/>
        </w:rPr>
        <w:t xml:space="preserve">Output: </w:t>
      </w:r>
      <w:r>
        <w:t>An evidence bundle with source locations and limitations. Indexing and extraction remain controlled services.</w:t>
      </w:r>
    </w:p>
    <w:p>
      <w:pPr>
        <w:pStyle w:val="Heading2"/>
      </w:pPr>
      <w:r>
        <w:t>Writer agent</w:t>
      </w:r>
    </w:p>
    <w:p>
      <w:r>
        <w:rPr>
          <w:b/>
        </w:rPr>
        <w:t xml:space="preserve">Goal and task: </w:t>
      </w:r>
      <w:r>
        <w:t>Present the verified findings in a useful business report and requested format.</w:t>
      </w:r>
    </w:p>
    <w:p>
      <w:r>
        <w:rPr>
          <w:b/>
        </w:rPr>
        <w:t xml:space="preserve">Workflow and tools or state: </w:t>
      </w:r>
      <w:r>
        <w:t>Organize tool results and approved evidence into a shared report structure. State preserves figures, citations, assumptions and pending decisions.</w:t>
      </w:r>
    </w:p>
    <w:p>
      <w:r>
        <w:rPr>
          <w:b/>
        </w:rPr>
        <w:t xml:space="preserve">Output: </w:t>
      </w:r>
      <w:r>
        <w:t>A consistent narrative, table or export for independent review.</w:t>
      </w:r>
    </w:p>
    <w:p>
      <w:pPr>
        <w:pStyle w:val="Heading2"/>
      </w:pPr>
      <w:r>
        <w:t>Reviewer agent</w:t>
      </w:r>
    </w:p>
    <w:p>
      <w:r>
        <w:rPr>
          <w:b/>
        </w:rPr>
        <w:t xml:space="preserve">Goal and task: </w:t>
      </w:r>
      <w:r>
        <w:t>Check evidence, accuracy, completeness, quality and efficiency before delivery.</w:t>
      </w:r>
    </w:p>
    <w:p>
      <w:r>
        <w:rPr>
          <w:b/>
        </w:rPr>
        <w:t xml:space="preserve">Workflow and tools or state: </w:t>
      </w:r>
      <w:r>
        <w:t>Compare claims with sources, check calculation results and validate permissions and format. Record pass/fail findings and route bounded revisions.</w:t>
      </w:r>
    </w:p>
    <w:p>
      <w:r>
        <w:rPr>
          <w:b/>
        </w:rPr>
        <w:t xml:space="preserve">Output: </w:t>
      </w:r>
      <w:r>
        <w:t>A review decision and issue list. Unresolved material issues trigger qualified delivery or human escalation.</w:t>
      </w:r>
    </w:p>
    <w:p>
      <w:pPr>
        <w:pStyle w:val="Heading2"/>
      </w:pPr>
      <w:r>
        <w:t>Shared execution contract</w:t>
      </w:r>
    </w:p>
    <w:p>
      <w:r>
        <w:t>Every handoff contains the case and organization IDs, objective, permitted inputs, evidence IDs, data/model versions, tool results, assumptions, status and responsible role. Tool calls validate permissions again. The reviewer cannot authorize a purchase or replace deterministic arithmetic checks. External actions require a separate approved business decision.</w:t>
      </w:r>
    </w:p>
    <w:p>
      <w:r>
        <w:br w:type="page"/>
      </w:r>
    </w:p>
    <w:p>
      <w:pPr>
        <w:pStyle w:val="Heading1"/>
      </w:pPr>
      <w:r>
        <w:t>11 Functional requirements and user experience</w:t>
      </w:r>
    </w:p>
    <w:p>
      <w:r>
        <w:t>The following requirements define observable product behavior. Process descriptions in Sections 4 to 8 supply the related inputs, owners, controls and exceptions.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936"/>
        <w:gridCol w:w="3960"/>
        <w:gridCol w:w="5184"/>
      </w:tblGrid>
      <w:tr>
        <w:trPr>
          <w:cantSplit/>
          <w:tblHeader/>
        </w:trPr>
        <w:tc>
          <w:tcPr>
            <w:tcW w:type="dxa" w:w="936"/>
            <w:vAlign w:val="center"/>
            <w:shd w:fill="17324D"/>
          </w:tcPr>
          <w:p>
            <w:pPr>
              <w:spacing w:after="0" w:before="0" w:line="245" w:lineRule="auto"/>
              <w:jc w:val="center"/>
            </w:pPr>
            <w:r>
              <w:rPr>
                <w:rFonts w:ascii="Arial" w:hAnsi="Arial"/>
                <w:b/>
                <w:color w:val="FFFFFF"/>
                <w:sz w:val="19"/>
              </w:rPr>
              <w:t>ID</w:t>
            </w:r>
          </w:p>
        </w:tc>
        <w:tc>
          <w:tcPr>
            <w:tcW w:type="dxa" w:w="3960"/>
            <w:vAlign w:val="center"/>
            <w:shd w:fill="17324D"/>
          </w:tcPr>
          <w:p>
            <w:pPr>
              <w:spacing w:after="0" w:before="0" w:line="245" w:lineRule="auto"/>
            </w:pPr>
            <w:r>
              <w:rPr>
                <w:rFonts w:ascii="Arial" w:hAnsi="Arial"/>
                <w:b/>
                <w:color w:val="FFFFFF"/>
                <w:sz w:val="19"/>
              </w:rPr>
              <w:t>Required behavior</w:t>
            </w:r>
          </w:p>
        </w:tc>
        <w:tc>
          <w:tcPr>
            <w:tcW w:type="dxa" w:w="5184"/>
            <w:vAlign w:val="center"/>
            <w:shd w:fill="17324D"/>
          </w:tcPr>
          <w:p>
            <w:pPr>
              <w:spacing w:after="0" w:before="0" w:line="245" w:lineRule="auto"/>
            </w:pPr>
            <w:r>
              <w:rPr>
                <w:rFonts w:ascii="Arial" w:hAnsi="Arial"/>
                <w:b/>
                <w:color w:val="FFFFFF"/>
                <w:sz w:val="19"/>
              </w:rPr>
              <w:t>Acceptance evidence</w:t>
            </w:r>
          </w:p>
        </w:tc>
      </w:tr>
      <w:tr>
        <w:trPr>
          <w:cantSplit/>
        </w:trPr>
        <w:tc>
          <w:tcPr>
            <w:tcW w:type="dxa" w:w="936"/>
            <w:vAlign w:val="center"/>
            <w:shd w:fill="FFFFFF"/>
          </w:tcPr>
          <w:p>
            <w:pPr>
              <w:spacing w:after="0" w:before="0" w:line="245" w:lineRule="auto"/>
              <w:jc w:val="center"/>
            </w:pPr>
            <w:r>
              <w:rPr>
                <w:rFonts w:ascii="Arial" w:hAnsi="Arial"/>
                <w:b w:val="0"/>
                <w:color w:val="000000"/>
                <w:sz w:val="19"/>
              </w:rPr>
              <w:t>FR01</w:t>
            </w:r>
          </w:p>
        </w:tc>
        <w:tc>
          <w:tcPr>
            <w:tcW w:type="dxa" w:w="3960"/>
            <w:vAlign w:val="center"/>
            <w:shd w:fill="FFFFFF"/>
          </w:tcPr>
          <w:p>
            <w:pPr>
              <w:spacing w:after="0" w:before="0" w:line="245" w:lineRule="auto"/>
            </w:pPr>
            <w:r>
              <w:rPr>
                <w:rFonts w:ascii="Arial" w:hAnsi="Arial"/>
                <w:b w:val="0"/>
                <w:color w:val="000000"/>
                <w:sz w:val="19"/>
              </w:rPr>
              <w:t>Authenticated business workspace with role permissions.</w:t>
            </w:r>
          </w:p>
        </w:tc>
        <w:tc>
          <w:tcPr>
            <w:tcW w:type="dxa" w:w="5184"/>
            <w:vAlign w:val="center"/>
            <w:shd w:fill="FFFFFF"/>
          </w:tcPr>
          <w:p>
            <w:pPr>
              <w:spacing w:after="0" w:before="0" w:line="245" w:lineRule="auto"/>
            </w:pPr>
            <w:r>
              <w:rPr>
                <w:rFonts w:ascii="Arial" w:hAnsi="Arial"/>
                <w:b w:val="0"/>
                <w:color w:val="000000"/>
                <w:sz w:val="19"/>
              </w:rPr>
              <w:t>Users see only permitted organizations, records and actions.</w:t>
            </w:r>
          </w:p>
        </w:tc>
      </w:tr>
      <w:tr>
        <w:trPr>
          <w:cantSplit/>
        </w:trPr>
        <w:tc>
          <w:tcPr>
            <w:tcW w:type="dxa" w:w="936"/>
            <w:vAlign w:val="center"/>
            <w:shd w:fill="F3F6F8"/>
          </w:tcPr>
          <w:p>
            <w:pPr>
              <w:spacing w:after="0" w:before="0" w:line="245" w:lineRule="auto"/>
              <w:jc w:val="center"/>
            </w:pPr>
            <w:r>
              <w:rPr>
                <w:rFonts w:ascii="Arial" w:hAnsi="Arial"/>
                <w:b w:val="0"/>
                <w:color w:val="000000"/>
                <w:sz w:val="19"/>
              </w:rPr>
              <w:t>FR02</w:t>
            </w:r>
          </w:p>
        </w:tc>
        <w:tc>
          <w:tcPr>
            <w:tcW w:type="dxa" w:w="3960"/>
            <w:vAlign w:val="center"/>
            <w:shd w:fill="F3F6F8"/>
          </w:tcPr>
          <w:p>
            <w:pPr>
              <w:spacing w:after="0" w:before="0" w:line="245" w:lineRule="auto"/>
            </w:pPr>
            <w:r>
              <w:rPr>
                <w:rFonts w:ascii="Arial" w:hAnsi="Arial"/>
                <w:b w:val="0"/>
                <w:color w:val="000000"/>
                <w:sz w:val="19"/>
              </w:rPr>
              <w:t>Import, map, validate and version sales data.</w:t>
            </w:r>
          </w:p>
        </w:tc>
        <w:tc>
          <w:tcPr>
            <w:tcW w:type="dxa" w:w="5184"/>
            <w:vAlign w:val="center"/>
            <w:shd w:fill="F3F6F8"/>
          </w:tcPr>
          <w:p>
            <w:pPr>
              <w:spacing w:after="0" w:before="0" w:line="245" w:lineRule="auto"/>
            </w:pPr>
            <w:r>
              <w:rPr>
                <w:rFonts w:ascii="Arial" w:hAnsi="Arial"/>
                <w:b w:val="0"/>
                <w:color w:val="000000"/>
                <w:sz w:val="19"/>
              </w:rPr>
              <w:t>Totals reconcile; rejected rows are explained; duplicate imports are blocked.</w:t>
            </w:r>
          </w:p>
        </w:tc>
      </w:tr>
      <w:tr>
        <w:trPr>
          <w:cantSplit/>
        </w:trPr>
        <w:tc>
          <w:tcPr>
            <w:tcW w:type="dxa" w:w="936"/>
            <w:vAlign w:val="center"/>
            <w:shd w:fill="FFFFFF"/>
          </w:tcPr>
          <w:p>
            <w:pPr>
              <w:spacing w:after="0" w:before="0" w:line="245" w:lineRule="auto"/>
              <w:jc w:val="center"/>
            </w:pPr>
            <w:r>
              <w:rPr>
                <w:rFonts w:ascii="Arial" w:hAnsi="Arial"/>
                <w:b w:val="0"/>
                <w:color w:val="000000"/>
                <w:sz w:val="19"/>
              </w:rPr>
              <w:t>FR03</w:t>
            </w:r>
          </w:p>
        </w:tc>
        <w:tc>
          <w:tcPr>
            <w:tcW w:type="dxa" w:w="3960"/>
            <w:vAlign w:val="center"/>
            <w:shd w:fill="FFFFFF"/>
          </w:tcPr>
          <w:p>
            <w:pPr>
              <w:spacing w:after="0" w:before="0" w:line="245" w:lineRule="auto"/>
            </w:pPr>
            <w:r>
              <w:rPr>
                <w:rFonts w:ascii="Arial" w:hAnsi="Arial"/>
                <w:b w:val="0"/>
                <w:color w:val="000000"/>
                <w:sz w:val="19"/>
              </w:rPr>
              <w:t>Generate demand plans and disclose uncertainty.</w:t>
            </w:r>
          </w:p>
        </w:tc>
        <w:tc>
          <w:tcPr>
            <w:tcW w:type="dxa" w:w="5184"/>
            <w:vAlign w:val="center"/>
            <w:shd w:fill="FFFFFF"/>
          </w:tcPr>
          <w:p>
            <w:pPr>
              <w:spacing w:after="0" w:before="0" w:line="245" w:lineRule="auto"/>
            </w:pPr>
            <w:r>
              <w:rPr>
                <w:rFonts w:ascii="Arial" w:hAnsi="Arial"/>
                <w:b w:val="0"/>
                <w:color w:val="000000"/>
                <w:sz w:val="19"/>
              </w:rPr>
              <w:t>A held-out evaluation and versioned forecast are available for eligible series.</w:t>
            </w:r>
          </w:p>
        </w:tc>
      </w:tr>
      <w:tr>
        <w:trPr>
          <w:cantSplit/>
        </w:trPr>
        <w:tc>
          <w:tcPr>
            <w:tcW w:type="dxa" w:w="936"/>
            <w:vAlign w:val="center"/>
            <w:shd w:fill="F3F6F8"/>
          </w:tcPr>
          <w:p>
            <w:pPr>
              <w:spacing w:after="0" w:before="0" w:line="245" w:lineRule="auto"/>
              <w:jc w:val="center"/>
            </w:pPr>
            <w:r>
              <w:rPr>
                <w:rFonts w:ascii="Arial" w:hAnsi="Arial"/>
                <w:b w:val="0"/>
                <w:color w:val="000000"/>
                <w:sz w:val="19"/>
              </w:rPr>
              <w:t>FR04</w:t>
            </w:r>
          </w:p>
        </w:tc>
        <w:tc>
          <w:tcPr>
            <w:tcW w:type="dxa" w:w="3960"/>
            <w:vAlign w:val="center"/>
            <w:shd w:fill="F3F6F8"/>
          </w:tcPr>
          <w:p>
            <w:pPr>
              <w:spacing w:after="0" w:before="0" w:line="245" w:lineRule="auto"/>
            </w:pPr>
            <w:r>
              <w:rPr>
                <w:rFonts w:ascii="Arial" w:hAnsi="Arial"/>
                <w:b w:val="0"/>
                <w:color w:val="000000"/>
                <w:sz w:val="19"/>
              </w:rPr>
              <w:t>Prepare constrained replenishment proposals.</w:t>
            </w:r>
          </w:p>
        </w:tc>
        <w:tc>
          <w:tcPr>
            <w:tcW w:type="dxa" w:w="5184"/>
            <w:vAlign w:val="center"/>
            <w:shd w:fill="F3F6F8"/>
          </w:tcPr>
          <w:p>
            <w:pPr>
              <w:spacing w:after="0" w:before="0" w:line="245" w:lineRule="auto"/>
            </w:pPr>
            <w:r>
              <w:rPr>
                <w:rFonts w:ascii="Arial" w:hAnsi="Arial"/>
                <w:b w:val="0"/>
                <w:color w:val="000000"/>
                <w:sz w:val="19"/>
              </w:rPr>
              <w:t>Quantity, cost, stock position, rationale and approval status are shown.</w:t>
            </w:r>
          </w:p>
        </w:tc>
      </w:tr>
      <w:tr>
        <w:trPr>
          <w:cantSplit/>
        </w:trPr>
        <w:tc>
          <w:tcPr>
            <w:tcW w:type="dxa" w:w="936"/>
            <w:vAlign w:val="center"/>
            <w:shd w:fill="FFFFFF"/>
          </w:tcPr>
          <w:p>
            <w:pPr>
              <w:spacing w:after="0" w:before="0" w:line="245" w:lineRule="auto"/>
              <w:jc w:val="center"/>
            </w:pPr>
            <w:r>
              <w:rPr>
                <w:rFonts w:ascii="Arial" w:hAnsi="Arial"/>
                <w:b w:val="0"/>
                <w:color w:val="000000"/>
                <w:sz w:val="19"/>
              </w:rPr>
              <w:t>FR05</w:t>
            </w:r>
          </w:p>
        </w:tc>
        <w:tc>
          <w:tcPr>
            <w:tcW w:type="dxa" w:w="3960"/>
            <w:vAlign w:val="center"/>
            <w:shd w:fill="FFFFFF"/>
          </w:tcPr>
          <w:p>
            <w:pPr>
              <w:spacing w:after="0" w:before="0" w:line="245" w:lineRule="auto"/>
            </w:pPr>
            <w:r>
              <w:rPr>
                <w:rFonts w:ascii="Arial" w:hAnsi="Arial"/>
                <w:b w:val="0"/>
                <w:color w:val="000000"/>
                <w:sz w:val="19"/>
              </w:rPr>
              <w:t>Analyze customers, baskets and retention.</w:t>
            </w:r>
          </w:p>
        </w:tc>
        <w:tc>
          <w:tcPr>
            <w:tcW w:type="dxa" w:w="5184"/>
            <w:vAlign w:val="center"/>
            <w:shd w:fill="FFFFFF"/>
          </w:tcPr>
          <w:p>
            <w:pPr>
              <w:spacing w:after="0" w:before="0" w:line="245" w:lineRule="auto"/>
            </w:pPr>
            <w:r>
              <w:rPr>
                <w:rFonts w:ascii="Arial" w:hAnsi="Arial"/>
                <w:b w:val="0"/>
                <w:color w:val="000000"/>
                <w:sz w:val="19"/>
              </w:rPr>
              <w:t>Missing identifiers disable dependent features; findings include supporting metrics.</w:t>
            </w:r>
          </w:p>
        </w:tc>
      </w:tr>
      <w:tr>
        <w:trPr>
          <w:cantSplit/>
        </w:trPr>
        <w:tc>
          <w:tcPr>
            <w:tcW w:type="dxa" w:w="936"/>
            <w:vAlign w:val="center"/>
            <w:shd w:fill="F3F6F8"/>
          </w:tcPr>
          <w:p>
            <w:pPr>
              <w:spacing w:after="0" w:before="0" w:line="245" w:lineRule="auto"/>
              <w:jc w:val="center"/>
            </w:pPr>
            <w:r>
              <w:rPr>
                <w:rFonts w:ascii="Arial" w:hAnsi="Arial"/>
                <w:b w:val="0"/>
                <w:color w:val="000000"/>
                <w:sz w:val="19"/>
              </w:rPr>
              <w:t>FR06</w:t>
            </w:r>
          </w:p>
        </w:tc>
        <w:tc>
          <w:tcPr>
            <w:tcW w:type="dxa" w:w="3960"/>
            <w:vAlign w:val="center"/>
            <w:shd w:fill="F3F6F8"/>
          </w:tcPr>
          <w:p>
            <w:pPr>
              <w:spacing w:after="0" w:before="0" w:line="245" w:lineRule="auto"/>
            </w:pPr>
            <w:r>
              <w:rPr>
                <w:rFonts w:ascii="Arial" w:hAnsi="Arial"/>
                <w:b w:val="0"/>
                <w:color w:val="000000"/>
                <w:sz w:val="19"/>
              </w:rPr>
              <w:t>Research market opportunities with evidence.</w:t>
            </w:r>
          </w:p>
        </w:tc>
        <w:tc>
          <w:tcPr>
            <w:tcW w:type="dxa" w:w="5184"/>
            <w:vAlign w:val="center"/>
            <w:shd w:fill="F3F6F8"/>
          </w:tcPr>
          <w:p>
            <w:pPr>
              <w:spacing w:after="0" w:before="0" w:line="245" w:lineRule="auto"/>
            </w:pPr>
            <w:r>
              <w:rPr>
                <w:rFonts w:ascii="Arial" w:hAnsi="Arial"/>
                <w:b w:val="0"/>
                <w:color w:val="000000"/>
                <w:sz w:val="19"/>
              </w:rPr>
              <w:t>Suggestions cite dated sources and distinguish catalog gaps from stockouts.</w:t>
            </w:r>
          </w:p>
        </w:tc>
      </w:tr>
      <w:tr>
        <w:trPr>
          <w:cantSplit/>
        </w:trPr>
        <w:tc>
          <w:tcPr>
            <w:tcW w:type="dxa" w:w="936"/>
            <w:vAlign w:val="center"/>
            <w:shd w:fill="FFFFFF"/>
          </w:tcPr>
          <w:p>
            <w:pPr>
              <w:spacing w:after="0" w:before="0" w:line="245" w:lineRule="auto"/>
              <w:jc w:val="center"/>
            </w:pPr>
            <w:r>
              <w:rPr>
                <w:rFonts w:ascii="Arial" w:hAnsi="Arial"/>
                <w:b w:val="0"/>
                <w:color w:val="000000"/>
                <w:sz w:val="19"/>
              </w:rPr>
              <w:t>FR07</w:t>
            </w:r>
          </w:p>
        </w:tc>
        <w:tc>
          <w:tcPr>
            <w:tcW w:type="dxa" w:w="3960"/>
            <w:vAlign w:val="center"/>
            <w:shd w:fill="FFFFFF"/>
          </w:tcPr>
          <w:p>
            <w:pPr>
              <w:spacing w:after="0" w:before="0" w:line="245" w:lineRule="auto"/>
            </w:pPr>
            <w:r>
              <w:rPr>
                <w:rFonts w:ascii="Arial" w:hAnsi="Arial"/>
                <w:b w:val="0"/>
                <w:color w:val="000000"/>
                <w:sz w:val="19"/>
              </w:rPr>
              <w:t>Answer business questions using tools and evidence.</w:t>
            </w:r>
          </w:p>
        </w:tc>
        <w:tc>
          <w:tcPr>
            <w:tcW w:type="dxa" w:w="5184"/>
            <w:vAlign w:val="center"/>
            <w:shd w:fill="FFFFFF"/>
          </w:tcPr>
          <w:p>
            <w:pPr>
              <w:spacing w:after="0" w:before="0" w:line="245" w:lineRule="auto"/>
            </w:pPr>
            <w:r>
              <w:rPr>
                <w:rFonts w:ascii="Arial" w:hAnsi="Arial"/>
                <w:b w:val="0"/>
                <w:color w:val="000000"/>
                <w:sz w:val="19"/>
              </w:rPr>
              <w:t>Answers identify sources; unsupported numerical claims are withheld.</w:t>
            </w:r>
          </w:p>
        </w:tc>
      </w:tr>
      <w:tr>
        <w:trPr>
          <w:cantSplit/>
        </w:trPr>
        <w:tc>
          <w:tcPr>
            <w:tcW w:type="dxa" w:w="936"/>
            <w:vAlign w:val="center"/>
            <w:shd w:fill="F3F6F8"/>
          </w:tcPr>
          <w:p>
            <w:pPr>
              <w:spacing w:after="0" w:before="0" w:line="245" w:lineRule="auto"/>
              <w:jc w:val="center"/>
            </w:pPr>
            <w:r>
              <w:rPr>
                <w:rFonts w:ascii="Arial" w:hAnsi="Arial"/>
                <w:b w:val="0"/>
                <w:color w:val="000000"/>
                <w:sz w:val="19"/>
              </w:rPr>
              <w:t>FR08</w:t>
            </w:r>
          </w:p>
        </w:tc>
        <w:tc>
          <w:tcPr>
            <w:tcW w:type="dxa" w:w="3960"/>
            <w:vAlign w:val="center"/>
            <w:shd w:fill="F3F6F8"/>
          </w:tcPr>
          <w:p>
            <w:pPr>
              <w:spacing w:after="0" w:before="0" w:line="245" w:lineRule="auto"/>
            </w:pPr>
            <w:r>
              <w:rPr>
                <w:rFonts w:ascii="Arial" w:hAnsi="Arial"/>
                <w:b w:val="0"/>
                <w:color w:val="000000"/>
                <w:sz w:val="19"/>
              </w:rPr>
              <w:t>Provide sales, finance and HR support.</w:t>
            </w:r>
          </w:p>
        </w:tc>
        <w:tc>
          <w:tcPr>
            <w:tcW w:type="dxa" w:w="5184"/>
            <w:vAlign w:val="center"/>
            <w:shd w:fill="F3F6F8"/>
          </w:tcPr>
          <w:p>
            <w:pPr>
              <w:spacing w:after="0" w:before="0" w:line="245" w:lineRule="auto"/>
            </w:pPr>
            <w:r>
              <w:rPr>
                <w:rFonts w:ascii="Arial" w:hAnsi="Arial"/>
                <w:b w:val="0"/>
                <w:color w:val="000000"/>
                <w:sz w:val="19"/>
              </w:rPr>
              <w:t>Outputs respect data eligibility, access rights and decision authority.</w:t>
            </w:r>
          </w:p>
        </w:tc>
      </w:tr>
      <w:tr>
        <w:trPr>
          <w:cantSplit/>
        </w:trPr>
        <w:tc>
          <w:tcPr>
            <w:tcW w:type="dxa" w:w="936"/>
            <w:vAlign w:val="center"/>
            <w:shd w:fill="FFFFFF"/>
          </w:tcPr>
          <w:p>
            <w:pPr>
              <w:spacing w:after="0" w:before="0" w:line="245" w:lineRule="auto"/>
              <w:jc w:val="center"/>
            </w:pPr>
            <w:r>
              <w:rPr>
                <w:rFonts w:ascii="Arial" w:hAnsi="Arial"/>
                <w:b w:val="0"/>
                <w:color w:val="000000"/>
                <w:sz w:val="19"/>
              </w:rPr>
              <w:t>FR09</w:t>
            </w:r>
          </w:p>
        </w:tc>
        <w:tc>
          <w:tcPr>
            <w:tcW w:type="dxa" w:w="3960"/>
            <w:vAlign w:val="center"/>
            <w:shd w:fill="FFFFFF"/>
          </w:tcPr>
          <w:p>
            <w:pPr>
              <w:spacing w:after="0" w:before="0" w:line="245" w:lineRule="auto"/>
            </w:pPr>
            <w:r>
              <w:rPr>
                <w:rFonts w:ascii="Arial" w:hAnsi="Arial"/>
                <w:b w:val="0"/>
                <w:color w:val="000000"/>
                <w:sz w:val="19"/>
              </w:rPr>
              <w:t>Route workflows through review and approval.</w:t>
            </w:r>
          </w:p>
        </w:tc>
        <w:tc>
          <w:tcPr>
            <w:tcW w:type="dxa" w:w="5184"/>
            <w:vAlign w:val="center"/>
            <w:shd w:fill="FFFFFF"/>
          </w:tcPr>
          <w:p>
            <w:pPr>
              <w:spacing w:after="0" w:before="0" w:line="245" w:lineRule="auto"/>
            </w:pPr>
            <w:r>
              <w:rPr>
                <w:rFonts w:ascii="Arial" w:hAnsi="Arial"/>
                <w:b w:val="0"/>
                <w:color w:val="000000"/>
                <w:sz w:val="19"/>
              </w:rPr>
              <w:t>Material changes invalidate prior approvals; decisions are auditable.</w:t>
            </w:r>
          </w:p>
        </w:tc>
      </w:tr>
      <w:tr>
        <w:trPr>
          <w:cantSplit/>
        </w:trPr>
        <w:tc>
          <w:tcPr>
            <w:tcW w:type="dxa" w:w="936"/>
            <w:vAlign w:val="center"/>
            <w:shd w:fill="F3F6F8"/>
          </w:tcPr>
          <w:p>
            <w:pPr>
              <w:spacing w:after="0" w:before="0" w:line="245" w:lineRule="auto"/>
              <w:jc w:val="center"/>
            </w:pPr>
            <w:r>
              <w:rPr>
                <w:rFonts w:ascii="Arial" w:hAnsi="Arial"/>
                <w:b w:val="0"/>
                <w:color w:val="000000"/>
                <w:sz w:val="19"/>
              </w:rPr>
              <w:t>FR10</w:t>
            </w:r>
          </w:p>
        </w:tc>
        <w:tc>
          <w:tcPr>
            <w:tcW w:type="dxa" w:w="3960"/>
            <w:vAlign w:val="center"/>
            <w:shd w:fill="F3F6F8"/>
          </w:tcPr>
          <w:p>
            <w:pPr>
              <w:spacing w:after="0" w:before="0" w:line="245" w:lineRule="auto"/>
            </w:pPr>
            <w:r>
              <w:rPr>
                <w:rFonts w:ascii="Arial" w:hAnsi="Arial"/>
                <w:b w:val="0"/>
                <w:color w:val="000000"/>
                <w:sz w:val="19"/>
              </w:rPr>
              <w:t>Deliver requested reports and exports.</w:t>
            </w:r>
          </w:p>
        </w:tc>
        <w:tc>
          <w:tcPr>
            <w:tcW w:type="dxa" w:w="5184"/>
            <w:vAlign w:val="center"/>
            <w:shd w:fill="F3F6F8"/>
          </w:tcPr>
          <w:p>
            <w:pPr>
              <w:spacing w:after="0" w:before="0" w:line="245" w:lineRule="auto"/>
            </w:pPr>
            <w:r>
              <w:rPr>
                <w:rFonts w:ascii="Arial" w:hAnsi="Arial"/>
                <w:b w:val="0"/>
                <w:color w:val="000000"/>
                <w:sz w:val="19"/>
              </w:rPr>
              <w:t>Text, tables, DOCX, PDF, XLSX and CSV reconcile to the same approved figures.</w:t>
            </w:r>
          </w:p>
        </w:tc>
      </w:tr>
      <w:tr>
        <w:trPr>
          <w:cantSplit/>
        </w:trPr>
        <w:tc>
          <w:tcPr>
            <w:tcW w:type="dxa" w:w="936"/>
            <w:vAlign w:val="center"/>
            <w:shd w:fill="FFFFFF"/>
          </w:tcPr>
          <w:p>
            <w:pPr>
              <w:spacing w:after="0" w:before="0" w:line="245" w:lineRule="auto"/>
              <w:jc w:val="center"/>
            </w:pPr>
            <w:r>
              <w:rPr>
                <w:rFonts w:ascii="Arial" w:hAnsi="Arial"/>
                <w:b w:val="0"/>
                <w:color w:val="000000"/>
                <w:sz w:val="19"/>
              </w:rPr>
              <w:t>FR11</w:t>
            </w:r>
          </w:p>
        </w:tc>
        <w:tc>
          <w:tcPr>
            <w:tcW w:type="dxa" w:w="3960"/>
            <w:vAlign w:val="center"/>
            <w:shd w:fill="FFFFFF"/>
          </w:tcPr>
          <w:p>
            <w:pPr>
              <w:spacing w:after="0" w:before="0" w:line="245" w:lineRule="auto"/>
            </w:pPr>
            <w:r>
              <w:rPr>
                <w:rFonts w:ascii="Arial" w:hAnsi="Arial"/>
                <w:b w:val="0"/>
                <w:color w:val="000000"/>
                <w:sz w:val="19"/>
              </w:rPr>
              <w:t>Run scheduled work and show outcomes.</w:t>
            </w:r>
          </w:p>
        </w:tc>
        <w:tc>
          <w:tcPr>
            <w:tcW w:type="dxa" w:w="5184"/>
            <w:vAlign w:val="center"/>
            <w:shd w:fill="FFFFFF"/>
          </w:tcPr>
          <w:p>
            <w:pPr>
              <w:spacing w:after="0" w:before="0" w:line="245" w:lineRule="auto"/>
            </w:pPr>
            <w:r>
              <w:rPr>
                <w:rFonts w:ascii="Arial" w:hAnsi="Arial"/>
                <w:b w:val="0"/>
                <w:color w:val="000000"/>
                <w:sz w:val="19"/>
              </w:rPr>
              <w:t>Retries do not duplicate actions; failures reach the responsible owner.</w:t>
            </w:r>
          </w:p>
        </w:tc>
      </w:tr>
      <w:tr>
        <w:trPr>
          <w:cantSplit/>
        </w:trPr>
        <w:tc>
          <w:tcPr>
            <w:tcW w:type="dxa" w:w="936"/>
            <w:vAlign w:val="center"/>
            <w:shd w:fill="F3F6F8"/>
          </w:tcPr>
          <w:p>
            <w:pPr>
              <w:spacing w:after="0" w:before="0" w:line="245" w:lineRule="auto"/>
              <w:jc w:val="center"/>
            </w:pPr>
            <w:r>
              <w:rPr>
                <w:rFonts w:ascii="Arial" w:hAnsi="Arial"/>
                <w:b w:val="0"/>
                <w:color w:val="000000"/>
                <w:sz w:val="19"/>
              </w:rPr>
              <w:t>FR12</w:t>
            </w:r>
          </w:p>
        </w:tc>
        <w:tc>
          <w:tcPr>
            <w:tcW w:type="dxa" w:w="3960"/>
            <w:vAlign w:val="center"/>
            <w:shd w:fill="F3F6F8"/>
          </w:tcPr>
          <w:p>
            <w:pPr>
              <w:spacing w:after="0" w:before="0" w:line="245" w:lineRule="auto"/>
            </w:pPr>
            <w:r>
              <w:rPr>
                <w:rFonts w:ascii="Arial" w:hAnsi="Arial"/>
                <w:b w:val="0"/>
                <w:color w:val="000000"/>
                <w:sz w:val="19"/>
              </w:rPr>
              <w:t>Manage records, access and retention.</w:t>
            </w:r>
          </w:p>
        </w:tc>
        <w:tc>
          <w:tcPr>
            <w:tcW w:type="dxa" w:w="5184"/>
            <w:vAlign w:val="center"/>
            <w:shd w:fill="F3F6F8"/>
          </w:tcPr>
          <w:p>
            <w:pPr>
              <w:spacing w:after="0" w:before="0" w:line="245" w:lineRule="auto"/>
            </w:pPr>
            <w:r>
              <w:rPr>
                <w:rFonts w:ascii="Arial" w:hAnsi="Arial"/>
                <w:b w:val="0"/>
                <w:color w:val="000000"/>
                <w:sz w:val="19"/>
              </w:rPr>
              <w:t>Permission changes and deletion remove access across retrieval and downloads.</w:t>
            </w:r>
          </w:p>
        </w:tc>
      </w:tr>
    </w:tbl>
    <w:p>
      <w:pPr>
        <w:spacing w:after="40" w:before="0" w:line="48" w:lineRule="auto"/>
      </w:pPr>
      <w:r>
        <w:rPr>
          <w:sz w:val="4"/>
        </w:rPr>
      </w:r>
    </w:p>
    <w:p>
      <w:pPr>
        <w:pStyle w:val="Heading2"/>
      </w:pPr>
      <w:r>
        <w:t>Business navigation</w:t>
      </w:r>
    </w:p>
    <w:p>
      <w:r>
        <w:t>Public pages are Home and About Us. The pilot workspace contains Sign In and Onboarding, Dashboard, Upload and Data Quality, Demand Forecasting, Inventory and Reordering, Business Chatbot, Reports and Downloads, Approvals, and Settings. Expansion adds Customer Insights, Market Opportunities, Sales and Pricing, Finance, HR and Operations, and scheduled Automation views.</w:t>
      </w:r>
    </w:p>
    <w:p>
      <w:r>
        <w:t>Pages show the selected store, data freshness, units, permitted actions and understandable empty/error states. The interface uses navy, teal and amber with neutral backgrounds and accessible contrast. Reports include period, generation time, sources, data/model versions, assumptions and approval status. Downloads require the same authorization as the underlying records.</w:t>
      </w:r>
    </w:p>
    <w:p>
      <w:r>
        <w:br w:type="page"/>
      </w:r>
    </w:p>
    <w:p>
      <w:pPr>
        <w:pStyle w:val="Heading1"/>
      </w:pPr>
      <w:r>
        <w:t>12 Data and analytical service requirements</w:t>
      </w:r>
    </w:p>
    <w:p>
      <w:pPr>
        <w:pStyle w:val="Heading2"/>
      </w:pPr>
      <w:r>
        <w:t>Business data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448"/>
        <w:gridCol w:w="7632"/>
      </w:tblGrid>
      <w:tr>
        <w:trPr>
          <w:cantSplit/>
          <w:tblHeader/>
        </w:trPr>
        <w:tc>
          <w:tcPr>
            <w:tcW w:type="dxa" w:w="2448"/>
            <w:vAlign w:val="center"/>
            <w:shd w:fill="17324D"/>
          </w:tcPr>
          <w:p>
            <w:pPr>
              <w:spacing w:after="0" w:before="0" w:line="245" w:lineRule="auto"/>
            </w:pPr>
            <w:r>
              <w:rPr>
                <w:rFonts w:ascii="Arial" w:hAnsi="Arial"/>
                <w:b/>
                <w:color w:val="FFFFFF"/>
                <w:sz w:val="20"/>
              </w:rPr>
              <w:t>Capability</w:t>
            </w:r>
          </w:p>
        </w:tc>
        <w:tc>
          <w:tcPr>
            <w:tcW w:type="dxa" w:w="7632"/>
            <w:vAlign w:val="center"/>
            <w:shd w:fill="17324D"/>
          </w:tcPr>
          <w:p>
            <w:pPr>
              <w:spacing w:after="0" w:before="0" w:line="245" w:lineRule="auto"/>
            </w:pPr>
            <w:r>
              <w:rPr>
                <w:rFonts w:ascii="Arial" w:hAnsi="Arial"/>
                <w:b/>
                <w:color w:val="FFFFFF"/>
                <w:sz w:val="20"/>
              </w:rPr>
              <w:t>Required business information</w:t>
            </w:r>
          </w:p>
        </w:tc>
      </w:tr>
      <w:tr>
        <w:trPr>
          <w:cantSplit/>
        </w:trPr>
        <w:tc>
          <w:tcPr>
            <w:tcW w:type="dxa" w:w="2448"/>
            <w:vAlign w:val="center"/>
            <w:shd w:fill="FFFFFF"/>
          </w:tcPr>
          <w:p>
            <w:pPr>
              <w:spacing w:after="0" w:before="0" w:line="245" w:lineRule="auto"/>
            </w:pPr>
            <w:r>
              <w:rPr>
                <w:rFonts w:ascii="Arial" w:hAnsi="Arial"/>
                <w:b w:val="0"/>
                <w:color w:val="000000"/>
                <w:sz w:val="20"/>
              </w:rPr>
              <w:t>Unit demand forecasting</w:t>
            </w:r>
          </w:p>
        </w:tc>
        <w:tc>
          <w:tcPr>
            <w:tcW w:type="dxa" w:w="7632"/>
            <w:vAlign w:val="center"/>
            <w:shd w:fill="FFFFFF"/>
          </w:tcPr>
          <w:p>
            <w:pPr>
              <w:spacing w:after="0" w:before="0" w:line="245" w:lineRule="auto"/>
            </w:pPr>
            <w:r>
              <w:rPr>
                <w:rFonts w:ascii="Arial" w:hAnsi="Arial"/>
                <w:b w:val="0"/>
                <w:color w:val="000000"/>
                <w:sz w:val="20"/>
              </w:rPr>
              <w:t>Product identifier, sales date and quantity; stock availability improves interpretation.</w:t>
            </w:r>
          </w:p>
        </w:tc>
      </w:tr>
      <w:tr>
        <w:trPr>
          <w:cantSplit/>
        </w:trPr>
        <w:tc>
          <w:tcPr>
            <w:tcW w:type="dxa" w:w="2448"/>
            <w:vAlign w:val="center"/>
            <w:shd w:fill="F3F6F8"/>
          </w:tcPr>
          <w:p>
            <w:pPr>
              <w:spacing w:after="0" w:before="0" w:line="245" w:lineRule="auto"/>
            </w:pPr>
            <w:r>
              <w:rPr>
                <w:rFonts w:ascii="Arial" w:hAnsi="Arial"/>
                <w:b w:val="0"/>
                <w:color w:val="000000"/>
                <w:sz w:val="20"/>
              </w:rPr>
              <w:t>Revenue and margin</w:t>
            </w:r>
          </w:p>
        </w:tc>
        <w:tc>
          <w:tcPr>
            <w:tcW w:type="dxa" w:w="7632"/>
            <w:vAlign w:val="center"/>
            <w:shd w:fill="F3F6F8"/>
          </w:tcPr>
          <w:p>
            <w:pPr>
              <w:spacing w:after="0" w:before="0" w:line="245" w:lineRule="auto"/>
            </w:pPr>
            <w:r>
              <w:rPr>
                <w:rFonts w:ascii="Arial" w:hAnsi="Arial"/>
                <w:b w:val="0"/>
                <w:color w:val="000000"/>
                <w:sz w:val="20"/>
              </w:rPr>
              <w:t>Price, discounts and returns; reliable unit costs are required for margin.</w:t>
            </w:r>
          </w:p>
        </w:tc>
      </w:tr>
      <w:tr>
        <w:trPr>
          <w:cantSplit/>
        </w:trPr>
        <w:tc>
          <w:tcPr>
            <w:tcW w:type="dxa" w:w="2448"/>
            <w:vAlign w:val="center"/>
            <w:shd w:fill="FFFFFF"/>
          </w:tcPr>
          <w:p>
            <w:pPr>
              <w:spacing w:after="0" w:before="0" w:line="245" w:lineRule="auto"/>
            </w:pPr>
            <w:r>
              <w:rPr>
                <w:rFonts w:ascii="Arial" w:hAnsi="Arial"/>
                <w:b w:val="0"/>
                <w:color w:val="000000"/>
                <w:sz w:val="20"/>
              </w:rPr>
              <w:t>Replenishment</w:t>
            </w:r>
          </w:p>
        </w:tc>
        <w:tc>
          <w:tcPr>
            <w:tcW w:type="dxa" w:w="7632"/>
            <w:vAlign w:val="center"/>
            <w:shd w:fill="FFFFFF"/>
          </w:tcPr>
          <w:p>
            <w:pPr>
              <w:spacing w:after="0" w:before="0" w:line="245" w:lineRule="auto"/>
            </w:pPr>
            <w:r>
              <w:rPr>
                <w:rFonts w:ascii="Arial" w:hAnsi="Arial"/>
                <w:b w:val="0"/>
                <w:color w:val="000000"/>
                <w:sz w:val="20"/>
              </w:rPr>
              <w:t>Stock movements, incoming orders, commitments, lead time, supplier rules and budget.</w:t>
            </w:r>
          </w:p>
        </w:tc>
      </w:tr>
      <w:tr>
        <w:trPr>
          <w:cantSplit/>
        </w:trPr>
        <w:tc>
          <w:tcPr>
            <w:tcW w:type="dxa" w:w="2448"/>
            <w:vAlign w:val="center"/>
            <w:shd w:fill="F3F6F8"/>
          </w:tcPr>
          <w:p>
            <w:pPr>
              <w:spacing w:after="0" w:before="0" w:line="245" w:lineRule="auto"/>
            </w:pPr>
            <w:r>
              <w:rPr>
                <w:rFonts w:ascii="Arial" w:hAnsi="Arial"/>
                <w:b w:val="0"/>
                <w:color w:val="000000"/>
                <w:sz w:val="20"/>
              </w:rPr>
              <w:t>RFM and churn</w:t>
            </w:r>
          </w:p>
        </w:tc>
        <w:tc>
          <w:tcPr>
            <w:tcW w:type="dxa" w:w="7632"/>
            <w:vAlign w:val="center"/>
            <w:shd w:fill="F3F6F8"/>
          </w:tcPr>
          <w:p>
            <w:pPr>
              <w:spacing w:after="0" w:before="0" w:line="245" w:lineRule="auto"/>
            </w:pPr>
            <w:r>
              <w:rPr>
                <w:rFonts w:ascii="Arial" w:hAnsi="Arial"/>
                <w:b w:val="0"/>
                <w:color w:val="000000"/>
                <w:sz w:val="20"/>
              </w:rPr>
              <w:t>Stable customer identifiers, dated transactions and sufficient repeat-purchase history.</w:t>
            </w:r>
          </w:p>
        </w:tc>
      </w:tr>
      <w:tr>
        <w:trPr>
          <w:cantSplit/>
        </w:trPr>
        <w:tc>
          <w:tcPr>
            <w:tcW w:type="dxa" w:w="2448"/>
            <w:vAlign w:val="center"/>
            <w:shd w:fill="FFFFFF"/>
          </w:tcPr>
          <w:p>
            <w:pPr>
              <w:spacing w:after="0" w:before="0" w:line="245" w:lineRule="auto"/>
            </w:pPr>
            <w:r>
              <w:rPr>
                <w:rFonts w:ascii="Arial" w:hAnsi="Arial"/>
                <w:b w:val="0"/>
                <w:color w:val="000000"/>
                <w:sz w:val="20"/>
              </w:rPr>
              <w:t>Market basket</w:t>
            </w:r>
          </w:p>
        </w:tc>
        <w:tc>
          <w:tcPr>
            <w:tcW w:type="dxa" w:w="7632"/>
            <w:vAlign w:val="center"/>
            <w:shd w:fill="FFFFFF"/>
          </w:tcPr>
          <w:p>
            <w:pPr>
              <w:spacing w:after="0" w:before="0" w:line="245" w:lineRule="auto"/>
            </w:pPr>
            <w:r>
              <w:rPr>
                <w:rFonts w:ascii="Arial" w:hAnsi="Arial"/>
                <w:b w:val="0"/>
                <w:color w:val="000000"/>
                <w:sz w:val="20"/>
              </w:rPr>
              <w:t>Transaction-level item groups and product identifiers.</w:t>
            </w:r>
          </w:p>
        </w:tc>
      </w:tr>
      <w:tr>
        <w:trPr>
          <w:cantSplit/>
        </w:trPr>
        <w:tc>
          <w:tcPr>
            <w:tcW w:type="dxa" w:w="2448"/>
            <w:vAlign w:val="center"/>
            <w:shd w:fill="F3F6F8"/>
          </w:tcPr>
          <w:p>
            <w:pPr>
              <w:spacing w:after="0" w:before="0" w:line="245" w:lineRule="auto"/>
            </w:pPr>
            <w:r>
              <w:rPr>
                <w:rFonts w:ascii="Arial" w:hAnsi="Arial"/>
                <w:b w:val="0"/>
                <w:color w:val="000000"/>
                <w:sz w:val="20"/>
              </w:rPr>
              <w:t>Finance and HR</w:t>
            </w:r>
          </w:p>
        </w:tc>
        <w:tc>
          <w:tcPr>
            <w:tcW w:type="dxa" w:w="7632"/>
            <w:vAlign w:val="center"/>
            <w:shd w:fill="F3F6F8"/>
          </w:tcPr>
          <w:p>
            <w:pPr>
              <w:spacing w:after="0" w:before="0" w:line="245" w:lineRule="auto"/>
            </w:pPr>
            <w:r>
              <w:rPr>
                <w:rFonts w:ascii="Arial" w:hAnsi="Arial"/>
                <w:b w:val="0"/>
                <w:color w:val="000000"/>
                <w:sz w:val="20"/>
              </w:rPr>
              <w:t>Authorized expenses/payment timing or employee availability/policy records, respectively.</w:t>
            </w:r>
          </w:p>
        </w:tc>
      </w:tr>
    </w:tbl>
    <w:p>
      <w:pPr>
        <w:spacing w:after="40" w:before="0" w:line="48" w:lineRule="auto"/>
      </w:pPr>
      <w:r>
        <w:rPr>
          <w:sz w:val="4"/>
        </w:rPr>
      </w:r>
    </w:p>
    <w:p>
      <w:pPr>
        <w:pStyle w:val="Heading2"/>
      </w:pPr>
      <w:r>
        <w:t>Analytical methods</w:t>
      </w:r>
    </w:p>
    <w:p>
      <w:r>
        <w:t>Forecasting starts with seasonal-naive and appropriate statistical baselines. ARIMA/SARIMA/SARIMAX, Prophet and exponential smoothing such as ETS or Holt-Winters are evaluated according to seasonality and available inputs. Intermittent-demand methods are considered for sparse sales. Chronos-2, available through Hugging Face, is a candidate for multivariate and covariate-informed forecasting [1]; selection depends on retail-data performance, cost and available hardware.</w:t>
      </w:r>
    </w:p>
    <w:p>
      <w:r>
        <w:t>Rolling-origin validation separates past training data from later outcomes. Evaluation records error, bias and interval coverage with safeguards for zero demand. Future variables are used only when available at prediction time. New-product quantities are scenario estimates until observed demand supports validation.</w:t>
      </w:r>
    </w:p>
    <w:p>
      <w:r>
        <w:t>EOQ balances ordering and holding costs under stated steady-demand assumptions. ROP covers expected lead-time demand plus safety stock; safety stock reflects demand and lead-time uncertainty under a documented policy. RFM, K-Means, churn models and market-basket methods support distinct customer decisions. No algorithm is treated as universally suitable.</w:t>
      </w:r>
    </w:p>
    <w:p>
      <w:pPr>
        <w:pStyle w:val="Heading2"/>
      </w:pPr>
      <w:r>
        <w:t>Supporting technology and records</w:t>
      </w:r>
    </w:p>
    <w:p>
      <w:r>
        <w:t>The proposed service uses Python and Streamlit for access to business functions, Groq for supported language-model inference [2], CrewAI for controlled agent workflows [3], PostgreSQL for business records, and FAISS plus a keyword index and reranker for retrieval. Authentication is separate from business authorization [4]. Background services handle lengthy jobs and keep their status visible.</w:t>
      </w:r>
    </w:p>
    <w:p>
      <w:r>
        <w:t>The database retains organization, user, product, supplier, sales, customer, stock, purchase, forecast, recommendation, document, approval, report and audit records. Data and model versions identify how each recommendation was produced. Raw files and protected indexes are retained under approved policies; a vector index is not the financial or inventory source of truth.</w:t>
      </w:r>
    </w:p>
    <w:p>
      <w:r>
        <w:br w:type="page"/>
      </w:r>
    </w:p>
    <w:p>
      <w:pPr>
        <w:pStyle w:val="Heading1"/>
      </w:pPr>
      <w:r>
        <w:t>13 Security privacy and governance</w:t>
      </w:r>
    </w:p>
    <w:p>
      <w:pPr>
        <w:pStyle w:val="Heading2"/>
      </w:pPr>
      <w:r>
        <w:t>Access and business authority</w:t>
      </w:r>
    </w:p>
    <w:p>
      <w:r>
        <w:t>Authentication establishes identity. Server-side authorization checks the user's organization, role and permitted record or action at every access point, including agents, background jobs and downloads. Owners delegate spending limits explicitly. Administrative system access does not automatically confer permission to view restricted HR records or approve business spending.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376"/>
        <w:gridCol w:w="7704"/>
      </w:tblGrid>
      <w:tr>
        <w:trPr>
          <w:cantSplit/>
          <w:tblHeader/>
        </w:trPr>
        <w:tc>
          <w:tcPr>
            <w:tcW w:type="dxa" w:w="2376"/>
            <w:vAlign w:val="center"/>
            <w:shd w:fill="17324D"/>
          </w:tcPr>
          <w:p>
            <w:pPr>
              <w:spacing w:after="0" w:before="0" w:line="245" w:lineRule="auto"/>
            </w:pPr>
            <w:r>
              <w:rPr>
                <w:rFonts w:ascii="Arial" w:hAnsi="Arial"/>
                <w:b/>
                <w:color w:val="FFFFFF"/>
                <w:sz w:val="20"/>
              </w:rPr>
              <w:t>Control area</w:t>
            </w:r>
          </w:p>
        </w:tc>
        <w:tc>
          <w:tcPr>
            <w:tcW w:type="dxa" w:w="7704"/>
            <w:vAlign w:val="center"/>
            <w:shd w:fill="17324D"/>
          </w:tcPr>
          <w:p>
            <w:pPr>
              <w:spacing w:after="0" w:before="0" w:line="245" w:lineRule="auto"/>
            </w:pPr>
            <w:r>
              <w:rPr>
                <w:rFonts w:ascii="Arial" w:hAnsi="Arial"/>
                <w:b/>
                <w:color w:val="FFFFFF"/>
                <w:sz w:val="20"/>
              </w:rPr>
              <w:t>Required business safeguard</w:t>
            </w:r>
          </w:p>
        </w:tc>
      </w:tr>
      <w:tr>
        <w:trPr>
          <w:cantSplit/>
        </w:trPr>
        <w:tc>
          <w:tcPr>
            <w:tcW w:type="dxa" w:w="2376"/>
            <w:vAlign w:val="center"/>
            <w:shd w:fill="FFFFFF"/>
          </w:tcPr>
          <w:p>
            <w:pPr>
              <w:spacing w:after="0" w:before="0" w:line="245" w:lineRule="auto"/>
            </w:pPr>
            <w:r>
              <w:rPr>
                <w:rFonts w:ascii="Arial" w:hAnsi="Arial"/>
                <w:b w:val="0"/>
                <w:color w:val="000000"/>
                <w:sz w:val="20"/>
              </w:rPr>
              <w:t>Identity and sessions</w:t>
            </w:r>
          </w:p>
        </w:tc>
        <w:tc>
          <w:tcPr>
            <w:tcW w:type="dxa" w:w="7704"/>
            <w:vAlign w:val="center"/>
            <w:shd w:fill="FFFFFF"/>
          </w:tcPr>
          <w:p>
            <w:pPr>
              <w:spacing w:after="0" w:before="0" w:line="245" w:lineRule="auto"/>
            </w:pPr>
            <w:r>
              <w:rPr>
                <w:rFonts w:ascii="Arial" w:hAnsi="Arial"/>
                <w:b w:val="0"/>
                <w:color w:val="000000"/>
                <w:sz w:val="20"/>
              </w:rPr>
              <w:t>Supported sign-in, session expiry/revocation and MFA where available. Removed users lose access promptly.</w:t>
            </w:r>
          </w:p>
        </w:tc>
      </w:tr>
      <w:tr>
        <w:trPr>
          <w:cantSplit/>
        </w:trPr>
        <w:tc>
          <w:tcPr>
            <w:tcW w:type="dxa" w:w="2376"/>
            <w:vAlign w:val="center"/>
            <w:shd w:fill="F3F6F8"/>
          </w:tcPr>
          <w:p>
            <w:pPr>
              <w:spacing w:after="0" w:before="0" w:line="245" w:lineRule="auto"/>
            </w:pPr>
            <w:r>
              <w:rPr>
                <w:rFonts w:ascii="Arial" w:hAnsi="Arial"/>
                <w:b w:val="0"/>
                <w:color w:val="000000"/>
                <w:sz w:val="20"/>
              </w:rPr>
              <w:t>Organization isolation</w:t>
            </w:r>
          </w:p>
        </w:tc>
        <w:tc>
          <w:tcPr>
            <w:tcW w:type="dxa" w:w="7704"/>
            <w:vAlign w:val="center"/>
            <w:shd w:fill="F3F6F8"/>
          </w:tcPr>
          <w:p>
            <w:pPr>
              <w:spacing w:after="0" w:before="0" w:line="245" w:lineRule="auto"/>
            </w:pPr>
            <w:r>
              <w:rPr>
                <w:rFonts w:ascii="Arial" w:hAnsi="Arial"/>
                <w:b w:val="0"/>
                <w:color w:val="000000"/>
                <w:sz w:val="20"/>
              </w:rPr>
              <w:t>No cross-organization data in database queries, retrieval, memory, caches, logs or exports.</w:t>
            </w:r>
          </w:p>
        </w:tc>
      </w:tr>
      <w:tr>
        <w:trPr>
          <w:cantSplit/>
        </w:trPr>
        <w:tc>
          <w:tcPr>
            <w:tcW w:type="dxa" w:w="2376"/>
            <w:vAlign w:val="center"/>
            <w:shd w:fill="FFFFFF"/>
          </w:tcPr>
          <w:p>
            <w:pPr>
              <w:spacing w:after="0" w:before="0" w:line="245" w:lineRule="auto"/>
            </w:pPr>
            <w:r>
              <w:rPr>
                <w:rFonts w:ascii="Arial" w:hAnsi="Arial"/>
                <w:b w:val="0"/>
                <w:color w:val="000000"/>
                <w:sz w:val="20"/>
              </w:rPr>
              <w:t>Data protection</w:t>
            </w:r>
          </w:p>
        </w:tc>
        <w:tc>
          <w:tcPr>
            <w:tcW w:type="dxa" w:w="7704"/>
            <w:vAlign w:val="center"/>
            <w:shd w:fill="FFFFFF"/>
          </w:tcPr>
          <w:p>
            <w:pPr>
              <w:spacing w:after="0" w:before="0" w:line="245" w:lineRule="auto"/>
            </w:pPr>
            <w:r>
              <w:rPr>
                <w:rFonts w:ascii="Arial" w:hAnsi="Arial"/>
                <w:b w:val="0"/>
                <w:color w:val="000000"/>
                <w:sz w:val="20"/>
              </w:rPr>
              <w:t>Encryption in transit and at rest; protected credentials; minimum necessary data sent to external services.</w:t>
            </w:r>
          </w:p>
        </w:tc>
      </w:tr>
      <w:tr>
        <w:trPr>
          <w:cantSplit/>
        </w:trPr>
        <w:tc>
          <w:tcPr>
            <w:tcW w:type="dxa" w:w="2376"/>
            <w:vAlign w:val="center"/>
            <w:shd w:fill="F3F6F8"/>
          </w:tcPr>
          <w:p>
            <w:pPr>
              <w:spacing w:after="0" w:before="0" w:line="245" w:lineRule="auto"/>
            </w:pPr>
            <w:r>
              <w:rPr>
                <w:rFonts w:ascii="Arial" w:hAnsi="Arial"/>
                <w:b w:val="0"/>
                <w:color w:val="000000"/>
                <w:sz w:val="20"/>
              </w:rPr>
              <w:t>Safe ingestion</w:t>
            </w:r>
          </w:p>
        </w:tc>
        <w:tc>
          <w:tcPr>
            <w:tcW w:type="dxa" w:w="7704"/>
            <w:vAlign w:val="center"/>
            <w:shd w:fill="F3F6F8"/>
          </w:tcPr>
          <w:p>
            <w:pPr>
              <w:spacing w:after="0" w:before="0" w:line="245" w:lineRule="auto"/>
            </w:pPr>
            <w:r>
              <w:rPr>
                <w:rFonts w:ascii="Arial" w:hAnsi="Arial"/>
                <w:b w:val="0"/>
                <w:color w:val="000000"/>
                <w:sz w:val="20"/>
              </w:rPr>
              <w:t>Check file types, sizes and content; isolate parsing; never execute document macros or uploaded code.</w:t>
            </w:r>
          </w:p>
        </w:tc>
      </w:tr>
      <w:tr>
        <w:trPr>
          <w:cantSplit/>
        </w:trPr>
        <w:tc>
          <w:tcPr>
            <w:tcW w:type="dxa" w:w="2376"/>
            <w:vAlign w:val="center"/>
            <w:shd w:fill="FFFFFF"/>
          </w:tcPr>
          <w:p>
            <w:pPr>
              <w:spacing w:after="0" w:before="0" w:line="245" w:lineRule="auto"/>
            </w:pPr>
            <w:r>
              <w:rPr>
                <w:rFonts w:ascii="Arial" w:hAnsi="Arial"/>
                <w:b w:val="0"/>
                <w:color w:val="000000"/>
                <w:sz w:val="20"/>
              </w:rPr>
              <w:t>Safe agent tools</w:t>
            </w:r>
          </w:p>
        </w:tc>
        <w:tc>
          <w:tcPr>
            <w:tcW w:type="dxa" w:w="7704"/>
            <w:vAlign w:val="center"/>
            <w:shd w:fill="FFFFFF"/>
          </w:tcPr>
          <w:p>
            <w:pPr>
              <w:spacing w:after="0" w:before="0" w:line="245" w:lineRule="auto"/>
            </w:pPr>
            <w:r>
              <w:rPr>
                <w:rFonts w:ascii="Arial" w:hAnsi="Arial"/>
                <w:b w:val="0"/>
                <w:color w:val="000000"/>
                <w:sz w:val="20"/>
              </w:rPr>
              <w:t>Allowlisted tools and validated inputs; no arbitrary generated shell, Python or database commands.</w:t>
            </w:r>
          </w:p>
        </w:tc>
      </w:tr>
      <w:tr>
        <w:trPr>
          <w:cantSplit/>
        </w:trPr>
        <w:tc>
          <w:tcPr>
            <w:tcW w:type="dxa" w:w="2376"/>
            <w:vAlign w:val="center"/>
            <w:shd w:fill="F3F6F8"/>
          </w:tcPr>
          <w:p>
            <w:pPr>
              <w:spacing w:after="0" w:before="0" w:line="245" w:lineRule="auto"/>
            </w:pPr>
            <w:r>
              <w:rPr>
                <w:rFonts w:ascii="Arial" w:hAnsi="Arial"/>
                <w:b w:val="0"/>
                <w:color w:val="000000"/>
                <w:sz w:val="20"/>
              </w:rPr>
              <w:t>Web and document evidence</w:t>
            </w:r>
          </w:p>
        </w:tc>
        <w:tc>
          <w:tcPr>
            <w:tcW w:type="dxa" w:w="7704"/>
            <w:vAlign w:val="center"/>
            <w:shd w:fill="F3F6F8"/>
          </w:tcPr>
          <w:p>
            <w:pPr>
              <w:spacing w:after="0" w:before="0" w:line="245" w:lineRule="auto"/>
            </w:pPr>
            <w:r>
              <w:rPr>
                <w:rFonts w:ascii="Arial" w:hAnsi="Arial"/>
                <w:b w:val="0"/>
                <w:color w:val="000000"/>
                <w:sz w:val="20"/>
              </w:rPr>
              <w:t>Treat content as untrusted; ignore embedded instructions; restrict fetched URLs and prevent private-network access.</w:t>
            </w:r>
          </w:p>
        </w:tc>
      </w:tr>
      <w:tr>
        <w:trPr>
          <w:cantSplit/>
        </w:trPr>
        <w:tc>
          <w:tcPr>
            <w:tcW w:type="dxa" w:w="2376"/>
            <w:vAlign w:val="center"/>
            <w:shd w:fill="FFFFFF"/>
          </w:tcPr>
          <w:p>
            <w:pPr>
              <w:spacing w:after="0" w:before="0" w:line="245" w:lineRule="auto"/>
            </w:pPr>
            <w:r>
              <w:rPr>
                <w:rFonts w:ascii="Arial" w:hAnsi="Arial"/>
                <w:b w:val="0"/>
                <w:color w:val="000000"/>
                <w:sz w:val="20"/>
              </w:rPr>
              <w:t>Audit and approval</w:t>
            </w:r>
          </w:p>
        </w:tc>
        <w:tc>
          <w:tcPr>
            <w:tcW w:type="dxa" w:w="7704"/>
            <w:vAlign w:val="center"/>
            <w:shd w:fill="FFFFFF"/>
          </w:tcPr>
          <w:p>
            <w:pPr>
              <w:spacing w:after="0" w:before="0" w:line="245" w:lineRule="auto"/>
            </w:pPr>
            <w:r>
              <w:rPr>
                <w:rFonts w:ascii="Arial" w:hAnsi="Arial"/>
                <w:b w:val="0"/>
                <w:color w:val="000000"/>
                <w:sz w:val="20"/>
              </w:rPr>
              <w:t>Retain actor, record version, rationale, approval and execution outcome for material actions.</w:t>
            </w:r>
          </w:p>
        </w:tc>
      </w:tr>
      <w:tr>
        <w:trPr>
          <w:cantSplit/>
        </w:trPr>
        <w:tc>
          <w:tcPr>
            <w:tcW w:type="dxa" w:w="2376"/>
            <w:vAlign w:val="center"/>
            <w:shd w:fill="F3F6F8"/>
          </w:tcPr>
          <w:p>
            <w:pPr>
              <w:spacing w:after="0" w:before="0" w:line="245" w:lineRule="auto"/>
            </w:pPr>
            <w:r>
              <w:rPr>
                <w:rFonts w:ascii="Arial" w:hAnsi="Arial"/>
                <w:b w:val="0"/>
                <w:color w:val="000000"/>
                <w:sz w:val="20"/>
              </w:rPr>
              <w:t>Retention and recovery</w:t>
            </w:r>
          </w:p>
        </w:tc>
        <w:tc>
          <w:tcPr>
            <w:tcW w:type="dxa" w:w="7704"/>
            <w:vAlign w:val="center"/>
            <w:shd w:fill="F3F6F8"/>
          </w:tcPr>
          <w:p>
            <w:pPr>
              <w:spacing w:after="0" w:before="0" w:line="245" w:lineRule="auto"/>
            </w:pPr>
            <w:r>
              <w:rPr>
                <w:rFonts w:ascii="Arial" w:hAnsi="Arial"/>
                <w:b w:val="0"/>
                <w:color w:val="000000"/>
                <w:sz w:val="20"/>
              </w:rPr>
              <w:t>Apply approved retention, controlled deletion, protected backups and a demonstrated restore process.</w:t>
            </w:r>
          </w:p>
        </w:tc>
      </w:tr>
    </w:tbl>
    <w:p>
      <w:pPr>
        <w:spacing w:after="40" w:before="0" w:line="48" w:lineRule="auto"/>
      </w:pPr>
      <w:r>
        <w:rPr>
          <w:sz w:val="4"/>
        </w:rPr>
      </w:r>
    </w:p>
    <w:p>
      <w:pPr>
        <w:pStyle w:val="Heading2"/>
      </w:pPr>
      <w:r>
        <w:t>Privacy lifecycle</w:t>
      </w:r>
    </w:p>
    <w:p>
      <w:r>
        <w:t>The owner approves collection purposes, access and retention before a pilot begins. Personal identifiers are minimized in analysis and redacted where practical. Public search does not receive confidential store, customer or employee content. Any transfer to an LLM provider follows the organization's configured policy and reviewed provider terms. Data deletion propagates to active records, files, indexes and downloads; backup copies age out under the approved recovery policy.</w:t>
      </w:r>
    </w:p>
    <w:p>
      <w:pPr>
        <w:pStyle w:val="Heading2"/>
      </w:pPr>
      <w:r>
        <w:t>Governance and exception handling</w:t>
      </w:r>
    </w:p>
    <w:p>
      <w:r>
        <w:t>Model, prompt, workflow and access-policy changes are versioned and reviewed. An incident can suspend integrations or automated actions while preserving evidence for investigation. The service identifies applicable jurisdiction-dependent obligations for owner review and makes no unsupported compliance claim. An authorized reviewer decides whether unresolved data or model limitations allow qualified use or require the affected feature to remain blocked.</w:t>
      </w:r>
    </w:p>
    <w:p>
      <w:r>
        <w:br w:type="page"/>
      </w:r>
    </w:p>
    <w:p>
      <w:pPr>
        <w:pStyle w:val="Heading1"/>
      </w:pPr>
      <w:r>
        <w:t>14 Success measures and acceptance criteria</w:t>
      </w:r>
    </w:p>
    <w:p>
      <w:r>
        <w:t>The following targets are proposed pilot gates. They must be confirmed with the owner against an agreed workload, representative data and baseline period. Business improvement targets are objectives; measured results will be reported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728"/>
        <w:gridCol w:w="8352"/>
      </w:tblGrid>
      <w:tr>
        <w:trPr>
          <w:cantSplit/>
          <w:tblHeader/>
        </w:trPr>
        <w:tc>
          <w:tcPr>
            <w:tcW w:type="dxa" w:w="1728"/>
            <w:vAlign w:val="center"/>
            <w:shd w:fill="17324D"/>
          </w:tcPr>
          <w:p>
            <w:pPr>
              <w:spacing w:after="0" w:before="0" w:line="245" w:lineRule="auto"/>
            </w:pPr>
            <w:r>
              <w:rPr>
                <w:rFonts w:ascii="Arial" w:hAnsi="Arial"/>
                <w:b/>
                <w:color w:val="FFFFFF"/>
                <w:sz w:val="20"/>
              </w:rPr>
              <w:t>Dimension</w:t>
            </w:r>
          </w:p>
        </w:tc>
        <w:tc>
          <w:tcPr>
            <w:tcW w:type="dxa" w:w="8352"/>
            <w:vAlign w:val="center"/>
            <w:shd w:fill="17324D"/>
          </w:tcPr>
          <w:p>
            <w:pPr>
              <w:spacing w:after="0" w:before="0" w:line="245" w:lineRule="auto"/>
            </w:pPr>
            <w:r>
              <w:rPr>
                <w:rFonts w:ascii="Arial" w:hAnsi="Arial"/>
                <w:b/>
                <w:color w:val="FFFFFF"/>
                <w:sz w:val="20"/>
              </w:rPr>
              <w:t>Measure and proposed acceptance gate</w:t>
            </w:r>
          </w:p>
        </w:tc>
      </w:tr>
      <w:tr>
        <w:trPr>
          <w:cantSplit/>
        </w:trPr>
        <w:tc>
          <w:tcPr>
            <w:tcW w:type="dxa" w:w="1728"/>
            <w:vAlign w:val="center"/>
            <w:shd w:fill="FFFFFF"/>
          </w:tcPr>
          <w:p>
            <w:pPr>
              <w:spacing w:after="0" w:before="0" w:line="245" w:lineRule="auto"/>
            </w:pPr>
            <w:r>
              <w:rPr>
                <w:rFonts w:ascii="Arial" w:hAnsi="Arial"/>
                <w:b w:val="0"/>
                <w:color w:val="000000"/>
                <w:sz w:val="20"/>
              </w:rPr>
              <w:t>Evidence</w:t>
            </w:r>
          </w:p>
        </w:tc>
        <w:tc>
          <w:tcPr>
            <w:tcW w:type="dxa" w:w="8352"/>
            <w:vAlign w:val="center"/>
            <w:shd w:fill="FFFFFF"/>
          </w:tcPr>
          <w:p>
            <w:pPr>
              <w:spacing w:after="0" w:before="0" w:line="245" w:lineRule="auto"/>
            </w:pPr>
            <w:r>
              <w:rPr>
                <w:rFonts w:ascii="Arial" w:hAnsi="Arial"/>
                <w:b w:val="0"/>
                <w:color w:val="000000"/>
                <w:sz w:val="20"/>
              </w:rPr>
              <w:t>Every material recommendation identifies its dataset/tool run or source. In the held-out answer set, at least 95 percent of factual claims are supported by the cited evidence.</w:t>
            </w:r>
          </w:p>
        </w:tc>
      </w:tr>
      <w:tr>
        <w:trPr>
          <w:cantSplit/>
        </w:trPr>
        <w:tc>
          <w:tcPr>
            <w:tcW w:type="dxa" w:w="1728"/>
            <w:vAlign w:val="center"/>
            <w:shd w:fill="F3F6F8"/>
          </w:tcPr>
          <w:p>
            <w:pPr>
              <w:spacing w:after="0" w:before="0" w:line="245" w:lineRule="auto"/>
            </w:pPr>
            <w:r>
              <w:rPr>
                <w:rFonts w:ascii="Arial" w:hAnsi="Arial"/>
                <w:b w:val="0"/>
                <w:color w:val="000000"/>
                <w:sz w:val="20"/>
              </w:rPr>
              <w:t>Accuracy</w:t>
            </w:r>
          </w:p>
        </w:tc>
        <w:tc>
          <w:tcPr>
            <w:tcW w:type="dxa" w:w="8352"/>
            <w:vAlign w:val="center"/>
            <w:shd w:fill="F3F6F8"/>
          </w:tcPr>
          <w:p>
            <w:pPr>
              <w:spacing w:after="0" w:before="0" w:line="245" w:lineRule="auto"/>
            </w:pPr>
            <w:r>
              <w:rPr>
                <w:rFonts w:ascii="Arial" w:hAnsi="Arial"/>
                <w:b w:val="0"/>
                <w:color w:val="000000"/>
                <w:sz w:val="20"/>
              </w:rPr>
              <w:t>Calculation fixtures reconcile exactly within defined currency/unit rounding. An advanced forecast model is adopted only if it meets the agreed baseline and segment checks on held-out periods.</w:t>
            </w:r>
          </w:p>
        </w:tc>
      </w:tr>
      <w:tr>
        <w:trPr>
          <w:cantSplit/>
        </w:trPr>
        <w:tc>
          <w:tcPr>
            <w:tcW w:type="dxa" w:w="1728"/>
            <w:vAlign w:val="center"/>
            <w:shd w:fill="FFFFFF"/>
          </w:tcPr>
          <w:p>
            <w:pPr>
              <w:spacing w:after="0" w:before="0" w:line="245" w:lineRule="auto"/>
            </w:pPr>
            <w:r>
              <w:rPr>
                <w:rFonts w:ascii="Arial" w:hAnsi="Arial"/>
                <w:b w:val="0"/>
                <w:color w:val="000000"/>
                <w:sz w:val="20"/>
              </w:rPr>
              <w:t>Completeness</w:t>
            </w:r>
          </w:p>
        </w:tc>
        <w:tc>
          <w:tcPr>
            <w:tcW w:type="dxa" w:w="8352"/>
            <w:vAlign w:val="center"/>
            <w:shd w:fill="FFFFFF"/>
          </w:tcPr>
          <w:p>
            <w:pPr>
              <w:spacing w:after="0" w:before="0" w:line="245" w:lineRule="auto"/>
            </w:pPr>
            <w:r>
              <w:rPr>
                <w:rFonts w:ascii="Arial" w:hAnsi="Arial"/>
                <w:b w:val="0"/>
                <w:color w:val="000000"/>
                <w:sz w:val="20"/>
              </w:rPr>
              <w:t>All critical business journeys pass their acceptance cases; every missing required input produces an explicit limitation or block.</w:t>
            </w:r>
          </w:p>
        </w:tc>
      </w:tr>
      <w:tr>
        <w:trPr>
          <w:cantSplit/>
        </w:trPr>
        <w:tc>
          <w:tcPr>
            <w:tcW w:type="dxa" w:w="1728"/>
            <w:vAlign w:val="center"/>
            <w:shd w:fill="F3F6F8"/>
          </w:tcPr>
          <w:p>
            <w:pPr>
              <w:spacing w:after="0" w:before="0" w:line="245" w:lineRule="auto"/>
            </w:pPr>
            <w:r>
              <w:rPr>
                <w:rFonts w:ascii="Arial" w:hAnsi="Arial"/>
                <w:b w:val="0"/>
                <w:color w:val="000000"/>
                <w:sz w:val="20"/>
              </w:rPr>
              <w:t>Quality</w:t>
            </w:r>
          </w:p>
        </w:tc>
        <w:tc>
          <w:tcPr>
            <w:tcW w:type="dxa" w:w="8352"/>
            <w:vAlign w:val="center"/>
            <w:shd w:fill="F3F6F8"/>
          </w:tcPr>
          <w:p>
            <w:pPr>
              <w:spacing w:after="0" w:before="0" w:line="245" w:lineRule="auto"/>
            </w:pPr>
            <w:r>
              <w:rPr>
                <w:rFonts w:ascii="Arial" w:hAnsi="Arial"/>
                <w:b w:val="0"/>
                <w:color w:val="000000"/>
                <w:sz w:val="20"/>
              </w:rPr>
              <w:t>At least 80 percent of pilot tasks are completed by representative users without assistance; exported reports have readable tables and consistent figures.</w:t>
            </w:r>
          </w:p>
        </w:tc>
      </w:tr>
      <w:tr>
        <w:trPr>
          <w:cantSplit/>
        </w:trPr>
        <w:tc>
          <w:tcPr>
            <w:tcW w:type="dxa" w:w="1728"/>
            <w:vAlign w:val="center"/>
            <w:shd w:fill="FFFFFF"/>
          </w:tcPr>
          <w:p>
            <w:pPr>
              <w:spacing w:after="0" w:before="0" w:line="245" w:lineRule="auto"/>
            </w:pPr>
            <w:r>
              <w:rPr>
                <w:rFonts w:ascii="Arial" w:hAnsi="Arial"/>
                <w:b w:val="0"/>
                <w:color w:val="000000"/>
                <w:sz w:val="20"/>
              </w:rPr>
              <w:t>Efficiency</w:t>
            </w:r>
          </w:p>
        </w:tc>
        <w:tc>
          <w:tcPr>
            <w:tcW w:type="dxa" w:w="8352"/>
            <w:vAlign w:val="center"/>
            <w:shd w:fill="FFFFFF"/>
          </w:tcPr>
          <w:p>
            <w:pPr>
              <w:spacing w:after="0" w:before="0" w:line="245" w:lineRule="auto"/>
            </w:pPr>
            <w:r>
              <w:rPr>
                <w:rFonts w:ascii="Arial" w:hAnsi="Arial"/>
                <w:b w:val="0"/>
                <w:color w:val="000000"/>
                <w:sz w:val="20"/>
              </w:rPr>
              <w:t>For an agreed pilot load of 5 concurrent users, target 95th-percentile simple chat response within 15 seconds. Long jobs acknowledge within 3 seconds and show persisted progress.</w:t>
            </w:r>
          </w:p>
        </w:tc>
      </w:tr>
      <w:tr>
        <w:trPr>
          <w:cantSplit/>
        </w:trPr>
        <w:tc>
          <w:tcPr>
            <w:tcW w:type="dxa" w:w="1728"/>
            <w:vAlign w:val="center"/>
            <w:shd w:fill="F3F6F8"/>
          </w:tcPr>
          <w:p>
            <w:pPr>
              <w:spacing w:after="0" w:before="0" w:line="245" w:lineRule="auto"/>
            </w:pPr>
            <w:r>
              <w:rPr>
                <w:rFonts w:ascii="Arial" w:hAnsi="Arial"/>
                <w:b w:val="0"/>
                <w:color w:val="000000"/>
                <w:sz w:val="20"/>
              </w:rPr>
              <w:t>Security and recovery</w:t>
            </w:r>
          </w:p>
        </w:tc>
        <w:tc>
          <w:tcPr>
            <w:tcW w:type="dxa" w:w="8352"/>
            <w:vAlign w:val="center"/>
            <w:shd w:fill="F3F6F8"/>
          </w:tcPr>
          <w:p>
            <w:pPr>
              <w:spacing w:after="0" w:before="0" w:line="245" w:lineRule="auto"/>
            </w:pPr>
            <w:r>
              <w:rPr>
                <w:rFonts w:ascii="Arial" w:hAnsi="Arial"/>
                <w:b w:val="0"/>
                <w:color w:val="000000"/>
                <w:sz w:val="20"/>
              </w:rPr>
              <w:t>Zero cross-organization disclosures or unauthorized consequential actions in release tests. Proposed recovery objectives are 24 hours of data loss and 8 hours to restore, demonstrated before wider rollout.</w:t>
            </w:r>
          </w:p>
        </w:tc>
      </w:tr>
    </w:tbl>
    <w:p>
      <w:pPr>
        <w:spacing w:after="40" w:before="0" w:line="48" w:lineRule="auto"/>
      </w:pPr>
      <w:r>
        <w:rPr>
          <w:sz w:val="4"/>
        </w:rPr>
      </w:r>
    </w:p>
    <w:p>
      <w:pPr>
        <w:pStyle w:val="Heading2"/>
      </w:pPr>
      <w:r>
        <w:t>Business outcome measurement</w:t>
      </w:r>
    </w:p>
    <w:p>
      <w:r>
        <w:t>The pilot records an initial four-week baseline and then evaluates an eight-week operating period, subject to sufficient history and comparable trading conditions. Inventory availability, expiry losses, margin and time spent on planning are reviewed weekly. Changes in promotions, assortment, seasonality and store closures are recorded so improvements are not attributed to the product without supporting evidence.</w:t>
      </w:r>
    </w:p>
    <w:p>
      <w:pPr>
        <w:pStyle w:val="ListBullet"/>
      </w:pPr>
      <w:r>
        <w:t>Availability: track stockout product-days divided by tracked product-days; target a 10 percent relative reduction where availability data is reliable.</w:t>
      </w:r>
    </w:p>
    <w:p>
      <w:pPr>
        <w:pStyle w:val="ListBullet"/>
      </w:pPr>
      <w:r>
        <w:t>Inventory loss: track expiry and write-off cost as a share of inventory handled; set category targets after baseline review.</w:t>
      </w:r>
    </w:p>
    <w:p>
      <w:pPr>
        <w:pStyle w:val="ListBullet"/>
      </w:pPr>
      <w:r>
        <w:t>Margin guardrail: review gross margin and inventory investment together so lower stockouts do not hide unaffordable buying.</w:t>
      </w:r>
    </w:p>
    <w:p>
      <w:pPr>
        <w:pStyle w:val="ListBullet"/>
      </w:pPr>
      <w:r>
        <w:t>Staff time: target a 20 percent reduction in weekly report and replenishment preparation time using comparable tasks.</w:t>
      </w:r>
    </w:p>
    <w:p>
      <w:pPr>
        <w:pStyle w:val="Heading2"/>
      </w:pPr>
      <w:r>
        <w:t>Release decision</w:t>
      </w:r>
    </w:p>
    <w:p>
      <w:r>
        <w:t>The owner and process leads review accepted imports, forecasting evidence, replenishment calculations, citations, failed-case handling, permissions, approvals and export consistency. Security and data-isolation failures block release regardless of business benefit. Inadequate analytics remain disabled or explicitly limited until their evidence and data requirements are met.</w:t>
      </w:r>
    </w:p>
    <w:p>
      <w:r>
        <w:br w:type="page"/>
      </w:r>
    </w:p>
    <w:p>
      <w:pPr>
        <w:pStyle w:val="Heading1"/>
      </w:pPr>
      <w:r>
        <w:t>15 Rollout risks and business approval</w:t>
      </w:r>
    </w:p>
    <w:p>
      <w:pPr>
        <w:pStyle w:val="Heading2"/>
      </w:pPr>
      <w:r>
        <w:t>Phased adoption</w:t>
      </w:r>
    </w:p>
    <w:p>
      <w:r>
        <w:t>Phase 1 establishes the business data contract, role permissions and a single-store pilot. The first complete journey is sign in, accept sales data, forecast eligible products, prepare replenishment, explain the result and export a reviewed report. Security, isolation and approval controls are included from the start.</w:t>
      </w:r>
    </w:p>
    <w:p>
      <w:r>
        <w:t>Phase 2 adds eligible customer analytics, market research, finance summaries and scheduled processes after the pilot demonstrates reliable inputs and traceable decisions. Phase 3 considers pricing experiments, HR support and further integrations. Progress depends on acceptance evidence and process-owner readiness rather than a fixed claim of development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168"/>
        <w:gridCol w:w="6912"/>
      </w:tblGrid>
      <w:tr>
        <w:trPr>
          <w:cantSplit/>
          <w:tblHeader/>
        </w:trPr>
        <w:tc>
          <w:tcPr>
            <w:tcW w:type="dxa" w:w="3168"/>
            <w:vAlign w:val="center"/>
            <w:shd w:fill="17324D"/>
          </w:tcPr>
          <w:p>
            <w:pPr>
              <w:spacing w:after="0" w:before="0" w:line="245" w:lineRule="auto"/>
            </w:pPr>
            <w:r>
              <w:rPr>
                <w:rFonts w:ascii="Arial" w:hAnsi="Arial"/>
                <w:b/>
                <w:color w:val="FFFFFF"/>
                <w:sz w:val="20"/>
              </w:rPr>
              <w:t>Business risk</w:t>
            </w:r>
          </w:p>
        </w:tc>
        <w:tc>
          <w:tcPr>
            <w:tcW w:type="dxa" w:w="6912"/>
            <w:vAlign w:val="center"/>
            <w:shd w:fill="17324D"/>
          </w:tcPr>
          <w:p>
            <w:pPr>
              <w:spacing w:after="0" w:before="0" w:line="245" w:lineRule="auto"/>
            </w:pPr>
            <w:r>
              <w:rPr>
                <w:rFonts w:ascii="Arial" w:hAnsi="Arial"/>
                <w:b/>
                <w:color w:val="FFFFFF"/>
                <w:sz w:val="20"/>
              </w:rPr>
              <w:t>Response and accountable owner</w:t>
            </w:r>
          </w:p>
        </w:tc>
      </w:tr>
      <w:tr>
        <w:trPr>
          <w:cantSplit/>
        </w:trPr>
        <w:tc>
          <w:tcPr>
            <w:tcW w:type="dxa" w:w="3168"/>
            <w:vAlign w:val="center"/>
            <w:shd w:fill="FFFFFF"/>
          </w:tcPr>
          <w:p>
            <w:pPr>
              <w:spacing w:after="0" w:before="0" w:line="245" w:lineRule="auto"/>
            </w:pPr>
            <w:r>
              <w:rPr>
                <w:rFonts w:ascii="Arial" w:hAnsi="Arial"/>
                <w:b w:val="0"/>
                <w:color w:val="000000"/>
                <w:sz w:val="20"/>
              </w:rPr>
              <w:t>Incomplete or incorrect records</w:t>
            </w:r>
          </w:p>
        </w:tc>
        <w:tc>
          <w:tcPr>
            <w:tcW w:type="dxa" w:w="6912"/>
            <w:vAlign w:val="center"/>
            <w:shd w:fill="FFFFFF"/>
          </w:tcPr>
          <w:p>
            <w:pPr>
              <w:spacing w:after="0" w:before="0" w:line="245" w:lineRule="auto"/>
            </w:pPr>
            <w:r>
              <w:rPr>
                <w:rFonts w:ascii="Arial" w:hAnsi="Arial"/>
                <w:b w:val="0"/>
                <w:color w:val="000000"/>
                <w:sz w:val="20"/>
              </w:rPr>
              <w:t>Data owner resolves validation exceptions; unsupported features remain unavailable.</w:t>
            </w:r>
          </w:p>
        </w:tc>
      </w:tr>
      <w:tr>
        <w:trPr>
          <w:cantSplit/>
        </w:trPr>
        <w:tc>
          <w:tcPr>
            <w:tcW w:type="dxa" w:w="3168"/>
            <w:vAlign w:val="center"/>
            <w:shd w:fill="F3F6F8"/>
          </w:tcPr>
          <w:p>
            <w:pPr>
              <w:spacing w:after="0" w:before="0" w:line="245" w:lineRule="auto"/>
            </w:pPr>
            <w:r>
              <w:rPr>
                <w:rFonts w:ascii="Arial" w:hAnsi="Arial"/>
                <w:b w:val="0"/>
                <w:color w:val="000000"/>
                <w:sz w:val="20"/>
              </w:rPr>
              <w:t>Forecasts fail during demand changes</w:t>
            </w:r>
          </w:p>
        </w:tc>
        <w:tc>
          <w:tcPr>
            <w:tcW w:type="dxa" w:w="6912"/>
            <w:vAlign w:val="center"/>
            <w:shd w:fill="F3F6F8"/>
          </w:tcPr>
          <w:p>
            <w:pPr>
              <w:spacing w:after="0" w:before="0" w:line="245" w:lineRule="auto"/>
            </w:pPr>
            <w:r>
              <w:rPr>
                <w:rFonts w:ascii="Arial" w:hAnsi="Arial"/>
                <w:b w:val="0"/>
                <w:color w:val="000000"/>
                <w:sz w:val="20"/>
              </w:rPr>
              <w:t>Manager reviews drift, exceptions and baseline fallbacks; buying remains constrained.</w:t>
            </w:r>
          </w:p>
        </w:tc>
      </w:tr>
      <w:tr>
        <w:trPr>
          <w:cantSplit/>
        </w:trPr>
        <w:tc>
          <w:tcPr>
            <w:tcW w:type="dxa" w:w="3168"/>
            <w:vAlign w:val="center"/>
            <w:shd w:fill="FFFFFF"/>
          </w:tcPr>
          <w:p>
            <w:pPr>
              <w:spacing w:after="0" w:before="0" w:line="245" w:lineRule="auto"/>
            </w:pPr>
            <w:r>
              <w:rPr>
                <w:rFonts w:ascii="Arial" w:hAnsi="Arial"/>
                <w:b w:val="0"/>
                <w:color w:val="000000"/>
                <w:sz w:val="20"/>
              </w:rPr>
              <w:t>Market claims lead to unsuitable stock</w:t>
            </w:r>
          </w:p>
        </w:tc>
        <w:tc>
          <w:tcPr>
            <w:tcW w:type="dxa" w:w="6912"/>
            <w:vAlign w:val="center"/>
            <w:shd w:fill="FFFFFF"/>
          </w:tcPr>
          <w:p>
            <w:pPr>
              <w:spacing w:after="0" w:before="0" w:line="245" w:lineRule="auto"/>
            </w:pPr>
            <w:r>
              <w:rPr>
                <w:rFonts w:ascii="Arial" w:hAnsi="Arial"/>
                <w:b w:val="0"/>
                <w:color w:val="000000"/>
                <w:sz w:val="20"/>
              </w:rPr>
              <w:t>Store manager verifies evidence and uses limited pilots with review dates.</w:t>
            </w:r>
          </w:p>
        </w:tc>
      </w:tr>
      <w:tr>
        <w:trPr>
          <w:cantSplit/>
        </w:trPr>
        <w:tc>
          <w:tcPr>
            <w:tcW w:type="dxa" w:w="3168"/>
            <w:vAlign w:val="center"/>
            <w:shd w:fill="F3F6F8"/>
          </w:tcPr>
          <w:p>
            <w:pPr>
              <w:spacing w:after="0" w:before="0" w:line="245" w:lineRule="auto"/>
            </w:pPr>
            <w:r>
              <w:rPr>
                <w:rFonts w:ascii="Arial" w:hAnsi="Arial"/>
                <w:b w:val="0"/>
                <w:color w:val="000000"/>
                <w:sz w:val="20"/>
              </w:rPr>
              <w:t>Cash tied up in recommendations</w:t>
            </w:r>
          </w:p>
        </w:tc>
        <w:tc>
          <w:tcPr>
            <w:tcW w:type="dxa" w:w="6912"/>
            <w:vAlign w:val="center"/>
            <w:shd w:fill="F3F6F8"/>
          </w:tcPr>
          <w:p>
            <w:pPr>
              <w:spacing w:after="0" w:before="0" w:line="245" w:lineRule="auto"/>
            </w:pPr>
            <w:r>
              <w:rPr>
                <w:rFonts w:ascii="Arial" w:hAnsi="Arial"/>
                <w:b w:val="0"/>
                <w:color w:val="000000"/>
                <w:sz w:val="20"/>
              </w:rPr>
              <w:t>Finance officer applies budget and affordability controls before purchase approval.</w:t>
            </w:r>
          </w:p>
        </w:tc>
      </w:tr>
      <w:tr>
        <w:trPr>
          <w:cantSplit/>
        </w:trPr>
        <w:tc>
          <w:tcPr>
            <w:tcW w:type="dxa" w:w="3168"/>
            <w:vAlign w:val="center"/>
            <w:shd w:fill="FFFFFF"/>
          </w:tcPr>
          <w:p>
            <w:pPr>
              <w:spacing w:after="0" w:before="0" w:line="245" w:lineRule="auto"/>
            </w:pPr>
            <w:r>
              <w:rPr>
                <w:rFonts w:ascii="Arial" w:hAnsi="Arial"/>
                <w:b w:val="0"/>
                <w:color w:val="000000"/>
                <w:sz w:val="20"/>
              </w:rPr>
              <w:t>Private information is exposed</w:t>
            </w:r>
          </w:p>
        </w:tc>
        <w:tc>
          <w:tcPr>
            <w:tcW w:type="dxa" w:w="6912"/>
            <w:vAlign w:val="center"/>
            <w:shd w:fill="FFFFFF"/>
          </w:tcPr>
          <w:p>
            <w:pPr>
              <w:spacing w:after="0" w:before="0" w:line="245" w:lineRule="auto"/>
            </w:pPr>
            <w:r>
              <w:rPr>
                <w:rFonts w:ascii="Arial" w:hAnsi="Arial"/>
                <w:b w:val="0"/>
                <w:color w:val="000000"/>
                <w:sz w:val="20"/>
              </w:rPr>
              <w:t>Administrator and owner enforce isolation, minimize data and execute the incident process.</w:t>
            </w:r>
          </w:p>
        </w:tc>
      </w:tr>
      <w:tr>
        <w:trPr>
          <w:cantSplit/>
        </w:trPr>
        <w:tc>
          <w:tcPr>
            <w:tcW w:type="dxa" w:w="3168"/>
            <w:vAlign w:val="center"/>
            <w:shd w:fill="F3F6F8"/>
          </w:tcPr>
          <w:p>
            <w:pPr>
              <w:spacing w:after="0" w:before="0" w:line="245" w:lineRule="auto"/>
            </w:pPr>
            <w:r>
              <w:rPr>
                <w:rFonts w:ascii="Arial" w:hAnsi="Arial"/>
                <w:b w:val="0"/>
                <w:color w:val="000000"/>
                <w:sz w:val="20"/>
              </w:rPr>
              <w:t>External model or search service fails</w:t>
            </w:r>
          </w:p>
        </w:tc>
        <w:tc>
          <w:tcPr>
            <w:tcW w:type="dxa" w:w="6912"/>
            <w:vAlign w:val="center"/>
            <w:shd w:fill="F3F6F8"/>
          </w:tcPr>
          <w:p>
            <w:pPr>
              <w:spacing w:after="0" w:before="0" w:line="245" w:lineRule="auto"/>
            </w:pPr>
            <w:r>
              <w:rPr>
                <w:rFonts w:ascii="Arial" w:hAnsi="Arial"/>
                <w:b w:val="0"/>
                <w:color w:val="000000"/>
                <w:sz w:val="20"/>
              </w:rPr>
              <w:t>Service owner applies bounded retries, visible status and qualified fallback behavior.</w:t>
            </w:r>
          </w:p>
        </w:tc>
      </w:tr>
      <w:tr>
        <w:trPr>
          <w:cantSplit/>
        </w:trPr>
        <w:tc>
          <w:tcPr>
            <w:tcW w:type="dxa" w:w="3168"/>
            <w:vAlign w:val="center"/>
            <w:shd w:fill="FFFFFF"/>
          </w:tcPr>
          <w:p>
            <w:pPr>
              <w:spacing w:after="0" w:before="0" w:line="245" w:lineRule="auto"/>
            </w:pPr>
            <w:r>
              <w:rPr>
                <w:rFonts w:ascii="Arial" w:hAnsi="Arial"/>
                <w:b w:val="0"/>
                <w:color w:val="000000"/>
                <w:sz w:val="20"/>
              </w:rPr>
              <w:t>Users bypass or ignore the process</w:t>
            </w:r>
          </w:p>
        </w:tc>
        <w:tc>
          <w:tcPr>
            <w:tcW w:type="dxa" w:w="6912"/>
            <w:vAlign w:val="center"/>
            <w:shd w:fill="FFFFFF"/>
          </w:tcPr>
          <w:p>
            <w:pPr>
              <w:spacing w:after="0" w:before="0" w:line="245" w:lineRule="auto"/>
            </w:pPr>
            <w:r>
              <w:rPr>
                <w:rFonts w:ascii="Arial" w:hAnsi="Arial"/>
                <w:b w:val="0"/>
                <w:color w:val="000000"/>
                <w:sz w:val="20"/>
              </w:rPr>
              <w:t>Process leads provide onboarding, record overrides and review decision outcomes.</w:t>
            </w:r>
          </w:p>
        </w:tc>
      </w:tr>
    </w:tbl>
    <w:p>
      <w:pPr>
        <w:spacing w:after="40" w:before="0" w:line="48" w:lineRule="auto"/>
      </w:pPr>
      <w:r>
        <w:rPr>
          <w:sz w:val="4"/>
        </w:rPr>
      </w:r>
    </w:p>
    <w:p>
      <w:pPr>
        <w:pStyle w:val="Heading2"/>
      </w:pPr>
      <w:r>
        <w:t>Decisions required before the pilot</w:t>
      </w:r>
    </w:p>
    <w:p>
      <w:r>
        <w:t>The business owner confirms store scope, dataset availability, reporting calendar, budget limits, supplier lead-time policy, service levels, churn definition, retained personal data, retention periods, external-provider permissions and named approvers. These are operating decisions, not assumed facts about an existing store.</w:t>
      </w:r>
    </w:p>
    <w:p>
      <w:pPr>
        <w:pStyle w:val="Heading2"/>
      </w:pPr>
      <w:r>
        <w:t>Business sign off</w:t>
      </w:r>
    </w:p>
    <w:p>
      <w:r>
        <w:t>Approval confirms the scope and controls of this PRD. It does not certify forecasting accuracy or authorize all future actions. Pilot results and unresolved exceptions are reviewed before expansion.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3672"/>
        <w:gridCol w:w="4824"/>
        <w:gridCol w:w="1584"/>
      </w:tblGrid>
      <w:tr>
        <w:trPr>
          <w:cantSplit/>
          <w:tblHeader/>
        </w:trPr>
        <w:tc>
          <w:tcPr>
            <w:tcW w:type="dxa" w:w="3672"/>
            <w:vAlign w:val="center"/>
            <w:shd w:fill="17324D"/>
          </w:tcPr>
          <w:p>
            <w:pPr>
              <w:spacing w:after="0" w:before="0" w:line="245" w:lineRule="auto"/>
            </w:pPr>
            <w:r>
              <w:rPr>
                <w:rFonts w:ascii="Arial" w:hAnsi="Arial"/>
                <w:b/>
                <w:color w:val="FFFFFF"/>
                <w:sz w:val="20"/>
              </w:rPr>
              <w:t>Approval role</w:t>
            </w:r>
          </w:p>
        </w:tc>
        <w:tc>
          <w:tcPr>
            <w:tcW w:type="dxa" w:w="4824"/>
            <w:vAlign w:val="center"/>
            <w:shd w:fill="17324D"/>
          </w:tcPr>
          <w:p>
            <w:pPr>
              <w:spacing w:after="0" w:before="0" w:line="245" w:lineRule="auto"/>
            </w:pPr>
            <w:r>
              <w:rPr>
                <w:rFonts w:ascii="Arial" w:hAnsi="Arial"/>
                <w:b/>
                <w:color w:val="FFFFFF"/>
                <w:sz w:val="20"/>
              </w:rPr>
              <w:t>Name and decision</w:t>
            </w:r>
          </w:p>
        </w:tc>
        <w:tc>
          <w:tcPr>
            <w:tcW w:type="dxa" w:w="1584"/>
            <w:vAlign w:val="center"/>
            <w:shd w:fill="17324D"/>
          </w:tcPr>
          <w:p>
            <w:pPr>
              <w:spacing w:after="0" w:before="0" w:line="245" w:lineRule="auto"/>
            </w:pPr>
            <w:r>
              <w:rPr>
                <w:rFonts w:ascii="Arial" w:hAnsi="Arial"/>
                <w:b/>
                <w:color w:val="FFFFFF"/>
                <w:sz w:val="20"/>
              </w:rPr>
              <w:t>Date</w:t>
            </w:r>
          </w:p>
        </w:tc>
      </w:tr>
      <w:tr>
        <w:trPr>
          <w:cantSplit/>
        </w:trPr>
        <w:tc>
          <w:tcPr>
            <w:tcW w:type="dxa" w:w="3672"/>
            <w:vAlign w:val="center"/>
            <w:shd w:fill="FFFFFF"/>
          </w:tcPr>
          <w:p>
            <w:pPr>
              <w:spacing w:after="0" w:before="0" w:line="245" w:lineRule="auto"/>
            </w:pPr>
            <w:r>
              <w:rPr>
                <w:rFonts w:ascii="Arial" w:hAnsi="Arial"/>
                <w:b w:val="0"/>
                <w:color w:val="000000"/>
                <w:sz w:val="20"/>
              </w:rPr>
              <w:t>Business owner or sponsor</w:t>
            </w:r>
          </w:p>
        </w:tc>
        <w:tc>
          <w:tcPr>
            <w:tcW w:type="dxa" w:w="4824"/>
            <w:vAlign w:val="center"/>
            <w:shd w:fill="FFFFFF"/>
          </w:tcPr>
          <w:p>
            <w:pPr>
              <w:spacing w:after="0" w:before="0" w:line="245" w:lineRule="auto"/>
            </w:pPr>
            <w:r>
              <w:rPr>
                <w:rFonts w:ascii="Arial" w:hAnsi="Arial"/>
                <w:b w:val="0"/>
                <w:color w:val="000000"/>
                <w:sz w:val="20"/>
              </w:rPr>
            </w:r>
          </w:p>
        </w:tc>
        <w:tc>
          <w:tcPr>
            <w:tcW w:type="dxa" w:w="1584"/>
            <w:vAlign w:val="center"/>
            <w:shd w:fill="FFFFFF"/>
          </w:tcPr>
          <w:p>
            <w:pPr>
              <w:spacing w:after="0" w:before="0" w:line="245" w:lineRule="auto"/>
            </w:pPr>
            <w:r>
              <w:rPr>
                <w:rFonts w:ascii="Arial" w:hAnsi="Arial"/>
                <w:b w:val="0"/>
                <w:color w:val="000000"/>
                <w:sz w:val="20"/>
              </w:rPr>
            </w:r>
          </w:p>
        </w:tc>
      </w:tr>
      <w:tr>
        <w:trPr>
          <w:cantSplit/>
        </w:trPr>
        <w:tc>
          <w:tcPr>
            <w:tcW w:type="dxa" w:w="3672"/>
            <w:vAlign w:val="center"/>
            <w:shd w:fill="F3F6F8"/>
          </w:tcPr>
          <w:p>
            <w:pPr>
              <w:spacing w:after="0" w:before="0" w:line="245" w:lineRule="auto"/>
            </w:pPr>
            <w:r>
              <w:rPr>
                <w:rFonts w:ascii="Arial" w:hAnsi="Arial"/>
                <w:b w:val="0"/>
                <w:color w:val="000000"/>
                <w:sz w:val="20"/>
              </w:rPr>
              <w:t>Operations and finance representative</w:t>
            </w:r>
          </w:p>
        </w:tc>
        <w:tc>
          <w:tcPr>
            <w:tcW w:type="dxa" w:w="4824"/>
            <w:vAlign w:val="center"/>
            <w:shd w:fill="F3F6F8"/>
          </w:tcPr>
          <w:p>
            <w:pPr>
              <w:spacing w:after="0" w:before="0" w:line="245" w:lineRule="auto"/>
            </w:pPr>
            <w:r>
              <w:rPr>
                <w:rFonts w:ascii="Arial" w:hAnsi="Arial"/>
                <w:b w:val="0"/>
                <w:color w:val="000000"/>
                <w:sz w:val="20"/>
              </w:rPr>
            </w:r>
          </w:p>
        </w:tc>
        <w:tc>
          <w:tcPr>
            <w:tcW w:type="dxa" w:w="1584"/>
            <w:vAlign w:val="center"/>
            <w:shd w:fill="F3F6F8"/>
          </w:tcPr>
          <w:p>
            <w:pPr>
              <w:spacing w:after="0" w:before="0" w:line="245" w:lineRule="auto"/>
            </w:pPr>
            <w:r>
              <w:rPr>
                <w:rFonts w:ascii="Arial" w:hAnsi="Arial"/>
                <w:b w:val="0"/>
                <w:color w:val="000000"/>
                <w:sz w:val="20"/>
              </w:rPr>
            </w:r>
          </w:p>
        </w:tc>
      </w:tr>
      <w:tr>
        <w:trPr>
          <w:cantSplit/>
        </w:trPr>
        <w:tc>
          <w:tcPr>
            <w:tcW w:type="dxa" w:w="3672"/>
            <w:vAlign w:val="center"/>
            <w:shd w:fill="FFFFFF"/>
          </w:tcPr>
          <w:p>
            <w:pPr>
              <w:spacing w:after="0" w:before="0" w:line="245" w:lineRule="auto"/>
            </w:pPr>
            <w:r>
              <w:rPr>
                <w:rFonts w:ascii="Arial" w:hAnsi="Arial"/>
                <w:b w:val="0"/>
                <w:color w:val="000000"/>
                <w:sz w:val="20"/>
              </w:rPr>
              <w:t>Product or project lead</w:t>
            </w:r>
          </w:p>
        </w:tc>
        <w:tc>
          <w:tcPr>
            <w:tcW w:type="dxa" w:w="4824"/>
            <w:vAlign w:val="center"/>
            <w:shd w:fill="FFFFFF"/>
          </w:tcPr>
          <w:p>
            <w:pPr>
              <w:spacing w:after="0" w:before="0" w:line="245" w:lineRule="auto"/>
            </w:pPr>
            <w:r>
              <w:rPr>
                <w:rFonts w:ascii="Arial" w:hAnsi="Arial"/>
                <w:b w:val="0"/>
                <w:color w:val="000000"/>
                <w:sz w:val="20"/>
              </w:rPr>
            </w:r>
          </w:p>
        </w:tc>
        <w:tc>
          <w:tcPr>
            <w:tcW w:type="dxa" w:w="1584"/>
            <w:vAlign w:val="center"/>
            <w:shd w:fill="FFFFFF"/>
          </w:tcPr>
          <w:p>
            <w:pPr>
              <w:spacing w:after="0" w:before="0" w:line="245" w:lineRule="auto"/>
            </w:pPr>
            <w:r>
              <w:rPr>
                <w:rFonts w:ascii="Arial" w:hAnsi="Arial"/>
                <w:b w:val="0"/>
                <w:color w:val="000000"/>
                <w:sz w:val="20"/>
              </w:rPr>
            </w:r>
          </w:p>
        </w:tc>
      </w:tr>
    </w:tbl>
    <w:p>
      <w:pPr>
        <w:spacing w:after="40" w:before="0" w:line="48" w:lineRule="auto"/>
      </w:pPr>
      <w:r>
        <w:rPr>
          <w:sz w:val="4"/>
        </w:rPr>
      </w:r>
    </w:p>
    <w:p>
      <w:r>
        <w:br w:type="page"/>
      </w:r>
    </w:p>
    <w:p>
      <w:pPr>
        <w:pStyle w:val="Heading1"/>
      </w:pPr>
      <w:r>
        <w:t>16 Definitions and technical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800"/>
        <w:gridCol w:w="8280"/>
      </w:tblGrid>
      <w:tr>
        <w:trPr>
          <w:cantSplit/>
          <w:tblHeader/>
        </w:trPr>
        <w:tc>
          <w:tcPr>
            <w:tcW w:type="dxa" w:w="1800"/>
            <w:vAlign w:val="center"/>
            <w:shd w:fill="17324D"/>
          </w:tcPr>
          <w:p>
            <w:pPr>
              <w:spacing w:after="0" w:before="0" w:line="245" w:lineRule="auto"/>
            </w:pPr>
            <w:r>
              <w:rPr>
                <w:rFonts w:ascii="Arial" w:hAnsi="Arial"/>
                <w:b/>
                <w:color w:val="FFFFFF"/>
                <w:sz w:val="20"/>
              </w:rPr>
              <w:t>Term</w:t>
            </w:r>
          </w:p>
        </w:tc>
        <w:tc>
          <w:tcPr>
            <w:tcW w:type="dxa" w:w="8280"/>
            <w:vAlign w:val="center"/>
            <w:shd w:fill="17324D"/>
          </w:tcPr>
          <w:p>
            <w:pPr>
              <w:spacing w:after="0" w:before="0" w:line="245" w:lineRule="auto"/>
            </w:pPr>
            <w:r>
              <w:rPr>
                <w:rFonts w:ascii="Arial" w:hAnsi="Arial"/>
                <w:b/>
                <w:color w:val="FFFFFF"/>
                <w:sz w:val="20"/>
              </w:rPr>
              <w:t>Meaning in this document</w:t>
            </w:r>
          </w:p>
        </w:tc>
      </w:tr>
      <w:tr>
        <w:trPr>
          <w:cantSplit/>
        </w:trPr>
        <w:tc>
          <w:tcPr>
            <w:tcW w:type="dxa" w:w="1800"/>
            <w:vAlign w:val="center"/>
            <w:shd w:fill="FFFFFF"/>
          </w:tcPr>
          <w:p>
            <w:pPr>
              <w:spacing w:after="0" w:before="0" w:line="245" w:lineRule="auto"/>
            </w:pPr>
            <w:r>
              <w:rPr>
                <w:rFonts w:ascii="Arial" w:hAnsi="Arial"/>
                <w:b w:val="0"/>
                <w:color w:val="000000"/>
                <w:sz w:val="20"/>
              </w:rPr>
              <w:t>PRD</w:t>
            </w:r>
          </w:p>
        </w:tc>
        <w:tc>
          <w:tcPr>
            <w:tcW w:type="dxa" w:w="8280"/>
            <w:vAlign w:val="center"/>
            <w:shd w:fill="FFFFFF"/>
          </w:tcPr>
          <w:p>
            <w:pPr>
              <w:spacing w:after="0" w:before="0" w:line="245" w:lineRule="auto"/>
            </w:pPr>
            <w:r>
              <w:rPr>
                <w:rFonts w:ascii="Arial" w:hAnsi="Arial"/>
                <w:b w:val="0"/>
                <w:color w:val="000000"/>
                <w:sz w:val="20"/>
              </w:rPr>
              <w:t>Product Requirements Document defining expected behavior and acceptance conditions.</w:t>
            </w:r>
          </w:p>
        </w:tc>
      </w:tr>
      <w:tr>
        <w:trPr>
          <w:cantSplit/>
        </w:trPr>
        <w:tc>
          <w:tcPr>
            <w:tcW w:type="dxa" w:w="1800"/>
            <w:vAlign w:val="center"/>
            <w:shd w:fill="F3F6F8"/>
          </w:tcPr>
          <w:p>
            <w:pPr>
              <w:spacing w:after="0" w:before="0" w:line="245" w:lineRule="auto"/>
            </w:pPr>
            <w:r>
              <w:rPr>
                <w:rFonts w:ascii="Arial" w:hAnsi="Arial"/>
                <w:b w:val="0"/>
                <w:color w:val="000000"/>
                <w:sz w:val="20"/>
              </w:rPr>
              <w:t>SKU</w:t>
            </w:r>
          </w:p>
        </w:tc>
        <w:tc>
          <w:tcPr>
            <w:tcW w:type="dxa" w:w="8280"/>
            <w:vAlign w:val="center"/>
            <w:shd w:fill="F3F6F8"/>
          </w:tcPr>
          <w:p>
            <w:pPr>
              <w:spacing w:after="0" w:before="0" w:line="245" w:lineRule="auto"/>
            </w:pPr>
            <w:r>
              <w:rPr>
                <w:rFonts w:ascii="Arial" w:hAnsi="Arial"/>
                <w:b w:val="0"/>
                <w:color w:val="000000"/>
                <w:sz w:val="20"/>
              </w:rPr>
              <w:t>A product or product-variant identifier used for sales and inventory tracking.</w:t>
            </w:r>
          </w:p>
        </w:tc>
      </w:tr>
      <w:tr>
        <w:trPr>
          <w:cantSplit/>
        </w:trPr>
        <w:tc>
          <w:tcPr>
            <w:tcW w:type="dxa" w:w="1800"/>
            <w:vAlign w:val="center"/>
            <w:shd w:fill="FFFFFF"/>
          </w:tcPr>
          <w:p>
            <w:pPr>
              <w:spacing w:after="0" w:before="0" w:line="245" w:lineRule="auto"/>
            </w:pPr>
            <w:r>
              <w:rPr>
                <w:rFonts w:ascii="Arial" w:hAnsi="Arial"/>
                <w:b w:val="0"/>
                <w:color w:val="000000"/>
                <w:sz w:val="20"/>
              </w:rPr>
              <w:t>EOQ</w:t>
            </w:r>
          </w:p>
        </w:tc>
        <w:tc>
          <w:tcPr>
            <w:tcW w:type="dxa" w:w="8280"/>
            <w:vAlign w:val="center"/>
            <w:shd w:fill="FFFFFF"/>
          </w:tcPr>
          <w:p>
            <w:pPr>
              <w:spacing w:after="0" w:before="0" w:line="245" w:lineRule="auto"/>
            </w:pPr>
            <w:r>
              <w:rPr>
                <w:rFonts w:ascii="Arial" w:hAnsi="Arial"/>
                <w:b w:val="0"/>
                <w:color w:val="000000"/>
                <w:sz w:val="20"/>
              </w:rPr>
              <w:t>Economic Order Quantity, a policy balancing ordering and holding costs under stated assumptions.</w:t>
            </w:r>
          </w:p>
        </w:tc>
      </w:tr>
      <w:tr>
        <w:trPr>
          <w:cantSplit/>
        </w:trPr>
        <w:tc>
          <w:tcPr>
            <w:tcW w:type="dxa" w:w="1800"/>
            <w:vAlign w:val="center"/>
            <w:shd w:fill="F3F6F8"/>
          </w:tcPr>
          <w:p>
            <w:pPr>
              <w:spacing w:after="0" w:before="0" w:line="245" w:lineRule="auto"/>
            </w:pPr>
            <w:r>
              <w:rPr>
                <w:rFonts w:ascii="Arial" w:hAnsi="Arial"/>
                <w:b w:val="0"/>
                <w:color w:val="000000"/>
                <w:sz w:val="20"/>
              </w:rPr>
              <w:t>ROP</w:t>
            </w:r>
          </w:p>
        </w:tc>
        <w:tc>
          <w:tcPr>
            <w:tcW w:type="dxa" w:w="8280"/>
            <w:vAlign w:val="center"/>
            <w:shd w:fill="F3F6F8"/>
          </w:tcPr>
          <w:p>
            <w:pPr>
              <w:spacing w:after="0" w:before="0" w:line="245" w:lineRule="auto"/>
            </w:pPr>
            <w:r>
              <w:rPr>
                <w:rFonts w:ascii="Arial" w:hAnsi="Arial"/>
                <w:b w:val="0"/>
                <w:color w:val="000000"/>
                <w:sz w:val="20"/>
              </w:rPr>
              <w:t>Reorder Point, the inventory-position threshold that triggers a replenishment review.</w:t>
            </w:r>
          </w:p>
        </w:tc>
      </w:tr>
      <w:tr>
        <w:trPr>
          <w:cantSplit/>
        </w:trPr>
        <w:tc>
          <w:tcPr>
            <w:tcW w:type="dxa" w:w="1800"/>
            <w:vAlign w:val="center"/>
            <w:shd w:fill="FFFFFF"/>
          </w:tcPr>
          <w:p>
            <w:pPr>
              <w:spacing w:after="0" w:before="0" w:line="245" w:lineRule="auto"/>
            </w:pPr>
            <w:r>
              <w:rPr>
                <w:rFonts w:ascii="Arial" w:hAnsi="Arial"/>
                <w:b w:val="0"/>
                <w:color w:val="000000"/>
                <w:sz w:val="20"/>
              </w:rPr>
              <w:t>Safety stock</w:t>
            </w:r>
          </w:p>
        </w:tc>
        <w:tc>
          <w:tcPr>
            <w:tcW w:type="dxa" w:w="8280"/>
            <w:vAlign w:val="center"/>
            <w:shd w:fill="FFFFFF"/>
          </w:tcPr>
          <w:p>
            <w:pPr>
              <w:spacing w:after="0" w:before="0" w:line="245" w:lineRule="auto"/>
            </w:pPr>
            <w:r>
              <w:rPr>
                <w:rFonts w:ascii="Arial" w:hAnsi="Arial"/>
                <w:b w:val="0"/>
                <w:color w:val="000000"/>
                <w:sz w:val="20"/>
              </w:rPr>
              <w:t>An inventory buffer for uncertainty under the selected service policy.</w:t>
            </w:r>
          </w:p>
        </w:tc>
      </w:tr>
      <w:tr>
        <w:trPr>
          <w:cantSplit/>
        </w:trPr>
        <w:tc>
          <w:tcPr>
            <w:tcW w:type="dxa" w:w="1800"/>
            <w:vAlign w:val="center"/>
            <w:shd w:fill="F3F6F8"/>
          </w:tcPr>
          <w:p>
            <w:pPr>
              <w:spacing w:after="0" w:before="0" w:line="245" w:lineRule="auto"/>
            </w:pPr>
            <w:r>
              <w:rPr>
                <w:rFonts w:ascii="Arial" w:hAnsi="Arial"/>
                <w:b w:val="0"/>
                <w:color w:val="000000"/>
                <w:sz w:val="20"/>
              </w:rPr>
              <w:t>RFM</w:t>
            </w:r>
          </w:p>
        </w:tc>
        <w:tc>
          <w:tcPr>
            <w:tcW w:type="dxa" w:w="8280"/>
            <w:vAlign w:val="center"/>
            <w:shd w:fill="F3F6F8"/>
          </w:tcPr>
          <w:p>
            <w:pPr>
              <w:spacing w:after="0" w:before="0" w:line="245" w:lineRule="auto"/>
            </w:pPr>
            <w:r>
              <w:rPr>
                <w:rFonts w:ascii="Arial" w:hAnsi="Arial"/>
                <w:b w:val="0"/>
                <w:color w:val="000000"/>
                <w:sz w:val="20"/>
              </w:rPr>
              <w:t>Recency, Frequency and Monetary analysis of identifiable customer purchases.</w:t>
            </w:r>
          </w:p>
        </w:tc>
      </w:tr>
      <w:tr>
        <w:trPr>
          <w:cantSplit/>
        </w:trPr>
        <w:tc>
          <w:tcPr>
            <w:tcW w:type="dxa" w:w="1800"/>
            <w:vAlign w:val="center"/>
            <w:shd w:fill="FFFFFF"/>
          </w:tcPr>
          <w:p>
            <w:pPr>
              <w:spacing w:after="0" w:before="0" w:line="245" w:lineRule="auto"/>
            </w:pPr>
            <w:r>
              <w:rPr>
                <w:rFonts w:ascii="Arial" w:hAnsi="Arial"/>
                <w:b w:val="0"/>
                <w:color w:val="000000"/>
                <w:sz w:val="20"/>
              </w:rPr>
              <w:t>Churn</w:t>
            </w:r>
          </w:p>
        </w:tc>
        <w:tc>
          <w:tcPr>
            <w:tcW w:type="dxa" w:w="8280"/>
            <w:vAlign w:val="center"/>
            <w:shd w:fill="FFFFFF"/>
          </w:tcPr>
          <w:p>
            <w:pPr>
              <w:spacing w:after="0" w:before="0" w:line="245" w:lineRule="auto"/>
            </w:pPr>
            <w:r>
              <w:rPr>
                <w:rFonts w:ascii="Arial" w:hAnsi="Arial"/>
                <w:b w:val="0"/>
                <w:color w:val="000000"/>
                <w:sz w:val="20"/>
              </w:rPr>
              <w:t>A defined customer inactivity outcome over a stated business window.</w:t>
            </w:r>
          </w:p>
        </w:tc>
      </w:tr>
      <w:tr>
        <w:trPr>
          <w:cantSplit/>
        </w:trPr>
        <w:tc>
          <w:tcPr>
            <w:tcW w:type="dxa" w:w="1800"/>
            <w:vAlign w:val="center"/>
            <w:shd w:fill="F3F6F8"/>
          </w:tcPr>
          <w:p>
            <w:pPr>
              <w:spacing w:after="0" w:before="0" w:line="245" w:lineRule="auto"/>
            </w:pPr>
            <w:r>
              <w:rPr>
                <w:rFonts w:ascii="Arial" w:hAnsi="Arial"/>
                <w:b w:val="0"/>
                <w:color w:val="000000"/>
                <w:sz w:val="20"/>
              </w:rPr>
              <w:t>RAG</w:t>
            </w:r>
          </w:p>
        </w:tc>
        <w:tc>
          <w:tcPr>
            <w:tcW w:type="dxa" w:w="8280"/>
            <w:vAlign w:val="center"/>
            <w:shd w:fill="F3F6F8"/>
          </w:tcPr>
          <w:p>
            <w:pPr>
              <w:spacing w:after="0" w:before="0" w:line="245" w:lineRule="auto"/>
            </w:pPr>
            <w:r>
              <w:rPr>
                <w:rFonts w:ascii="Arial" w:hAnsi="Arial"/>
                <w:b w:val="0"/>
                <w:color w:val="000000"/>
                <w:sz w:val="20"/>
              </w:rPr>
              <w:t>Retrieval-Augmented Generation, which supplies relevant sources to an LLM when answering.</w:t>
            </w:r>
          </w:p>
        </w:tc>
      </w:tr>
      <w:tr>
        <w:trPr>
          <w:cantSplit/>
        </w:trPr>
        <w:tc>
          <w:tcPr>
            <w:tcW w:type="dxa" w:w="1800"/>
            <w:vAlign w:val="center"/>
            <w:shd w:fill="FFFFFF"/>
          </w:tcPr>
          <w:p>
            <w:pPr>
              <w:spacing w:after="0" w:before="0" w:line="245" w:lineRule="auto"/>
            </w:pPr>
            <w:r>
              <w:rPr>
                <w:rFonts w:ascii="Arial" w:hAnsi="Arial"/>
                <w:b w:val="0"/>
                <w:color w:val="000000"/>
                <w:sz w:val="20"/>
              </w:rPr>
              <w:t>Hybrid search</w:t>
            </w:r>
          </w:p>
        </w:tc>
        <w:tc>
          <w:tcPr>
            <w:tcW w:type="dxa" w:w="8280"/>
            <w:vAlign w:val="center"/>
            <w:shd w:fill="FFFFFF"/>
          </w:tcPr>
          <w:p>
            <w:pPr>
              <w:spacing w:after="0" w:before="0" w:line="245" w:lineRule="auto"/>
            </w:pPr>
            <w:r>
              <w:rPr>
                <w:rFonts w:ascii="Arial" w:hAnsi="Arial"/>
                <w:b w:val="0"/>
                <w:color w:val="000000"/>
                <w:sz w:val="20"/>
              </w:rPr>
              <w:t>A combination of keyword matching and semantic retrieval followed by evidence ranking.</w:t>
            </w:r>
          </w:p>
        </w:tc>
      </w:tr>
      <w:tr>
        <w:trPr>
          <w:cantSplit/>
        </w:trPr>
        <w:tc>
          <w:tcPr>
            <w:tcW w:type="dxa" w:w="1800"/>
            <w:vAlign w:val="center"/>
            <w:shd w:fill="F3F6F8"/>
          </w:tcPr>
          <w:p>
            <w:pPr>
              <w:spacing w:after="0" w:before="0" w:line="245" w:lineRule="auto"/>
            </w:pPr>
            <w:r>
              <w:rPr>
                <w:rFonts w:ascii="Arial" w:hAnsi="Arial"/>
                <w:b w:val="0"/>
                <w:color w:val="000000"/>
                <w:sz w:val="20"/>
              </w:rPr>
              <w:t>Agent</w:t>
            </w:r>
          </w:p>
        </w:tc>
        <w:tc>
          <w:tcPr>
            <w:tcW w:type="dxa" w:w="8280"/>
            <w:vAlign w:val="center"/>
            <w:shd w:fill="F3F6F8"/>
          </w:tcPr>
          <w:p>
            <w:pPr>
              <w:spacing w:after="0" w:before="0" w:line="245" w:lineRule="auto"/>
            </w:pPr>
            <w:r>
              <w:rPr>
                <w:rFonts w:ascii="Arial" w:hAnsi="Arial"/>
                <w:b w:val="0"/>
                <w:color w:val="000000"/>
                <w:sz w:val="20"/>
              </w:rPr>
              <w:t>A bounded software role with a goal, permitted tools, workflow state and accountable output.</w:t>
            </w:r>
          </w:p>
        </w:tc>
      </w:tr>
    </w:tbl>
    <w:p>
      <w:pPr>
        <w:spacing w:after="40" w:before="0" w:line="48" w:lineRule="auto"/>
      </w:pPr>
      <w:r>
        <w:rPr>
          <w:sz w:val="4"/>
        </w:rPr>
      </w:r>
    </w:p>
    <w:p>
      <w:pPr>
        <w:pStyle w:val="Heading2"/>
      </w:pPr>
      <w:r>
        <w:t>Technical references</w:t>
      </w:r>
    </w:p>
    <w:p>
      <w:r>
        <w:t>These primary sources support the proposed service choices. Model and provider availability must be rechecked before deployment. Documentation was reviewed on 4 October 2026; no cited source establishes the proposed product's business performance.</w:t>
      </w:r>
    </w:p>
    <w:p>
      <w:pPr>
        <w:spacing w:after="20"/>
      </w:pPr>
      <w:r>
        <w:t>[1] Amazon. Chronos 2 model card.</w:t>
      </w:r>
    </w:p>
    <w:p>
      <w:pPr>
        <w:spacing w:after="120"/>
      </w:pPr>
      <w:r>
        <w:rPr>
          <w:sz w:val="18"/>
        </w:rPr>
        <w:t>https://huggingface.co/amazon/chronos-2</w:t>
      </w:r>
    </w:p>
    <w:p>
      <w:pPr>
        <w:spacing w:after="20"/>
      </w:pPr>
      <w:r>
        <w:t>[2] Groq. Supported Models.</w:t>
      </w:r>
    </w:p>
    <w:p>
      <w:pPr>
        <w:spacing w:after="120"/>
      </w:pPr>
      <w:r>
        <w:rPr>
          <w:sz w:val="18"/>
        </w:rPr>
        <w:t>https://console.groq.com/docs/models</w:t>
      </w:r>
    </w:p>
    <w:p>
      <w:pPr>
        <w:spacing w:after="20"/>
      </w:pPr>
      <w:r>
        <w:t>[3] CrewAI. Flows documentation.</w:t>
      </w:r>
    </w:p>
    <w:p>
      <w:pPr>
        <w:spacing w:after="120"/>
      </w:pPr>
      <w:r>
        <w:rPr>
          <w:sz w:val="18"/>
        </w:rPr>
        <w:t>https://docs.crewai.com/en/concepts/flows</w:t>
      </w:r>
    </w:p>
    <w:p>
      <w:pPr>
        <w:spacing w:after="20"/>
      </w:pPr>
      <w:r>
        <w:t>[4] Streamlit. User authentication and information.</w:t>
      </w:r>
    </w:p>
    <w:p>
      <w:pPr>
        <w:spacing w:after="120"/>
      </w:pPr>
      <w:r>
        <w:rPr>
          <w:sz w:val="18"/>
        </w:rPr>
        <w:t>https://docs.streamlit.io/develop/concepts/connections/authentication</w:t>
      </w:r>
    </w:p>
    <w:p>
      <w:pPr>
        <w:spacing w:after="20"/>
      </w:pPr>
      <w:r>
        <w:t>[5] FAISS. Index IO cloning and hyper parameter tuning.</w:t>
      </w:r>
    </w:p>
    <w:p>
      <w:pPr>
        <w:spacing w:after="120"/>
      </w:pPr>
      <w:r>
        <w:rPr>
          <w:sz w:val="18"/>
        </w:rPr>
        <w:t>https://github.com/facebookresearch/faiss/wiki/Index-IO%2C-cloning-and-hyper-parameter-tuning</w:t>
      </w:r>
    </w:p>
    <w:p>
      <w:pPr>
        <w:spacing w:after="20"/>
      </w:pPr>
      <w:r>
        <w:t>[6] DDGS. Package documentation and search backends.</w:t>
      </w:r>
    </w:p>
    <w:p>
      <w:pPr>
        <w:spacing w:after="120"/>
      </w:pPr>
      <w:r>
        <w:rPr>
          <w:sz w:val="18"/>
        </w:rPr>
        <w:t>https://pypi.org/project/ddgs/</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Smart Stock Agent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2"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2"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Stock Agent Business Process Product Requirements Document</dc:title>
  <dc:subject>Business processes, product requirements, governance and acceptance criteria</dc:subject>
  <dc:creator>Smart Stock Agent Project Team</dc:creator>
  <cp:keywords>PRD, retail, inventory, business process automation, demand forecasting</cp:keywords>
  <dc:description/>
  <cp:lastModifiedBy/>
  <cp:revision>1</cp:revision>
  <dcterms:created xsi:type="dcterms:W3CDTF">2013-12-23T23:15:00Z</dcterms:created>
  <dcterms:modified xsi:type="dcterms:W3CDTF">2013-12-23T23:15:00Z</dcterms:modified>
  <cp:category/>
</cp:coreProperties>
</file>