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DHAQ Website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 pages and sections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Homepage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Brand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Navigation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Member Login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Banner area with images or video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Search functionality to search for projects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Lifestyle section - Show all DHA facilities with the call to action leads to the Contact Us section where visitors can show interest in talking to DHA.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Educational Institutions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Healthcare Services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Recreational Facilities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Security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Projects section - Highlight a few projects and take the visitor to the projects page where they can see all projects.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The partner section with the call to action leads to the Partner and Investor page for more details.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 few (3) latest news and calls to action to take visitors to the news and update page.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Contact Us form - so people instantly fill out the form to get in touch with DHA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Whatsapp widget on the website - so people can contact the sales quickly.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Testimonials of maximum possible customers.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Footer area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DHAQ Housing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Vision and mission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Leadership team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DHA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map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reviews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all projects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 projects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pictures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features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type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Amenities 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Brochures and Downloads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Open for booking - inquire now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Upcoming projects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Project pictures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Project features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Project type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Amenities 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Brochures and Downloads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Starting date - inquire now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Completed projects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Project pictures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Project features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Project type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Amenities 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Brochures and Downloads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Delivered with date - if possible show the ROI investors earned so far.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Lifestyle section - the same section with facilities to make this page attractive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Investors and Partners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invest with DHAQ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Partner Benefits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Investor relations - Become an Investor (Call to action)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Overview for sales partner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 partner benefits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Register as a Sales Partner (Call to action)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 and Updates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Latest News</w:t>
      </w:r>
      <w:r w:rsidDel="00000000" w:rsidR="00000000" w:rsidRPr="00000000">
        <w:rPr>
          <w:rtl w:val="0"/>
        </w:rPr>
        <w:t xml:space="preserve"> and blog updates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Releases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Contact Form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Office Locations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Customer Support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Application Forms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 Brochures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Guides and Manuals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Careers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Current Openings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Employee Testimonials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Lagal pages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Terms and conditions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