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5E1EB" w14:textId="77777777" w:rsidR="00D32F73" w:rsidRPr="00D32F73" w:rsidRDefault="00D32F73" w:rsidP="00D32F73">
      <w:pPr>
        <w:rPr>
          <w:b/>
          <w:bCs/>
        </w:rPr>
      </w:pPr>
      <w:r w:rsidRPr="00D32F73">
        <w:rPr>
          <w:b/>
          <w:bCs/>
        </w:rPr>
        <w:t>Healthcare &amp; Lifesciences</w:t>
      </w:r>
    </w:p>
    <w:p w14:paraId="21F8E97C" w14:textId="77777777" w:rsidR="00D32F73" w:rsidRPr="00D32F73" w:rsidRDefault="00D32F73" w:rsidP="00D32F73">
      <w:r w:rsidRPr="00D32F73">
        <w:t xml:space="preserve">In an era of rapid technological advancement and evolving patient needs, the healthcare and </w:t>
      </w:r>
      <w:proofErr w:type="spellStart"/>
      <w:proofErr w:type="gramStart"/>
      <w:r w:rsidRPr="00D32F73">
        <w:t>lifesciences</w:t>
      </w:r>
      <w:proofErr w:type="spellEnd"/>
      <w:proofErr w:type="gramEnd"/>
      <w:r w:rsidRPr="00D32F73">
        <w:t xml:space="preserve"> sector demands agile, forward-thinking strategies. MindMerge Inc. partners with leading healthcare providers, pharmaceutical companies, and research institutions to drive operational excellence, enhance patient outcomes, and foster innovation that meets the highest standards of quality and care.</w:t>
      </w:r>
    </w:p>
    <w:p w14:paraId="65221036" w14:textId="77777777" w:rsidR="00D32F73" w:rsidRPr="00D32F73" w:rsidRDefault="00D32F73" w:rsidP="00D32F73">
      <w:r w:rsidRPr="00D32F73">
        <w:pict w14:anchorId="6D2F6835">
          <v:rect id="_x0000_i1061" style="width:0;height:1.5pt" o:hralign="center" o:hrstd="t" o:hr="t" fillcolor="#a0a0a0" stroked="f"/>
        </w:pict>
      </w:r>
    </w:p>
    <w:p w14:paraId="66D4E379" w14:textId="77777777" w:rsidR="00D32F73" w:rsidRPr="00D32F73" w:rsidRDefault="00D32F73" w:rsidP="00D32F73">
      <w:pPr>
        <w:rPr>
          <w:b/>
          <w:bCs/>
        </w:rPr>
      </w:pPr>
      <w:r w:rsidRPr="00D32F73">
        <w:rPr>
          <w:b/>
          <w:bCs/>
        </w:rPr>
        <w:t>Overview</w:t>
      </w:r>
    </w:p>
    <w:p w14:paraId="10277C77" w14:textId="77777777" w:rsidR="00D32F73" w:rsidRPr="00D32F73" w:rsidRDefault="00D32F73" w:rsidP="00D32F73">
      <w:r w:rsidRPr="00D32F73">
        <w:t xml:space="preserve">The healthcare and </w:t>
      </w:r>
      <w:proofErr w:type="spellStart"/>
      <w:proofErr w:type="gramStart"/>
      <w:r w:rsidRPr="00D32F73">
        <w:t>lifesciences</w:t>
      </w:r>
      <w:proofErr w:type="spellEnd"/>
      <w:proofErr w:type="gramEnd"/>
      <w:r w:rsidRPr="00D32F73">
        <w:t xml:space="preserve"> landscape </w:t>
      </w:r>
      <w:proofErr w:type="gramStart"/>
      <w:r w:rsidRPr="00D32F73">
        <w:t>is</w:t>
      </w:r>
      <w:proofErr w:type="gramEnd"/>
      <w:r w:rsidRPr="00D32F73">
        <w:t xml:space="preserve"> undergoing unprecedented change. Regulatory pressures, digital disruption, and shifting patient expectations are reshaping how care is delivered and managed. At MindMerge Inc., we leverage deep industry insights and </w:t>
      </w:r>
      <w:proofErr w:type="gramStart"/>
      <w:r w:rsidRPr="00D32F73">
        <w:t>global best</w:t>
      </w:r>
      <w:proofErr w:type="gramEnd"/>
      <w:r w:rsidRPr="00D32F73">
        <w:t xml:space="preserve"> practices to help organizations navigate these challenges. Our tailored strategies empower you to optimize operations, drive cost efficiencies, and harness technology to improve both patient care and business performance.</w:t>
      </w:r>
    </w:p>
    <w:p w14:paraId="55DE9D19" w14:textId="77777777" w:rsidR="00D32F73" w:rsidRPr="00D32F73" w:rsidRDefault="00D32F73" w:rsidP="00D32F73">
      <w:r w:rsidRPr="00D32F73">
        <w:pict w14:anchorId="4EBD9FE8">
          <v:rect id="_x0000_i1062" style="width:0;height:1.5pt" o:hralign="center" o:hrstd="t" o:hr="t" fillcolor="#a0a0a0" stroked="f"/>
        </w:pict>
      </w:r>
    </w:p>
    <w:p w14:paraId="583DA6F1" w14:textId="77777777" w:rsidR="00D32F73" w:rsidRPr="00D32F73" w:rsidRDefault="00D32F73" w:rsidP="00D32F73">
      <w:pPr>
        <w:rPr>
          <w:b/>
          <w:bCs/>
        </w:rPr>
      </w:pPr>
      <w:r w:rsidRPr="00D32F73">
        <w:rPr>
          <w:b/>
          <w:bCs/>
        </w:rPr>
        <w:t>Key Challenges</w:t>
      </w:r>
    </w:p>
    <w:p w14:paraId="503A43BE" w14:textId="77777777" w:rsidR="00D32F73" w:rsidRPr="00D32F73" w:rsidRDefault="00D32F73" w:rsidP="00D32F73">
      <w:r w:rsidRPr="00D32F73">
        <w:t xml:space="preserve">Healthcare and </w:t>
      </w:r>
      <w:proofErr w:type="spellStart"/>
      <w:r w:rsidRPr="00D32F73">
        <w:t>lifesciences</w:t>
      </w:r>
      <w:proofErr w:type="spellEnd"/>
      <w:r w:rsidRPr="00D32F73">
        <w:t xml:space="preserve"> organizations face a unique set of challenges, including:</w:t>
      </w:r>
    </w:p>
    <w:p w14:paraId="6645A1D8" w14:textId="77777777" w:rsidR="00D32F73" w:rsidRPr="00D32F73" w:rsidRDefault="00D32F73" w:rsidP="00D32F73">
      <w:pPr>
        <w:numPr>
          <w:ilvl w:val="0"/>
          <w:numId w:val="1"/>
        </w:numPr>
      </w:pPr>
      <w:r w:rsidRPr="00D32F73">
        <w:rPr>
          <w:b/>
          <w:bCs/>
        </w:rPr>
        <w:t>Regulatory Complexity:</w:t>
      </w:r>
      <w:r w:rsidRPr="00D32F73">
        <w:t xml:space="preserve"> Balancing stringent local and international compliance requirements while ensuring clinical excellence.</w:t>
      </w:r>
    </w:p>
    <w:p w14:paraId="185EC2CC" w14:textId="77777777" w:rsidR="00D32F73" w:rsidRPr="00D32F73" w:rsidRDefault="00D32F73" w:rsidP="00D32F73">
      <w:pPr>
        <w:numPr>
          <w:ilvl w:val="0"/>
          <w:numId w:val="1"/>
        </w:numPr>
      </w:pPr>
      <w:r w:rsidRPr="00D32F73">
        <w:rPr>
          <w:b/>
          <w:bCs/>
        </w:rPr>
        <w:t>Digital Transformation:</w:t>
      </w:r>
      <w:r w:rsidRPr="00D32F73">
        <w:t xml:space="preserve"> Integrating cutting-edge technologies such as telemedicine, electronic health records, and AI-driven diagnostics.</w:t>
      </w:r>
    </w:p>
    <w:p w14:paraId="0663D219" w14:textId="77777777" w:rsidR="00D32F73" w:rsidRPr="00D32F73" w:rsidRDefault="00D32F73" w:rsidP="00D32F73">
      <w:pPr>
        <w:numPr>
          <w:ilvl w:val="0"/>
          <w:numId w:val="1"/>
        </w:numPr>
      </w:pPr>
      <w:r w:rsidRPr="00D32F73">
        <w:rPr>
          <w:b/>
          <w:bCs/>
        </w:rPr>
        <w:t>Operational Inefficiencies:</w:t>
      </w:r>
      <w:r w:rsidRPr="00D32F73">
        <w:t xml:space="preserve"> Streamlining processes to reduce costs and improve </w:t>
      </w:r>
      <w:proofErr w:type="gramStart"/>
      <w:r w:rsidRPr="00D32F73">
        <w:t>service delivery</w:t>
      </w:r>
      <w:proofErr w:type="gramEnd"/>
      <w:r w:rsidRPr="00D32F73">
        <w:t xml:space="preserve"> in an increasingly competitive market.</w:t>
      </w:r>
    </w:p>
    <w:p w14:paraId="3E7FAF39" w14:textId="77777777" w:rsidR="00D32F73" w:rsidRPr="00D32F73" w:rsidRDefault="00D32F73" w:rsidP="00D32F73">
      <w:pPr>
        <w:numPr>
          <w:ilvl w:val="0"/>
          <w:numId w:val="1"/>
        </w:numPr>
      </w:pPr>
      <w:r w:rsidRPr="00D32F73">
        <w:rPr>
          <w:b/>
          <w:bCs/>
        </w:rPr>
        <w:t>Patient Experience:</w:t>
      </w:r>
      <w:r w:rsidRPr="00D32F73">
        <w:t xml:space="preserve"> Enhancing patient engagement and satisfaction while maintaining high-quality clinical outcomes.</w:t>
      </w:r>
    </w:p>
    <w:p w14:paraId="4371E2A4" w14:textId="77777777" w:rsidR="00D32F73" w:rsidRPr="00D32F73" w:rsidRDefault="00D32F73" w:rsidP="00D32F73">
      <w:pPr>
        <w:numPr>
          <w:ilvl w:val="0"/>
          <w:numId w:val="1"/>
        </w:numPr>
      </w:pPr>
      <w:r w:rsidRPr="00D32F73">
        <w:rPr>
          <w:b/>
          <w:bCs/>
        </w:rPr>
        <w:t>Innovation Pressure:</w:t>
      </w:r>
      <w:r w:rsidRPr="00D32F73">
        <w:t xml:space="preserve"> Accelerating research and development while managing risks and uncertainties in rapidly evolving markets.</w:t>
      </w:r>
    </w:p>
    <w:p w14:paraId="03108B9E" w14:textId="77777777" w:rsidR="00D32F73" w:rsidRPr="00D32F73" w:rsidRDefault="00D32F73" w:rsidP="00D32F73">
      <w:r w:rsidRPr="00D32F73">
        <w:pict w14:anchorId="5BAC66D0">
          <v:rect id="_x0000_i1063" style="width:0;height:1.5pt" o:hralign="center" o:hrstd="t" o:hr="t" fillcolor="#a0a0a0" stroked="f"/>
        </w:pict>
      </w:r>
    </w:p>
    <w:p w14:paraId="2CC8DE4D" w14:textId="77777777" w:rsidR="00D32F73" w:rsidRPr="00D32F73" w:rsidRDefault="00D32F73" w:rsidP="00D32F73">
      <w:pPr>
        <w:rPr>
          <w:b/>
          <w:bCs/>
        </w:rPr>
      </w:pPr>
      <w:r w:rsidRPr="00D32F73">
        <w:rPr>
          <w:b/>
          <w:bCs/>
        </w:rPr>
        <w:t>Our Approach</w:t>
      </w:r>
    </w:p>
    <w:p w14:paraId="310508C4" w14:textId="77777777" w:rsidR="00D32F73" w:rsidRPr="00D32F73" w:rsidRDefault="00D32F73" w:rsidP="00D32F73">
      <w:r w:rsidRPr="00D32F73">
        <w:t>At MindMerge Inc., our approach is built on a foundation of comprehensive analysis, strategic planning, and effective execution:</w:t>
      </w:r>
    </w:p>
    <w:p w14:paraId="292E1B0D" w14:textId="77777777" w:rsidR="00D32F73" w:rsidRPr="00D32F73" w:rsidRDefault="00D32F73" w:rsidP="00D32F73">
      <w:pPr>
        <w:numPr>
          <w:ilvl w:val="0"/>
          <w:numId w:val="2"/>
        </w:numPr>
      </w:pPr>
      <w:r w:rsidRPr="00D32F73">
        <w:rPr>
          <w:b/>
          <w:bCs/>
        </w:rPr>
        <w:lastRenderedPageBreak/>
        <w:t>Diagnostic Assessment:</w:t>
      </w:r>
    </w:p>
    <w:p w14:paraId="68D07F03" w14:textId="77777777" w:rsidR="00D32F73" w:rsidRPr="00D32F73" w:rsidRDefault="00D32F73" w:rsidP="00D32F73">
      <w:pPr>
        <w:numPr>
          <w:ilvl w:val="1"/>
          <w:numId w:val="2"/>
        </w:numPr>
      </w:pPr>
      <w:r w:rsidRPr="00D32F73">
        <w:t>Conduct in-depth evaluations of your current operational, technological, and clinical processes.</w:t>
      </w:r>
    </w:p>
    <w:p w14:paraId="21A58642" w14:textId="77777777" w:rsidR="00D32F73" w:rsidRPr="00D32F73" w:rsidRDefault="00D32F73" w:rsidP="00D32F73">
      <w:pPr>
        <w:numPr>
          <w:ilvl w:val="1"/>
          <w:numId w:val="2"/>
        </w:numPr>
      </w:pPr>
      <w:r w:rsidRPr="00D32F73">
        <w:t>Identify areas where improvements can yield significant impact on patient care and operational efficiency.</w:t>
      </w:r>
    </w:p>
    <w:p w14:paraId="661C6897" w14:textId="77777777" w:rsidR="00D32F73" w:rsidRPr="00D32F73" w:rsidRDefault="00D32F73" w:rsidP="00D32F73">
      <w:pPr>
        <w:numPr>
          <w:ilvl w:val="0"/>
          <w:numId w:val="2"/>
        </w:numPr>
      </w:pPr>
      <w:r w:rsidRPr="00D32F73">
        <w:rPr>
          <w:b/>
          <w:bCs/>
        </w:rPr>
        <w:t>Strategic Roadmap Development:</w:t>
      </w:r>
    </w:p>
    <w:p w14:paraId="6AE56828" w14:textId="77777777" w:rsidR="00D32F73" w:rsidRPr="00D32F73" w:rsidRDefault="00D32F73" w:rsidP="00D32F73">
      <w:pPr>
        <w:numPr>
          <w:ilvl w:val="1"/>
          <w:numId w:val="2"/>
        </w:numPr>
      </w:pPr>
      <w:r w:rsidRPr="00D32F73">
        <w:t>Collaborate with your leadership to develop a customized, long-term strategy that aligns with both clinical and business objectives.</w:t>
      </w:r>
    </w:p>
    <w:p w14:paraId="7DD9B7AB" w14:textId="77777777" w:rsidR="00D32F73" w:rsidRPr="00D32F73" w:rsidRDefault="00D32F73" w:rsidP="00D32F73">
      <w:pPr>
        <w:numPr>
          <w:ilvl w:val="1"/>
          <w:numId w:val="2"/>
        </w:numPr>
      </w:pPr>
      <w:r w:rsidRPr="00D32F73">
        <w:t>Set measurable targets and prioritize initiatives for immediate and sustainable impact.</w:t>
      </w:r>
    </w:p>
    <w:p w14:paraId="2468261D" w14:textId="77777777" w:rsidR="00D32F73" w:rsidRPr="00D32F73" w:rsidRDefault="00D32F73" w:rsidP="00D32F73">
      <w:pPr>
        <w:numPr>
          <w:ilvl w:val="0"/>
          <w:numId w:val="2"/>
        </w:numPr>
      </w:pPr>
      <w:r w:rsidRPr="00D32F73">
        <w:rPr>
          <w:b/>
          <w:bCs/>
        </w:rPr>
        <w:t>Digital &amp; Operational Transformation:</w:t>
      </w:r>
    </w:p>
    <w:p w14:paraId="4A8AFE47" w14:textId="77777777" w:rsidR="00D32F73" w:rsidRPr="00D32F73" w:rsidRDefault="00D32F73" w:rsidP="00D32F73">
      <w:pPr>
        <w:numPr>
          <w:ilvl w:val="1"/>
          <w:numId w:val="2"/>
        </w:numPr>
      </w:pPr>
      <w:r w:rsidRPr="00D32F73">
        <w:t>Implement advanced digital health solutions that integrate seamlessly with existing systems.</w:t>
      </w:r>
    </w:p>
    <w:p w14:paraId="5149B82B" w14:textId="77777777" w:rsidR="00D32F73" w:rsidRPr="00D32F73" w:rsidRDefault="00D32F73" w:rsidP="00D32F73">
      <w:pPr>
        <w:numPr>
          <w:ilvl w:val="1"/>
          <w:numId w:val="2"/>
        </w:numPr>
      </w:pPr>
      <w:r w:rsidRPr="00D32F73">
        <w:t>Optimize workflows and resource allocation to drive cost savings and improved care delivery.</w:t>
      </w:r>
    </w:p>
    <w:p w14:paraId="142B2350" w14:textId="77777777" w:rsidR="00D32F73" w:rsidRPr="00D32F73" w:rsidRDefault="00D32F73" w:rsidP="00D32F73">
      <w:pPr>
        <w:numPr>
          <w:ilvl w:val="0"/>
          <w:numId w:val="2"/>
        </w:numPr>
      </w:pPr>
      <w:r w:rsidRPr="00D32F73">
        <w:rPr>
          <w:b/>
          <w:bCs/>
        </w:rPr>
        <w:t>Continuous Monitoring &amp; Improvement:</w:t>
      </w:r>
    </w:p>
    <w:p w14:paraId="55F677CC" w14:textId="77777777" w:rsidR="00D32F73" w:rsidRPr="00D32F73" w:rsidRDefault="00D32F73" w:rsidP="00D32F73">
      <w:pPr>
        <w:numPr>
          <w:ilvl w:val="1"/>
          <w:numId w:val="2"/>
        </w:numPr>
      </w:pPr>
      <w:r w:rsidRPr="00D32F73">
        <w:t>Establish key performance indicators (KPIs) and feedback loops to monitor progress.</w:t>
      </w:r>
    </w:p>
    <w:p w14:paraId="6B5EAEBD" w14:textId="77777777" w:rsidR="00D32F73" w:rsidRPr="00D32F73" w:rsidRDefault="00D32F73" w:rsidP="00D32F73">
      <w:pPr>
        <w:numPr>
          <w:ilvl w:val="1"/>
          <w:numId w:val="2"/>
        </w:numPr>
      </w:pPr>
      <w:r w:rsidRPr="00D32F73">
        <w:t>Regularly review and adjust strategies in response to evolving regulatory and market dynamics.</w:t>
      </w:r>
    </w:p>
    <w:p w14:paraId="2A627C80" w14:textId="77777777" w:rsidR="00D32F73" w:rsidRPr="00D32F73" w:rsidRDefault="00D32F73" w:rsidP="00D32F73">
      <w:r w:rsidRPr="00D32F73">
        <w:pict w14:anchorId="7FF12A1A">
          <v:rect id="_x0000_i1064" style="width:0;height:1.5pt" o:hralign="center" o:hrstd="t" o:hr="t" fillcolor="#a0a0a0" stroked="f"/>
        </w:pict>
      </w:r>
    </w:p>
    <w:p w14:paraId="1F4F0D73" w14:textId="77777777" w:rsidR="00D32F73" w:rsidRPr="00D32F73" w:rsidRDefault="00D32F73" w:rsidP="00D32F73">
      <w:pPr>
        <w:rPr>
          <w:b/>
          <w:bCs/>
        </w:rPr>
      </w:pPr>
      <w:r w:rsidRPr="00D32F73">
        <w:rPr>
          <w:b/>
          <w:bCs/>
        </w:rPr>
        <w:t>Key Offerings</w:t>
      </w:r>
    </w:p>
    <w:p w14:paraId="36C3AB2D" w14:textId="77777777" w:rsidR="00D32F73" w:rsidRPr="00D32F73" w:rsidRDefault="00D32F73" w:rsidP="00D32F73">
      <w:pPr>
        <w:numPr>
          <w:ilvl w:val="0"/>
          <w:numId w:val="3"/>
        </w:numPr>
      </w:pPr>
      <w:r w:rsidRPr="00D32F73">
        <w:rPr>
          <w:b/>
          <w:bCs/>
        </w:rPr>
        <w:t>Operational Efficiency Optimization:</w:t>
      </w:r>
      <w:r w:rsidRPr="00D32F73">
        <w:br/>
        <w:t>Enhance process flows and reduce operational costs through data-driven insights and lean management techniques.</w:t>
      </w:r>
    </w:p>
    <w:p w14:paraId="0B8AB23F" w14:textId="77777777" w:rsidR="00D32F73" w:rsidRPr="00D32F73" w:rsidRDefault="00D32F73" w:rsidP="00D32F73">
      <w:pPr>
        <w:numPr>
          <w:ilvl w:val="0"/>
          <w:numId w:val="3"/>
        </w:numPr>
      </w:pPr>
      <w:r w:rsidRPr="00D32F73">
        <w:rPr>
          <w:b/>
          <w:bCs/>
        </w:rPr>
        <w:t>Digital Health Transformation:</w:t>
      </w:r>
      <w:r w:rsidRPr="00D32F73">
        <w:br/>
        <w:t>Leverage technologies such as AI, IoT, and telemedicine to modernize patient care and streamline clinical operations.</w:t>
      </w:r>
    </w:p>
    <w:p w14:paraId="62E4C6A5" w14:textId="77777777" w:rsidR="00D32F73" w:rsidRPr="00D32F73" w:rsidRDefault="00D32F73" w:rsidP="00D32F73">
      <w:pPr>
        <w:numPr>
          <w:ilvl w:val="0"/>
          <w:numId w:val="3"/>
        </w:numPr>
      </w:pPr>
      <w:r w:rsidRPr="00D32F73">
        <w:rPr>
          <w:b/>
          <w:bCs/>
        </w:rPr>
        <w:lastRenderedPageBreak/>
        <w:t>Regulatory &amp; Quality Assurance:</w:t>
      </w:r>
      <w:r w:rsidRPr="00D32F73">
        <w:br/>
        <w:t>Develop robust frameworks to ensure compliance with regulatory standards while maintaining high-quality patient care.</w:t>
      </w:r>
    </w:p>
    <w:p w14:paraId="7DA584C6" w14:textId="77777777" w:rsidR="00D32F73" w:rsidRPr="00D32F73" w:rsidRDefault="00D32F73" w:rsidP="00D32F73">
      <w:pPr>
        <w:numPr>
          <w:ilvl w:val="0"/>
          <w:numId w:val="3"/>
        </w:numPr>
      </w:pPr>
      <w:r w:rsidRPr="00D32F73">
        <w:rPr>
          <w:b/>
          <w:bCs/>
        </w:rPr>
        <w:t>Patient Experience Enhancement:</w:t>
      </w:r>
      <w:r w:rsidRPr="00D32F73">
        <w:br/>
        <w:t>Design initiatives to improve patient engagement, satisfaction, and outcomes through tailored service models.</w:t>
      </w:r>
    </w:p>
    <w:p w14:paraId="51E3A228" w14:textId="77777777" w:rsidR="00D32F73" w:rsidRPr="00D32F73" w:rsidRDefault="00D32F73" w:rsidP="00D32F73">
      <w:pPr>
        <w:numPr>
          <w:ilvl w:val="0"/>
          <w:numId w:val="3"/>
        </w:numPr>
      </w:pPr>
      <w:r w:rsidRPr="00D32F73">
        <w:rPr>
          <w:b/>
          <w:bCs/>
        </w:rPr>
        <w:t>Innovation &amp; R&amp;D Strategies:</w:t>
      </w:r>
      <w:r w:rsidRPr="00D32F73">
        <w:br/>
        <w:t>Foster an environment of innovation to accelerate research, develop new treatments, and bring breakthrough therapies to market.</w:t>
      </w:r>
    </w:p>
    <w:p w14:paraId="24D0A6AF" w14:textId="77777777" w:rsidR="00D32F73" w:rsidRPr="00D32F73" w:rsidRDefault="00D32F73" w:rsidP="00D32F73">
      <w:pPr>
        <w:numPr>
          <w:ilvl w:val="0"/>
          <w:numId w:val="3"/>
        </w:numPr>
      </w:pPr>
      <w:r w:rsidRPr="00D32F73">
        <w:rPr>
          <w:b/>
          <w:bCs/>
        </w:rPr>
        <w:t>Stakeholder Engagement &amp; Partnership Management:</w:t>
      </w:r>
      <w:r w:rsidRPr="00D32F73">
        <w:br/>
        <w:t>Build strategic alliances with industry leaders, technology providers, and research institutions to drive collaborative growth.</w:t>
      </w:r>
    </w:p>
    <w:p w14:paraId="73974C5B" w14:textId="77777777" w:rsidR="00D32F73" w:rsidRPr="00D32F73" w:rsidRDefault="00D32F73" w:rsidP="00D32F73">
      <w:r w:rsidRPr="00D32F73">
        <w:pict w14:anchorId="61E920E7">
          <v:rect id="_x0000_i1065" style="width:0;height:1.5pt" o:hralign="center" o:hrstd="t" o:hr="t" fillcolor="#a0a0a0" stroked="f"/>
        </w:pict>
      </w:r>
    </w:p>
    <w:p w14:paraId="0E593586" w14:textId="77777777" w:rsidR="00D32F73" w:rsidRPr="00D32F73" w:rsidRDefault="00D32F73" w:rsidP="00D32F73">
      <w:pPr>
        <w:rPr>
          <w:b/>
          <w:bCs/>
        </w:rPr>
      </w:pPr>
      <w:r w:rsidRPr="00D32F73">
        <w:rPr>
          <w:b/>
          <w:bCs/>
        </w:rPr>
        <w:t>Benefits of Our Services</w:t>
      </w:r>
    </w:p>
    <w:p w14:paraId="0F670FE7" w14:textId="77777777" w:rsidR="00D32F73" w:rsidRPr="00D32F73" w:rsidRDefault="00D32F73" w:rsidP="00D32F73">
      <w:pPr>
        <w:numPr>
          <w:ilvl w:val="0"/>
          <w:numId w:val="4"/>
        </w:numPr>
      </w:pPr>
      <w:r w:rsidRPr="00D32F73">
        <w:rPr>
          <w:b/>
          <w:bCs/>
        </w:rPr>
        <w:t>Improved Patient Outcomes:</w:t>
      </w:r>
      <w:r w:rsidRPr="00D32F73">
        <w:br/>
        <w:t>Enhanced clinical efficiency and quality lead to better patient care and satisfaction.</w:t>
      </w:r>
    </w:p>
    <w:p w14:paraId="7FD9C98F" w14:textId="77777777" w:rsidR="00D32F73" w:rsidRPr="00D32F73" w:rsidRDefault="00D32F73" w:rsidP="00D32F73">
      <w:pPr>
        <w:numPr>
          <w:ilvl w:val="0"/>
          <w:numId w:val="4"/>
        </w:numPr>
      </w:pPr>
      <w:r w:rsidRPr="00D32F73">
        <w:rPr>
          <w:b/>
          <w:bCs/>
        </w:rPr>
        <w:t>Operational Resilience:</w:t>
      </w:r>
      <w:r w:rsidRPr="00D32F73">
        <w:br/>
        <w:t>Streamlined processes and digital transformation create a robust foundation for sustainable growth.</w:t>
      </w:r>
    </w:p>
    <w:p w14:paraId="61167F70" w14:textId="77777777" w:rsidR="00D32F73" w:rsidRPr="00D32F73" w:rsidRDefault="00D32F73" w:rsidP="00D32F73">
      <w:pPr>
        <w:numPr>
          <w:ilvl w:val="0"/>
          <w:numId w:val="4"/>
        </w:numPr>
      </w:pPr>
      <w:r w:rsidRPr="00D32F73">
        <w:rPr>
          <w:b/>
          <w:bCs/>
        </w:rPr>
        <w:t>Cost Efficiency:</w:t>
      </w:r>
      <w:r w:rsidRPr="00D32F73">
        <w:br/>
        <w:t>Optimized resource management reduces expenses while delivering superior care.</w:t>
      </w:r>
    </w:p>
    <w:p w14:paraId="3723DBB5" w14:textId="77777777" w:rsidR="00D32F73" w:rsidRPr="00D32F73" w:rsidRDefault="00D32F73" w:rsidP="00D32F73">
      <w:pPr>
        <w:numPr>
          <w:ilvl w:val="0"/>
          <w:numId w:val="4"/>
        </w:numPr>
      </w:pPr>
      <w:r w:rsidRPr="00D32F73">
        <w:rPr>
          <w:b/>
          <w:bCs/>
        </w:rPr>
        <w:t>Regulatory Confidence:</w:t>
      </w:r>
      <w:r w:rsidRPr="00D32F73">
        <w:br/>
        <w:t>Comprehensive compliance frameworks ensure adherence to evolving regulatory standards, mitigating risk.</w:t>
      </w:r>
    </w:p>
    <w:p w14:paraId="75B0776E" w14:textId="77777777" w:rsidR="00D32F73" w:rsidRPr="00D32F73" w:rsidRDefault="00D32F73" w:rsidP="00D32F73">
      <w:pPr>
        <w:numPr>
          <w:ilvl w:val="0"/>
          <w:numId w:val="4"/>
        </w:numPr>
      </w:pPr>
      <w:r w:rsidRPr="00D32F73">
        <w:rPr>
          <w:b/>
          <w:bCs/>
        </w:rPr>
        <w:t>Innovation Leadership:</w:t>
      </w:r>
      <w:r w:rsidRPr="00D32F73">
        <w:br/>
        <w:t>Cultivate a culture of continuous improvement and innovation that positions your organization at the forefront of the industry.</w:t>
      </w:r>
    </w:p>
    <w:p w14:paraId="0DE2BE82" w14:textId="77777777" w:rsidR="00D32F73" w:rsidRPr="00D32F73" w:rsidRDefault="00D32F73" w:rsidP="00D32F73">
      <w:r w:rsidRPr="00D32F73">
        <w:pict w14:anchorId="47A028B1">
          <v:rect id="_x0000_i1066" style="width:0;height:1.5pt" o:hralign="center" o:hrstd="t" o:hr="t" fillcolor="#a0a0a0" stroked="f"/>
        </w:pict>
      </w:r>
    </w:p>
    <w:p w14:paraId="4EB34B54" w14:textId="77777777" w:rsidR="00D32F73" w:rsidRPr="00D32F73" w:rsidRDefault="00D32F73" w:rsidP="00D32F73">
      <w:pPr>
        <w:rPr>
          <w:b/>
          <w:bCs/>
        </w:rPr>
      </w:pPr>
      <w:r w:rsidRPr="00D32F73">
        <w:rPr>
          <w:b/>
          <w:bCs/>
        </w:rPr>
        <w:t>Why Choose MindMerge Inc.</w:t>
      </w:r>
    </w:p>
    <w:p w14:paraId="4F5DC801" w14:textId="77777777" w:rsidR="00D32F73" w:rsidRPr="00D32F73" w:rsidRDefault="00D32F73" w:rsidP="00D32F73">
      <w:r w:rsidRPr="00D32F73">
        <w:t xml:space="preserve">MindMerge Inc. brings a unique blend of deep industry expertise, local market knowledge, and global best practices to the healthcare and </w:t>
      </w:r>
      <w:proofErr w:type="spellStart"/>
      <w:proofErr w:type="gramStart"/>
      <w:r w:rsidRPr="00D32F73">
        <w:t>lifesciences</w:t>
      </w:r>
      <w:proofErr w:type="spellEnd"/>
      <w:proofErr w:type="gramEnd"/>
      <w:r w:rsidRPr="00D32F73">
        <w:t xml:space="preserve"> sector. We are dedicated to </w:t>
      </w:r>
      <w:r w:rsidRPr="00D32F73">
        <w:lastRenderedPageBreak/>
        <w:t>transforming challenges into opportunities—empowering your organization to deliver exceptional care, drive innovation, and achieve long-term operational success.</w:t>
      </w:r>
    </w:p>
    <w:p w14:paraId="15FE034C" w14:textId="77777777" w:rsidR="00987C08" w:rsidRDefault="00987C08"/>
    <w:sectPr w:rsidR="0098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045F"/>
    <w:multiLevelType w:val="multilevel"/>
    <w:tmpl w:val="C66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739B6"/>
    <w:multiLevelType w:val="multilevel"/>
    <w:tmpl w:val="56D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73B50"/>
    <w:multiLevelType w:val="multilevel"/>
    <w:tmpl w:val="5E90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452E7"/>
    <w:multiLevelType w:val="multilevel"/>
    <w:tmpl w:val="3FF88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356152">
    <w:abstractNumId w:val="2"/>
  </w:num>
  <w:num w:numId="2" w16cid:durableId="1964991825">
    <w:abstractNumId w:val="3"/>
  </w:num>
  <w:num w:numId="3" w16cid:durableId="1257640917">
    <w:abstractNumId w:val="1"/>
  </w:num>
  <w:num w:numId="4" w16cid:durableId="178685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73"/>
    <w:rsid w:val="000C44DF"/>
    <w:rsid w:val="00640C4B"/>
    <w:rsid w:val="00987C08"/>
    <w:rsid w:val="00D3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3A2"/>
  <w15:chartTrackingRefBased/>
  <w15:docId w15:val="{166C0597-FBB1-40B0-AB75-F42E035A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F73"/>
    <w:rPr>
      <w:rFonts w:eastAsiaTheme="majorEastAsia" w:cstheme="majorBidi"/>
      <w:color w:val="272727" w:themeColor="text1" w:themeTint="D8"/>
    </w:rPr>
  </w:style>
  <w:style w:type="paragraph" w:styleId="Title">
    <w:name w:val="Title"/>
    <w:basedOn w:val="Normal"/>
    <w:next w:val="Normal"/>
    <w:link w:val="TitleChar"/>
    <w:uiPriority w:val="10"/>
    <w:qFormat/>
    <w:rsid w:val="00D32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F73"/>
    <w:pPr>
      <w:spacing w:before="160"/>
      <w:jc w:val="center"/>
    </w:pPr>
    <w:rPr>
      <w:i/>
      <w:iCs/>
      <w:color w:val="404040" w:themeColor="text1" w:themeTint="BF"/>
    </w:rPr>
  </w:style>
  <w:style w:type="character" w:customStyle="1" w:styleId="QuoteChar">
    <w:name w:val="Quote Char"/>
    <w:basedOn w:val="DefaultParagraphFont"/>
    <w:link w:val="Quote"/>
    <w:uiPriority w:val="29"/>
    <w:rsid w:val="00D32F73"/>
    <w:rPr>
      <w:i/>
      <w:iCs/>
      <w:color w:val="404040" w:themeColor="text1" w:themeTint="BF"/>
    </w:rPr>
  </w:style>
  <w:style w:type="paragraph" w:styleId="ListParagraph">
    <w:name w:val="List Paragraph"/>
    <w:basedOn w:val="Normal"/>
    <w:uiPriority w:val="34"/>
    <w:qFormat/>
    <w:rsid w:val="00D32F73"/>
    <w:pPr>
      <w:ind w:left="720"/>
      <w:contextualSpacing/>
    </w:pPr>
  </w:style>
  <w:style w:type="character" w:styleId="IntenseEmphasis">
    <w:name w:val="Intense Emphasis"/>
    <w:basedOn w:val="DefaultParagraphFont"/>
    <w:uiPriority w:val="21"/>
    <w:qFormat/>
    <w:rsid w:val="00D32F73"/>
    <w:rPr>
      <w:i/>
      <w:iCs/>
      <w:color w:val="0F4761" w:themeColor="accent1" w:themeShade="BF"/>
    </w:rPr>
  </w:style>
  <w:style w:type="paragraph" w:styleId="IntenseQuote">
    <w:name w:val="Intense Quote"/>
    <w:basedOn w:val="Normal"/>
    <w:next w:val="Normal"/>
    <w:link w:val="IntenseQuoteChar"/>
    <w:uiPriority w:val="30"/>
    <w:qFormat/>
    <w:rsid w:val="00D32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F73"/>
    <w:rPr>
      <w:i/>
      <w:iCs/>
      <w:color w:val="0F4761" w:themeColor="accent1" w:themeShade="BF"/>
    </w:rPr>
  </w:style>
  <w:style w:type="character" w:styleId="IntenseReference">
    <w:name w:val="Intense Reference"/>
    <w:basedOn w:val="DefaultParagraphFont"/>
    <w:uiPriority w:val="32"/>
    <w:qFormat/>
    <w:rsid w:val="00D32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99365">
      <w:bodyDiv w:val="1"/>
      <w:marLeft w:val="0"/>
      <w:marRight w:val="0"/>
      <w:marTop w:val="0"/>
      <w:marBottom w:val="0"/>
      <w:divBdr>
        <w:top w:val="none" w:sz="0" w:space="0" w:color="auto"/>
        <w:left w:val="none" w:sz="0" w:space="0" w:color="auto"/>
        <w:bottom w:val="none" w:sz="0" w:space="0" w:color="auto"/>
        <w:right w:val="none" w:sz="0" w:space="0" w:color="auto"/>
      </w:divBdr>
    </w:div>
    <w:div w:id="5027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Javed</dc:creator>
  <cp:keywords/>
  <dc:description/>
  <cp:lastModifiedBy>Nauman Javed</cp:lastModifiedBy>
  <cp:revision>1</cp:revision>
  <dcterms:created xsi:type="dcterms:W3CDTF">2025-03-10T09:40:00Z</dcterms:created>
  <dcterms:modified xsi:type="dcterms:W3CDTF">2025-03-10T09:41:00Z</dcterms:modified>
</cp:coreProperties>
</file>