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0"/>
          <w:szCs w:val="30"/>
        </w:rPr>
        <w:t xml:space="preserve">A Hybrid Framework for the Analysis of Explainable Artificial Intelligence Techniques in LSTM-Based Intrusion Detection</w:t>
      </w:r>
    </w:p>
    <w:p>
      <w:pPr>
        <w:pStyle w:val="Heading2"/>
        <w:spacing w:after="120" w:before="240"/>
      </w:pPr>
      <w:r>
        <w:rPr>
          <w:rFonts w:ascii="Times New Roman" w:cs="Times New Roman" w:eastAsia="Times New Roman" w:hAnsi="Times New Roman"/>
          <w:b/>
          <w:bCs/>
          <w:sz w:val="24"/>
          <w:szCs w:val="24"/>
        </w:rPr>
        <w:t xml:space="preserve">Abstract</w:t>
      </w:r>
    </w:p>
    <w:p>
      <w:pPr>
        <w:spacing w:after="160" w:line="276"/>
        <w:jc w:val="both"/>
      </w:pPr>
      <w:r>
        <w:rPr>
          <w:rFonts w:ascii="Times New Roman" w:cs="Times New Roman" w:eastAsia="Times New Roman" w:hAnsi="Times New Roman"/>
          <w:sz w:val="22"/>
          <w:szCs w:val="22"/>
        </w:rPr>
        <w:t xml:space="preserve">The rapid expansion of Internet of Things (IoT) technologies has significantly increased the complexity and vulnerability of modern network infrastructures, making intelligent Intrusion Detection Systems (IDSs) essential for safeguarding connected environments. Deep learning-based IDSs, particularly Long Short-Term Memory (LSTM) networks [1], have demonstrated superior capability in detecting complex and evolving cyber-attacks by learning temporal dependencies within network traffic. However, despite their high predictive performance, these models operate as black-box systems, limiting their transparency, interpretability, and practical adoption in security-critical applications. Existing Explainable Artificial Intelligence (XAI) frameworks for intrusion detection typically employ one or two explanation techniques in isolation [12]–[18], providing only a partial understanding of the model's decision-making process.</w:t>
      </w:r>
    </w:p>
    <w:p>
      <w:pPr>
        <w:spacing w:after="160" w:line="276"/>
        <w:jc w:val="both"/>
      </w:pPr>
      <w:r>
        <w:rPr>
          <w:rFonts w:ascii="Times New Roman" w:cs="Times New Roman" w:eastAsia="Times New Roman" w:hAnsi="Times New Roman"/>
          <w:sz w:val="22"/>
          <w:szCs w:val="22"/>
        </w:rPr>
        <w:t xml:space="preserve">This paper proposes HXAI-LSTM, a hybrid explainable deep learning framework that integrates LSTM-based intrusion detection with six complementary XAI techniques to enhance both predictive transparency and interpretability. The proposed framework combines SHapley Additive exPlanations (SHAP) [2], Permutation Feature Importance (PFI) [4], Partial Dependence Plots (PDP) [5], Individual Conditional Expectation (ICE) [6], Local Interpretable Model-Agnostic Explanations (LIME) [3], and Explain Like I'm Five (ELI5) within a unified architecture. Unlike existing approaches that utilize these techniques independently [12]–[18], the proposed framework introduces a Hybrid Explainability Fusion Module (HEFM) that aggregates the complementary strengths of all six methods into a single Feature Consensus Score (FCS), enabling comprehensive local and global explanations together with explainability-guided feature analysis.</w:t>
      </w:r>
    </w:p>
    <w:p>
      <w:pPr>
        <w:spacing w:after="160" w:line="276"/>
        <w:jc w:val="both"/>
      </w:pPr>
      <w:r>
        <w:rPr>
          <w:rFonts w:ascii="Times New Roman" w:cs="Times New Roman" w:eastAsia="Times New Roman" w:hAnsi="Times New Roman"/>
          <w:sz w:val="22"/>
          <w:szCs w:val="22"/>
        </w:rPr>
        <w:t xml:space="preserve">The framework is evaluated using three widely adopted benchmark datasets, namely NSL-KDD [7], UNSW-NB15 [8], and TON-IoT [9]. The experimental methodology includes data preprocessing, feature encoding, normalization, LSTM-based classification, multi-level explainability analysis, and comparative performance evaluation using standard classification metrics — accuracy, precision, recall, and F1-score — together with qualitative assessment of model interpretability.</w:t>
      </w:r>
    </w:p>
    <w:p>
      <w:pPr>
        <w:spacing w:after="160" w:line="276"/>
        <w:jc w:val="both"/>
      </w:pPr>
      <w:r>
        <w:rPr>
          <w:rFonts w:ascii="Times New Roman" w:cs="Times New Roman" w:eastAsia="Times New Roman" w:hAnsi="Times New Roman"/>
          <w:sz w:val="22"/>
          <w:szCs w:val="22"/>
        </w:rPr>
        <w:t xml:space="preserve">The proposed framework aims to bridge the gap between high-performance deep learning models and practical explainability requirements in cybersecurity. By integrating multiple explainability techniques within a unified intrusion detection pipeline, the proposed approach is intended to improve model transparency, facilitate feature-level understanding, support security analysts in decision-making, and contribute toward the development of trustworthy and interpretable AI-driven intrusion detection systems for next-generation IoT environments.</w:t>
      </w:r>
    </w:p>
    <w:p>
      <w:pPr>
        <w:spacing w:after="160" w:line="276"/>
        <w:jc w:val="both"/>
      </w:pPr>
      <w:r>
        <w:rPr>
          <w:rFonts w:ascii="Times New Roman" w:cs="Times New Roman" w:eastAsia="Times New Roman" w:hAnsi="Times New Roman"/>
          <w:i/>
          <w:iCs/>
          <w:sz w:val="22"/>
          <w:szCs w:val="22"/>
        </w:rPr>
        <w:t xml:space="preserve">Keywords—Intrusion Detection System; Internet of Things; Explainable Artificial Intelligence; Long Short-Term Memory; SHAP; LIME; ELI5; Network Security; Deep Learning; Cybersecurity.</w:t>
      </w:r>
    </w:p>
    <w:p>
      <w:pPr>
        <w:pStyle w:val="Heading1"/>
        <w:spacing w:after="150" w:before="300"/>
      </w:pPr>
      <w:r>
        <w:rPr>
          <w:rFonts w:ascii="Times New Roman" w:cs="Times New Roman" w:eastAsia="Times New Roman" w:hAnsi="Times New Roman"/>
          <w:b/>
          <w:bCs/>
          <w:sz w:val="28"/>
          <w:szCs w:val="28"/>
        </w:rPr>
        <w:t xml:space="preserve">1. Introduction</w:t>
      </w:r>
    </w:p>
    <w:p>
      <w:pPr>
        <w:spacing w:after="160" w:line="276"/>
        <w:jc w:val="both"/>
      </w:pPr>
      <w:r>
        <w:rPr>
          <w:rFonts w:ascii="Times New Roman" w:cs="Times New Roman" w:eastAsia="Times New Roman" w:hAnsi="Times New Roman"/>
          <w:sz w:val="22"/>
          <w:szCs w:val="22"/>
        </w:rPr>
        <w:t xml:space="preserve">The rapid advancement of the Internet of Things (IoT) has transformed modern communication and computing by enabling billions of interconnected devices to exchange information autonomously across diverse application domains, including healthcare, smart cities, industrial automation, intelligent transportation, agriculture, and critical infrastructure. However, the heterogeneous, distributed, and resource-constrained nature of IoT environments has also introduced numerous security challenges, including Distributed Denial of Service (DDoS), denial-of-service (DoS), reconnaissance, botnet, privilege escalation, remote-to-local (R2L), user-to-root (U2R), and zero-day attacks.</w:t>
      </w:r>
    </w:p>
    <w:p>
      <w:pPr>
        <w:spacing w:after="160" w:line="276"/>
        <w:jc w:val="both"/>
      </w:pPr>
      <w:r>
        <w:rPr>
          <w:rFonts w:ascii="Times New Roman" w:cs="Times New Roman" w:eastAsia="Times New Roman" w:hAnsi="Times New Roman"/>
          <w:sz w:val="22"/>
          <w:szCs w:val="22"/>
        </w:rPr>
        <w:t xml:space="preserve">Intrusion Detection Systems (IDSs) have become one of the primary defense mechanisms for protecting IoT environments against malicious network activities. Conventional signature-based IDSs are effective against known attack patterns but generally fail to identify novel or evolving threats. Anomaly-based IDSs that use machine learning and deep learning to model normal network behavior have therefore attracted considerable attention. Among various deep learning architectures, LSTM networks [1] have demonstrated remarkable performance in intrusion detection because of their capability to model sequential dependencies and temporal characteristics of network traffic, achieving competitive classification performance across benchmark datasets such as NSL-KDD [7], UNSW-NB15 [8], and TON-IoT [9].</w:t>
      </w:r>
    </w:p>
    <w:p>
      <w:pPr>
        <w:spacing w:after="160" w:line="276"/>
        <w:jc w:val="both"/>
      </w:pPr>
      <w:r>
        <w:rPr>
          <w:rFonts w:ascii="Times New Roman" w:cs="Times New Roman" w:eastAsia="Times New Roman" w:hAnsi="Times New Roman"/>
          <w:sz w:val="22"/>
          <w:szCs w:val="22"/>
        </w:rPr>
        <w:t xml:space="preserve">Despite these advantages, deep learning-based intrusion detection models remain inherently opaque due to their black-box nature. In cybersecurity applications, where analysts are responsible for investigating security incidents, validating alerts, and making time-critical decisions, the lack of interpretability significantly limits user trust and practical deployment. Consequently, improving the transparency of AI-driven IDSs has become an active research direction within Explainable Artificial Intelligence (XAI), as recently surveyed by Moustafa et al. [11].</w:t>
      </w:r>
    </w:p>
    <w:p>
      <w:pPr>
        <w:spacing w:after="160" w:line="276"/>
        <w:jc w:val="both"/>
      </w:pPr>
      <w:r>
        <w:rPr>
          <w:rFonts w:ascii="Times New Roman" w:cs="Times New Roman" w:eastAsia="Times New Roman" w:hAnsi="Times New Roman"/>
          <w:sz w:val="22"/>
          <w:szCs w:val="22"/>
        </w:rPr>
        <w:t xml:space="preserve">Recent advances in XAI have introduced several model-agnostic and model-specific explanation techniques. SHAP [2] provides theoretically grounded feature contribution analysis, PFI [4] measures the influence of individual features on predictive performance, PDP [5] and ICE [6] visualize feature-response relationships at global and local levels respectively, LIME [3] generates instance-specific explanations through interpretable surrogate models, and ELI5 provides intuitive global feature importance analysis. Each technique offers unique strengths; however, no single explanation method is sufficient to fully characterize the decision-making behavior of complex deep learning models.</w:t>
      </w:r>
    </w:p>
    <w:p>
      <w:pPr>
        <w:spacing w:after="160" w:line="276"/>
        <w:jc w:val="both"/>
      </w:pPr>
      <w:r>
        <w:rPr>
          <w:rFonts w:ascii="Times New Roman" w:cs="Times New Roman" w:eastAsia="Times New Roman" w:hAnsi="Times New Roman"/>
          <w:sz w:val="22"/>
          <w:szCs w:val="22"/>
        </w:rPr>
        <w:t xml:space="preserve">Existing explainable intrusion detection frameworks primarily employ one or a limited subset of these techniques. SHAP-based frameworks have been applied to multi-layer perceptrons [13], ensemble deep learning for Industrial IoT [14], industrial cyber-physical systems [15], and DNS/DGA classification [16]; LSTM-specific explainable frameworks have been proposed for cross-domain IoT intrusion detection [18]; and evaluation studies have benchmarked multiple XAI frameworks against one another without fusing their outputs [17]. Nevertheless, these approaches exhibit several limitations. First, most frameworks focus exclusively on either local or global explainability, resulting in incomplete interpretation of model behavior. Second, comparative or evaluative studies such as [13] and [17] examine multiple techniques side by side but stop short of aggregating them into a single consensus-based feature ranking. Third, limited attention has been given to integrating six complementary XAI techniques within a unified framework capable of simultaneously providing comprehensive local explanations, global feature analysis, and explainability-guided feature selection for an LSTM-based IDS.</w:t>
      </w:r>
    </w:p>
    <w:p>
      <w:pPr>
        <w:spacing w:after="160" w:line="276"/>
        <w:jc w:val="both"/>
      </w:pPr>
      <w:r>
        <w:rPr>
          <w:rFonts w:ascii="Times New Roman" w:cs="Times New Roman" w:eastAsia="Times New Roman" w:hAnsi="Times New Roman"/>
          <w:sz w:val="22"/>
          <w:szCs w:val="22"/>
        </w:rPr>
        <w:t xml:space="preserve">To address these limitations, this paper proposes a Hybrid Explainable Deep Learning Framework (HXAI-LSTM) for intrusion detection in IoT networks. The proposed framework combines the temporal learning capability of LSTM with six complementary explainability techniques — SHAP, PFI, PDP, ICE, LIME, and ELI5 — and introduces a Hybrid Explainability Fusion Module (HEFM) that produces a unified Feature Consensus Score (FCS), thereby supporting security analysts in understanding intrusion detection decisions across the NSL-KDD [7], UNSW-NB15 [8], and TON-IoT [9] benchmark datasets.</w:t>
      </w:r>
    </w:p>
    <w:p>
      <w:pPr>
        <w:spacing w:after="160" w:line="276"/>
        <w:jc w:val="both"/>
      </w:pPr>
      <w:r>
        <w:rPr>
          <w:rFonts w:ascii="Times New Roman" w:cs="Times New Roman" w:eastAsia="Times New Roman" w:hAnsi="Times New Roman"/>
          <w:sz w:val="22"/>
          <w:szCs w:val="22"/>
        </w:rPr>
        <w:t xml:space="preserve">The primary contributions of this work are summarized as follows:</w:t>
      </w:r>
    </w:p>
    <w:p>
      <w:pPr>
        <w:pStyle w:val="ListParagraph"/>
        <w:numPr>
          <w:ilvl w:val="0"/>
          <w:numId w:val="1"/>
        </w:numPr>
        <w:spacing w:after="80"/>
      </w:pPr>
      <w:r>
        <w:rPr>
          <w:rFonts w:ascii="Times New Roman" w:cs="Times New Roman" w:eastAsia="Times New Roman" w:hAnsi="Times New Roman"/>
          <w:sz w:val="22"/>
          <w:szCs w:val="22"/>
        </w:rPr>
        <w:t xml:space="preserve">A hybrid explainable deep learning framework integrating LSTM with six complementary explainability techniques, including SHAP, PFI, PDP, ICE, LIME, and ELI5.</w:t>
      </w:r>
    </w:p>
    <w:p>
      <w:pPr>
        <w:pStyle w:val="ListParagraph"/>
        <w:numPr>
          <w:ilvl w:val="0"/>
          <w:numId w:val="1"/>
        </w:numPr>
        <w:spacing w:after="80"/>
      </w:pPr>
      <w:r>
        <w:rPr>
          <w:rFonts w:ascii="Times New Roman" w:cs="Times New Roman" w:eastAsia="Times New Roman" w:hAnsi="Times New Roman"/>
          <w:sz w:val="22"/>
          <w:szCs w:val="22"/>
        </w:rPr>
        <w:t xml:space="preserve">A unified explainability architecture (HEFM) that simultaneously provides both local and global interpretations of intrusion detection decisions.</w:t>
      </w:r>
    </w:p>
    <w:p>
      <w:pPr>
        <w:pStyle w:val="ListParagraph"/>
        <w:numPr>
          <w:ilvl w:val="0"/>
          <w:numId w:val="1"/>
        </w:numPr>
        <w:spacing w:after="80"/>
      </w:pPr>
      <w:r>
        <w:rPr>
          <w:rFonts w:ascii="Times New Roman" w:cs="Times New Roman" w:eastAsia="Times New Roman" w:hAnsi="Times New Roman"/>
          <w:sz w:val="22"/>
          <w:szCs w:val="22"/>
        </w:rPr>
        <w:t xml:space="preserve">An explainability-guided feature analysis strategy, quantified through a Feature Consensus Score (FCS), that combines multiple XAI methods to identify influential network traffic features.</w:t>
      </w:r>
    </w:p>
    <w:p>
      <w:pPr>
        <w:pStyle w:val="ListParagraph"/>
        <w:numPr>
          <w:ilvl w:val="0"/>
          <w:numId w:val="1"/>
        </w:numPr>
        <w:spacing w:after="80"/>
      </w:pPr>
      <w:r>
        <w:rPr>
          <w:rFonts w:ascii="Times New Roman" w:cs="Times New Roman" w:eastAsia="Times New Roman" w:hAnsi="Times New Roman"/>
          <w:sz w:val="22"/>
          <w:szCs w:val="22"/>
        </w:rPr>
        <w:t xml:space="preserve">A comprehensive evaluation framework using the NSL-KDD, UNSW-NB15, and TON-IoT benchmark datasets to assess both predictive performance and model interpretability.</w:t>
      </w:r>
    </w:p>
    <w:p>
      <w:pPr>
        <w:pStyle w:val="ListParagraph"/>
        <w:numPr>
          <w:ilvl w:val="0"/>
          <w:numId w:val="1"/>
        </w:numPr>
        <w:spacing w:after="80"/>
      </w:pPr>
      <w:r>
        <w:rPr>
          <w:rFonts w:ascii="Times New Roman" w:cs="Times New Roman" w:eastAsia="Times New Roman" w:hAnsi="Times New Roman"/>
          <w:sz w:val="22"/>
          <w:szCs w:val="22"/>
        </w:rPr>
        <w:t xml:space="preserve">A comparative analysis against recent explainable IDS studies [11]–[18], demonstrating the advantages and complementary characteristics of a multi-technique explainability architecture.</w:t>
      </w:r>
    </w:p>
    <w:p>
      <w:pPr>
        <w:spacing w:after="160" w:line="276"/>
        <w:jc w:val="both"/>
      </w:pPr>
      <w:r>
        <w:rPr>
          <w:rFonts w:ascii="Times New Roman" w:cs="Times New Roman" w:eastAsia="Times New Roman" w:hAnsi="Times New Roman"/>
          <w:sz w:val="22"/>
          <w:szCs w:val="22"/>
        </w:rPr>
        <w:t xml:space="preserve">The remainder of this paper is organized as follows. Section 2 presents the literature review of recent advances in explainable intrusion detection systems. Section 3 identifies the research gap. Section 4 formulates the research objectives, questions, and hypotheses. Section 5 describes the proposed hybrid explainable framework and methodology. Section 6 presents the experimental setup. Section 7 discusses illustrative results. Section 8 provides a broader discussion, and Section 9 concludes the paper with future research directions.</w:t>
      </w:r>
    </w:p>
    <w:p>
      <w:pPr>
        <w:pStyle w:val="Heading1"/>
        <w:spacing w:after="150" w:before="300"/>
      </w:pPr>
      <w:r>
        <w:rPr>
          <w:rFonts w:ascii="Times New Roman" w:cs="Times New Roman" w:eastAsia="Times New Roman" w:hAnsi="Times New Roman"/>
          <w:b/>
          <w:bCs/>
          <w:sz w:val="28"/>
          <w:szCs w:val="28"/>
        </w:rPr>
        <w:t xml:space="preserve">2. Literature Review</w:t>
      </w:r>
    </w:p>
    <w:p>
      <w:pPr>
        <w:spacing w:after="160" w:line="276"/>
        <w:jc w:val="both"/>
      </w:pPr>
      <w:r>
        <w:rPr>
          <w:rFonts w:ascii="Times New Roman" w:cs="Times New Roman" w:eastAsia="Times New Roman" w:hAnsi="Times New Roman"/>
          <w:sz w:val="22"/>
          <w:szCs w:val="22"/>
        </w:rPr>
        <w:t xml:space="preserve">This section reviews recent literature at the intersection of deep learning-based intrusion detection and explainable artificial intelligence, organized around the foundational learning and explanation techniques, and around the degree to which prior studies combine multiple explainability methods.</w:t>
      </w:r>
    </w:p>
    <w:p>
      <w:pPr>
        <w:pStyle w:val="Heading2"/>
        <w:spacing w:after="120" w:before="240"/>
      </w:pPr>
      <w:r>
        <w:rPr>
          <w:rFonts w:ascii="Times New Roman" w:cs="Times New Roman" w:eastAsia="Times New Roman" w:hAnsi="Times New Roman"/>
          <w:b/>
          <w:bCs/>
          <w:sz w:val="24"/>
          <w:szCs w:val="24"/>
        </w:rPr>
        <w:t xml:space="preserve">2.1 Foundational Learning and Explainability Techniques</w:t>
      </w:r>
    </w:p>
    <w:p>
      <w:pPr>
        <w:spacing w:after="160" w:line="276"/>
        <w:jc w:val="both"/>
      </w:pPr>
      <w:r>
        <w:rPr>
          <w:rFonts w:ascii="Times New Roman" w:cs="Times New Roman" w:eastAsia="Times New Roman" w:hAnsi="Times New Roman"/>
          <w:sz w:val="22"/>
          <w:szCs w:val="22"/>
        </w:rPr>
        <w:t xml:space="preserve">LSTM networks [1] extend recurrent neural networks with gated memory cells that mitigate the vanishing-gradient problem, allowing the model to learn dependencies across long input sequences — a property well suited to modeling the temporal structure of network traffic flows. On the explainability side, SHAP [2] formalizes feature attribution using Shapley values from cooperative game theory, providing a theoretically consistent decomposition of a model's output into per-feature contributions. LIME [3] instead approximates a complex model locally around a specific instance using an interpretable surrogate (typically linear) model, making it well suited to instance-level explanation. PFI, originally introduced alongside Random Forests [4], measures a feature's importance by the drop in model performance when that feature's values are randomly permuted. PDP [5] and ICE [6] visualize how the model's predicted output changes as a single feature is varied — PDP at the aggregate (global) level and ICE at the individual-instance (local) level. Because SMOTE [10] is commonly used to correct class imbalance in intrusion detection datasets, it is also included among the foundational techniques referenced in the proposed pipeline.</w:t>
      </w:r>
    </w:p>
    <w:p>
      <w:pPr>
        <w:pStyle w:val="Heading2"/>
        <w:spacing w:after="120" w:before="240"/>
      </w:pPr>
      <w:r>
        <w:rPr>
          <w:rFonts w:ascii="Times New Roman" w:cs="Times New Roman" w:eastAsia="Times New Roman" w:hAnsi="Times New Roman"/>
          <w:b/>
          <w:bCs/>
          <w:sz w:val="24"/>
          <w:szCs w:val="24"/>
        </w:rPr>
        <w:t xml:space="preserve">2.2 Global and Single-Technique Explainability in Intrusion Detection</w:t>
      </w:r>
    </w:p>
    <w:p>
      <w:pPr>
        <w:spacing w:after="160" w:line="276"/>
        <w:jc w:val="both"/>
      </w:pPr>
      <w:r>
        <w:rPr>
          <w:rFonts w:ascii="Times New Roman" w:cs="Times New Roman" w:eastAsia="Times New Roman" w:hAnsi="Times New Roman"/>
          <w:sz w:val="22"/>
          <w:szCs w:val="22"/>
        </w:rPr>
        <w:t xml:space="preserve">Several recent studies apply SHAP as the principal explanation mechanism for intrusion detection models. Shtayat et al. [14] proposed an explainable ensemble deep learning approach for Industrial IoT intrusion detection in which SHAP values are used to interpret ensemble predictions, improving analyst trust but relying on a single global explanation technique. Sivamohan et al. [15] presented TEA-EKHO-IDS, an industrial cyber-physical-system IDS that combines an enhanced krill-herd optimization algorithm with SHAP-based explainability; the explainability component is treated as a secondary evaluation step rather than a core architectural element. Kostopoulos et al. [16] applied SHAP to interpret tree-based and neural DNS classifiers used to detect Domain Generation Algorithm (DGA) activity, illustrating the value of SHAP for cybersecurity classification tasks outside conventional network-flow IDS. In each of these studies, a single explainability technique is used, which — as this paper's introduction argues — provides only a partial view of model behavior.</w:t>
      </w:r>
    </w:p>
    <w:p>
      <w:pPr>
        <w:pStyle w:val="Heading2"/>
        <w:spacing w:after="120" w:before="240"/>
      </w:pPr>
      <w:r>
        <w:rPr>
          <w:rFonts w:ascii="Times New Roman" w:cs="Times New Roman" w:eastAsia="Times New Roman" w:hAnsi="Times New Roman"/>
          <w:b/>
          <w:bCs/>
          <w:sz w:val="24"/>
          <w:szCs w:val="24"/>
        </w:rPr>
        <w:t xml:space="preserve">2.3 Comparative and Local Explainability Studies</w:t>
      </w:r>
    </w:p>
    <w:p>
      <w:pPr>
        <w:spacing w:after="160" w:line="276"/>
        <w:jc w:val="both"/>
      </w:pPr>
      <w:r>
        <w:rPr>
          <w:rFonts w:ascii="Times New Roman" w:cs="Times New Roman" w:eastAsia="Times New Roman" w:hAnsi="Times New Roman"/>
          <w:sz w:val="22"/>
          <w:szCs w:val="22"/>
        </w:rPr>
        <w:t xml:space="preserve">A smaller body of work explicitly compares more than one explanation technique. Gaspar et al. [13] evaluated both LIME and SHAP on a multi-layer perceptron-based IDS, reporting differences in explanation stability and fidelity between the two methods. Arreche et al. [17], in their E-XAI study, benchmarked several black-box explanation frameworks (including SHAP- and LIME-family methods) against one another for network intrusion detection, offering a systematic evaluation methodology for comparing XAI techniques. These studies represent an important step toward multi-technique explainability; however, both stop at comparison and evaluation rather than proposing an architecture that fuses the outputs of the compared techniques into a single, unified feature-importance ranking usable for downstream feature refinement.</w:t>
      </w:r>
    </w:p>
    <w:p>
      <w:pPr>
        <w:pStyle w:val="Heading2"/>
        <w:spacing w:after="120" w:before="240"/>
      </w:pPr>
      <w:r>
        <w:rPr>
          <w:rFonts w:ascii="Times New Roman" w:cs="Times New Roman" w:eastAsia="Times New Roman" w:hAnsi="Times New Roman"/>
          <w:b/>
          <w:bCs/>
          <w:sz w:val="24"/>
          <w:szCs w:val="24"/>
        </w:rPr>
        <w:t xml:space="preserve">2.4 LSTM-Based and Cross-Domain Explainable IDS</w:t>
      </w:r>
    </w:p>
    <w:p>
      <w:pPr>
        <w:spacing w:after="160" w:line="276"/>
        <w:jc w:val="both"/>
      </w:pPr>
      <w:r>
        <w:rPr>
          <w:rFonts w:ascii="Times New Roman" w:cs="Times New Roman" w:eastAsia="Times New Roman" w:hAnsi="Times New Roman"/>
          <w:sz w:val="22"/>
          <w:szCs w:val="22"/>
        </w:rPr>
        <w:t xml:space="preserve">Closer to the deep-learning architecture used in this paper, Le et al. [12] proposed a framework that couples an IoT intrusion detection model with a post-hoc explanation module to jointly support detection and explanation, though the explanation component is based on a single method. Alabbadi and Bajaber [18] introduced X-FuseRLSTM, a cross-domain explainable intrusion detection framework built around a residual LSTM with attention-guided dual-path feature fusion, evaluated on TON-IoT, NSL-KDD, and CICIoMT datasets with XAI used to explain the resulting predictions. While X-FuseRLSTM shares the LSTM backbone adopted in this paper and is evaluated on overlapping benchmark datasets, its fusion mechanism operates at the feature-extraction level (combining representations from two encoding paths) rather than at the explanation level (combining the outputs of multiple independent XAI techniques), which is the specific gap this paper addresses.</w:t>
      </w:r>
    </w:p>
    <w:p>
      <w:pPr>
        <w:pStyle w:val="Heading2"/>
        <w:spacing w:after="120" w:before="240"/>
      </w:pPr>
      <w:r>
        <w:rPr>
          <w:rFonts w:ascii="Times New Roman" w:cs="Times New Roman" w:eastAsia="Times New Roman" w:hAnsi="Times New Roman"/>
          <w:b/>
          <w:bCs/>
          <w:sz w:val="24"/>
          <w:szCs w:val="24"/>
        </w:rPr>
        <w:t xml:space="preserve">2.5 Surveys on Explainable AI for IoT Security</w:t>
      </w:r>
    </w:p>
    <w:p>
      <w:pPr>
        <w:spacing w:after="160" w:line="276"/>
        <w:jc w:val="both"/>
      </w:pPr>
      <w:r>
        <w:rPr>
          <w:rFonts w:ascii="Times New Roman" w:cs="Times New Roman" w:eastAsia="Times New Roman" w:hAnsi="Times New Roman"/>
          <w:sz w:val="22"/>
          <w:szCs w:val="22"/>
        </w:rPr>
        <w:t xml:space="preserve">Moustafa et al. [11] provide a comprehensive survey of explainable intrusion detection for IoT cyber-defence, cataloguing opportunities and open challenges across global, local, model-specific, and model-agnostic explanation techniques. The survey observes that most existing IDS-XAI studies adopt a single explanation paradigm and calls for architectures that integrate complementary explanation types — a call that directly motivates the Hybrid Explainability Fusion Module proposed in this paper.</w:t>
      </w:r>
    </w:p>
    <w:p>
      <w:pPr>
        <w:pStyle w:val="Heading2"/>
        <w:spacing w:after="120" w:before="240"/>
      </w:pPr>
      <w:r>
        <w:rPr>
          <w:rFonts w:ascii="Times New Roman" w:cs="Times New Roman" w:eastAsia="Times New Roman" w:hAnsi="Times New Roman"/>
          <w:b/>
          <w:bCs/>
          <w:sz w:val="24"/>
          <w:szCs w:val="24"/>
        </w:rPr>
        <w:t xml:space="preserve">2.6 Summary of Reviewed Studies and Identified Gaps</w:t>
      </w:r>
    </w:p>
    <w:p>
      <w:pPr>
        <w:spacing w:after="160" w:line="276"/>
        <w:jc w:val="both"/>
      </w:pPr>
      <w:r>
        <w:rPr>
          <w:rFonts w:ascii="Times New Roman" w:cs="Times New Roman" w:eastAsia="Times New Roman" w:hAnsi="Times New Roman"/>
          <w:sz w:val="22"/>
          <w:szCs w:val="22"/>
        </w:rPr>
        <w:t xml:space="preserve">Table 1 summarizes the reviewed studies in terms of the underlying AI model, the XAI technique(s) employed, whether local and/or global explanation is supported, whether multiple XAI outputs are fused into a single consensus ranking, the benchmark dataset(s) used, and the principal limitation relative to the framework proposed in this paper.</w:t>
      </w:r>
    </w:p>
    <w:p>
      <w:pPr>
        <w:spacing w:after="100" w:before="100"/>
      </w:pPr>
      <w:r>
        <w:rPr>
          <w:rFonts w:ascii="Times New Roman" w:cs="Times New Roman" w:eastAsia="Times New Roman" w:hAnsi="Times New Roman"/>
          <w:b/>
          <w:bCs/>
          <w:i/>
          <w:iCs/>
          <w:sz w:val="20"/>
          <w:szCs w:val="20"/>
        </w:rPr>
        <w:t xml:space="preserve">Table 1. Comparative Summary of Reviewed Explainable Intrusion Detection Studies</w:t>
      </w:r>
    </w:p>
    <w:tbl>
      <w:tblPr>
        <w:tblW w:type="dxa" w:w="1110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600"/>
        <w:gridCol w:w="800"/>
        <w:gridCol w:w="800"/>
        <w:gridCol w:w="1000"/>
        <w:gridCol w:w="1300"/>
        <w:gridCol w:w="1400"/>
        <w:gridCol w:w="2200"/>
      </w:tblGrid>
      <w:tr>
        <w:tc>
          <w:tcPr>
            <w:tcW w:type="dxa" w:w="900"/>
          </w:tcPr>
          <w:p>
            <w:r>
              <w:rPr>
                <w:rFonts w:ascii="Times New Roman" w:cs="Times New Roman" w:eastAsia="Times New Roman" w:hAnsi="Times New Roman"/>
                <w:b w:val="false"/>
                <w:bCs w:val="false"/>
                <w:sz w:val="18"/>
                <w:szCs w:val="18"/>
              </w:rPr>
              <w:t xml:space="default"/>
            </w:r>
          </w:p>
        </w:tc>
        <w:tc>
          <w:tcPr>
            <w:tcW w:type="dxa" w:w="1100"/>
          </w:tcPr>
          <w:p>
            <w:r>
              <w:rPr>
                <w:rFonts w:ascii="Times New Roman" w:cs="Times New Roman" w:eastAsia="Times New Roman" w:hAnsi="Times New Roman"/>
                <w:b w:val="false"/>
                <w:bCs w:val="false"/>
                <w:sz w:val="18"/>
                <w:szCs w:val="18"/>
              </w:rPr>
              <w:t xml:space="default"/>
            </w:r>
          </w:p>
        </w:tc>
        <w:tc>
          <w:tcPr>
            <w:tcW w:type="dxa" w:w="1600"/>
          </w:tcPr>
          <w:p>
            <w:r>
              <w:rPr>
                <w:rFonts w:ascii="Times New Roman" w:cs="Times New Roman" w:eastAsia="Times New Roman" w:hAnsi="Times New Roman"/>
                <w:b w:val="false"/>
                <w:bCs w:val="false"/>
                <w:sz w:val="18"/>
                <w:szCs w:val="18"/>
              </w:rPr>
              <w:t xml:space="default"/>
            </w:r>
          </w:p>
        </w:tc>
        <w:tc>
          <w:tcPr>
            <w:tcW w:type="dxa" w:w="800"/>
          </w:tcPr>
          <w:p>
            <w:r>
              <w:rPr>
                <w:rFonts w:ascii="Times New Roman" w:cs="Times New Roman" w:eastAsia="Times New Roman" w:hAnsi="Times New Roman"/>
                <w:b w:val="false"/>
                <w:bCs w:val="false"/>
                <w:sz w:val="18"/>
                <w:szCs w:val="18"/>
              </w:rPr>
              <w:t xml:space="default"/>
            </w:r>
          </w:p>
        </w:tc>
        <w:tc>
          <w:tcPr>
            <w:tcW w:type="dxa" w:w="800"/>
          </w:tcPr>
          <w:p>
            <w:r>
              <w:rPr>
                <w:rFonts w:ascii="Times New Roman" w:cs="Times New Roman" w:eastAsia="Times New Roman" w:hAnsi="Times New Roman"/>
                <w:b w:val="false"/>
                <w:bCs w:val="false"/>
                <w:sz w:val="18"/>
                <w:szCs w:val="18"/>
              </w:rPr>
              <w:t xml:space="default"/>
            </w:r>
          </w:p>
        </w:tc>
        <w:tc>
          <w:tcPr>
            <w:tcW w:type="dxa" w:w="1000"/>
          </w:tcPr>
          <w:p>
            <w:r>
              <w:rPr>
                <w:rFonts w:ascii="Times New Roman" w:cs="Times New Roman" w:eastAsia="Times New Roman" w:hAnsi="Times New Roman"/>
                <w:b w:val="false"/>
                <w:bCs w:val="false"/>
                <w:sz w:val="18"/>
                <w:szCs w:val="18"/>
              </w:rPr>
              <w:t xml:space="default"/>
            </w:r>
          </w:p>
        </w:tc>
        <w:tc>
          <w:tcPr>
            <w:tcW w:type="dxa" w:w="1300"/>
          </w:tcPr>
          <w:p>
            <w:r>
              <w:rPr>
                <w:rFonts w:ascii="Times New Roman" w:cs="Times New Roman" w:eastAsia="Times New Roman" w:hAnsi="Times New Roman"/>
                <w:b w:val="false"/>
                <w:bCs w:val="false"/>
                <w:sz w:val="18"/>
                <w:szCs w:val="18"/>
              </w:rPr>
              <w:t xml:space="default"/>
            </w:r>
          </w:p>
        </w:tc>
        <w:tc>
          <w:tcPr>
            <w:tcW w:type="dxa" w:w="1400"/>
          </w:tcPr>
          <w:p>
            <w:r>
              <w:rPr>
                <w:rFonts w:ascii="Times New Roman" w:cs="Times New Roman" w:eastAsia="Times New Roman" w:hAnsi="Times New Roman"/>
                <w:b w:val="false"/>
                <w:bCs w:val="false"/>
                <w:sz w:val="18"/>
                <w:szCs w:val="18"/>
              </w:rPr>
              <w:t xml:space="default"/>
            </w:r>
          </w:p>
        </w:tc>
        <w:tc>
          <w:tcPr>
            <w:tcW w:type="dxa" w:w="2200"/>
          </w:tcPr>
          <w:p>
            <w:r>
              <w:rPr>
                <w:rFonts w:ascii="Times New Roman" w:cs="Times New Roman" w:eastAsia="Times New Roman" w:hAnsi="Times New Roman"/>
                <w:b w:val="false"/>
                <w:bCs w:val="false"/>
                <w:sz w:val="18"/>
                <w:szCs w:val="18"/>
              </w:rPr>
              <w:t xml:space="default"/>
            </w:r>
          </w:p>
        </w:tc>
      </w:tr>
      <w:tr>
        <w:tc>
          <w:tcPr>
            <w:tcW w:type="dxa" w:w="900"/>
          </w:tcPr>
          <w:p>
            <w:r>
              <w:rPr>
                <w:rFonts w:ascii="Times New Roman" w:cs="Times New Roman" w:eastAsia="Times New Roman" w:hAnsi="Times New Roman"/>
                <w:b w:val="false"/>
                <w:bCs w:val="false"/>
                <w:sz w:val="18"/>
                <w:szCs w:val="18"/>
              </w:rPr>
              <w:t xml:space="preserve">[11]</w:t>
            </w:r>
          </w:p>
        </w:tc>
        <w:tc>
          <w:tcPr>
            <w:tcW w:type="dxa" w:w="1100"/>
          </w:tcPr>
          <w:p>
            <w:r>
              <w:rPr>
                <w:rFonts w:ascii="Times New Roman" w:cs="Times New Roman" w:eastAsia="Times New Roman" w:hAnsi="Times New Roman"/>
                <w:b w:val="false"/>
                <w:bCs w:val="false"/>
                <w:sz w:val="18"/>
                <w:szCs w:val="18"/>
              </w:rPr>
              <w:t xml:space="preserve">Multiple (survey)</w:t>
            </w:r>
          </w:p>
        </w:tc>
        <w:tc>
          <w:tcPr>
            <w:tcW w:type="dxa" w:w="1600"/>
          </w:tcPr>
          <w:p>
            <w:r>
              <w:rPr>
                <w:rFonts w:ascii="Times New Roman" w:cs="Times New Roman" w:eastAsia="Times New Roman" w:hAnsi="Times New Roman"/>
                <w:b w:val="false"/>
                <w:bCs w:val="false"/>
                <w:sz w:val="18"/>
                <w:szCs w:val="18"/>
              </w:rPr>
              <w:t xml:space="preserve">SHAP, LIME, others</w:t>
            </w:r>
          </w:p>
        </w:tc>
        <w:tc>
          <w:tcPr>
            <w:tcW w:type="dxa" w:w="800"/>
          </w:tcPr>
          <w:p>
            <w:r>
              <w:rPr>
                <w:rFonts w:ascii="Times New Roman" w:cs="Times New Roman" w:eastAsia="Times New Roman" w:hAnsi="Times New Roman"/>
                <w:b w:val="false"/>
                <w:bCs w:val="false"/>
                <w:sz w:val="18"/>
                <w:szCs w:val="18"/>
              </w:rPr>
              <w:t xml:space="preserve">Partial</w:t>
            </w:r>
          </w:p>
        </w:tc>
        <w:tc>
          <w:tcPr>
            <w:tcW w:type="dxa" w:w="800"/>
          </w:tcPr>
          <w:p>
            <w:r>
              <w:rPr>
                <w:rFonts w:ascii="Times New Roman" w:cs="Times New Roman" w:eastAsia="Times New Roman" w:hAnsi="Times New Roman"/>
                <w:b w:val="false"/>
                <w:bCs w:val="false"/>
                <w:sz w:val="18"/>
                <w:szCs w:val="18"/>
              </w:rPr>
              <w:t xml:space="preserve">Partial</w:t>
            </w:r>
          </w:p>
        </w:tc>
        <w:tc>
          <w:tcPr>
            <w:tcW w:type="dxa" w:w="1000"/>
          </w:tcPr>
          <w:p>
            <w:r>
              <w:rPr>
                <w:rFonts w:ascii="Times New Roman" w:cs="Times New Roman" w:eastAsia="Times New Roman" w:hAnsi="Times New Roman"/>
                <w:b w:val="false"/>
                <w:bCs w:val="false"/>
                <w:sz w:val="18"/>
                <w:szCs w:val="18"/>
              </w:rPr>
              <w:t xml:space="preserve">No</w:t>
            </w:r>
          </w:p>
        </w:tc>
        <w:tc>
          <w:tcPr>
            <w:tcW w:type="dxa" w:w="1300"/>
          </w:tcPr>
          <w:p>
            <w:r>
              <w:rPr>
                <w:rFonts w:ascii="Times New Roman" w:cs="Times New Roman" w:eastAsia="Times New Roman" w:hAnsi="Times New Roman"/>
                <w:b w:val="false"/>
                <w:bCs w:val="false"/>
                <w:sz w:val="18"/>
                <w:szCs w:val="18"/>
              </w:rPr>
              <w:t xml:space="preserve">No</w:t>
            </w:r>
          </w:p>
        </w:tc>
        <w:tc>
          <w:tcPr>
            <w:tcW w:type="dxa" w:w="1400"/>
          </w:tcPr>
          <w:p>
            <w:r>
              <w:rPr>
                <w:rFonts w:ascii="Times New Roman" w:cs="Times New Roman" w:eastAsia="Times New Roman" w:hAnsi="Times New Roman"/>
                <w:b w:val="false"/>
                <w:bCs w:val="false"/>
                <w:sz w:val="18"/>
                <w:szCs w:val="18"/>
              </w:rPr>
              <w:t xml:space="preserve">General IoT</w:t>
            </w:r>
          </w:p>
        </w:tc>
        <w:tc>
          <w:tcPr>
            <w:tcW w:type="dxa" w:w="2200"/>
          </w:tcPr>
          <w:p>
            <w:r>
              <w:rPr>
                <w:rFonts w:ascii="Times New Roman" w:cs="Times New Roman" w:eastAsia="Times New Roman" w:hAnsi="Times New Roman"/>
                <w:b w:val="false"/>
                <w:bCs w:val="false"/>
                <w:sz w:val="18"/>
                <w:szCs w:val="18"/>
              </w:rPr>
              <w:t xml:space="preserve">Surveys opportunities but proposes no unified architecture</w:t>
            </w:r>
          </w:p>
        </w:tc>
      </w:tr>
      <w:tr>
        <w:tc>
          <w:tcPr>
            <w:tcW w:type="dxa" w:w="900"/>
          </w:tcPr>
          <w:p>
            <w:r>
              <w:rPr>
                <w:rFonts w:ascii="Times New Roman" w:cs="Times New Roman" w:eastAsia="Times New Roman" w:hAnsi="Times New Roman"/>
                <w:b w:val="false"/>
                <w:bCs w:val="false"/>
                <w:sz w:val="18"/>
                <w:szCs w:val="18"/>
              </w:rPr>
              <w:t xml:space="preserve">[12]</w:t>
            </w:r>
          </w:p>
        </w:tc>
        <w:tc>
          <w:tcPr>
            <w:tcW w:type="dxa" w:w="1100"/>
          </w:tcPr>
          <w:p>
            <w:r>
              <w:rPr>
                <w:rFonts w:ascii="Times New Roman" w:cs="Times New Roman" w:eastAsia="Times New Roman" w:hAnsi="Times New Roman"/>
                <w:b w:val="false"/>
                <w:bCs w:val="false"/>
                <w:sz w:val="18"/>
                <w:szCs w:val="18"/>
              </w:rPr>
              <w:t xml:space="preserve">DL (unspecified)</w:t>
            </w:r>
          </w:p>
        </w:tc>
        <w:tc>
          <w:tcPr>
            <w:tcW w:type="dxa" w:w="1600"/>
          </w:tcPr>
          <w:p>
            <w:r>
              <w:rPr>
                <w:rFonts w:ascii="Times New Roman" w:cs="Times New Roman" w:eastAsia="Times New Roman" w:hAnsi="Times New Roman"/>
                <w:b w:val="false"/>
                <w:bCs w:val="false"/>
                <w:sz w:val="18"/>
                <w:szCs w:val="18"/>
              </w:rPr>
              <w:t xml:space="preserve">Post-hoc explanation module</w:t>
            </w:r>
          </w:p>
        </w:tc>
        <w:tc>
          <w:tcPr>
            <w:tcW w:type="dxa" w:w="800"/>
          </w:tcPr>
          <w:p>
            <w:r>
              <w:rPr>
                <w:rFonts w:ascii="Times New Roman" w:cs="Times New Roman" w:eastAsia="Times New Roman" w:hAnsi="Times New Roman"/>
                <w:b w:val="false"/>
                <w:bCs w:val="false"/>
                <w:sz w:val="18"/>
                <w:szCs w:val="18"/>
              </w:rPr>
              <w:t xml:space="preserve">Yes</w:t>
            </w:r>
          </w:p>
        </w:tc>
        <w:tc>
          <w:tcPr>
            <w:tcW w:type="dxa" w:w="800"/>
          </w:tcPr>
          <w:p>
            <w:r>
              <w:rPr>
                <w:rFonts w:ascii="Times New Roman" w:cs="Times New Roman" w:eastAsia="Times New Roman" w:hAnsi="Times New Roman"/>
                <w:b w:val="false"/>
                <w:bCs w:val="false"/>
                <w:sz w:val="18"/>
                <w:szCs w:val="18"/>
              </w:rPr>
              <w:t xml:space="preserve">Limited</w:t>
            </w:r>
          </w:p>
        </w:tc>
        <w:tc>
          <w:tcPr>
            <w:tcW w:type="dxa" w:w="1000"/>
          </w:tcPr>
          <w:p>
            <w:r>
              <w:rPr>
                <w:rFonts w:ascii="Times New Roman" w:cs="Times New Roman" w:eastAsia="Times New Roman" w:hAnsi="Times New Roman"/>
                <w:b w:val="false"/>
                <w:bCs w:val="false"/>
                <w:sz w:val="18"/>
                <w:szCs w:val="18"/>
              </w:rPr>
              <w:t xml:space="preserve">No</w:t>
            </w:r>
          </w:p>
        </w:tc>
        <w:tc>
          <w:tcPr>
            <w:tcW w:type="dxa" w:w="1300"/>
          </w:tcPr>
          <w:p>
            <w:r>
              <w:rPr>
                <w:rFonts w:ascii="Times New Roman" w:cs="Times New Roman" w:eastAsia="Times New Roman" w:hAnsi="Times New Roman"/>
                <w:b w:val="false"/>
                <w:bCs w:val="false"/>
                <w:sz w:val="18"/>
                <w:szCs w:val="18"/>
              </w:rPr>
              <w:t xml:space="preserve">No</w:t>
            </w:r>
          </w:p>
        </w:tc>
        <w:tc>
          <w:tcPr>
            <w:tcW w:type="dxa" w:w="1400"/>
          </w:tcPr>
          <w:p>
            <w:r>
              <w:rPr>
                <w:rFonts w:ascii="Times New Roman" w:cs="Times New Roman" w:eastAsia="Times New Roman" w:hAnsi="Times New Roman"/>
                <w:b w:val="false"/>
                <w:bCs w:val="false"/>
                <w:sz w:val="18"/>
                <w:szCs w:val="18"/>
              </w:rPr>
              <w:t xml:space="preserve">IoT sensor data</w:t>
            </w:r>
          </w:p>
        </w:tc>
        <w:tc>
          <w:tcPr>
            <w:tcW w:type="dxa" w:w="2200"/>
          </w:tcPr>
          <w:p>
            <w:r>
              <w:rPr>
                <w:rFonts w:ascii="Times New Roman" w:cs="Times New Roman" w:eastAsia="Times New Roman" w:hAnsi="Times New Roman"/>
                <w:b w:val="false"/>
                <w:bCs w:val="false"/>
                <w:sz w:val="18"/>
                <w:szCs w:val="18"/>
              </w:rPr>
              <w:t xml:space="preserve">Explanation layer is single-method and not benchmarked across techniques</w:t>
            </w:r>
          </w:p>
        </w:tc>
      </w:tr>
      <w:tr>
        <w:tc>
          <w:tcPr>
            <w:tcW w:type="dxa" w:w="900"/>
          </w:tcPr>
          <w:p>
            <w:r>
              <w:rPr>
                <w:rFonts w:ascii="Times New Roman" w:cs="Times New Roman" w:eastAsia="Times New Roman" w:hAnsi="Times New Roman"/>
                <w:b w:val="false"/>
                <w:bCs w:val="false"/>
                <w:sz w:val="18"/>
                <w:szCs w:val="18"/>
              </w:rPr>
              <w:t xml:space="preserve">[13]</w:t>
            </w:r>
          </w:p>
        </w:tc>
        <w:tc>
          <w:tcPr>
            <w:tcW w:type="dxa" w:w="1100"/>
          </w:tcPr>
          <w:p>
            <w:r>
              <w:rPr>
                <w:rFonts w:ascii="Times New Roman" w:cs="Times New Roman" w:eastAsia="Times New Roman" w:hAnsi="Times New Roman"/>
                <w:b w:val="false"/>
                <w:bCs w:val="false"/>
                <w:sz w:val="18"/>
                <w:szCs w:val="18"/>
              </w:rPr>
              <w:t xml:space="preserve">MLP</w:t>
            </w:r>
          </w:p>
        </w:tc>
        <w:tc>
          <w:tcPr>
            <w:tcW w:type="dxa" w:w="1600"/>
          </w:tcPr>
          <w:p>
            <w:r>
              <w:rPr>
                <w:rFonts w:ascii="Times New Roman" w:cs="Times New Roman" w:eastAsia="Times New Roman" w:hAnsi="Times New Roman"/>
                <w:b w:val="false"/>
                <w:bCs w:val="false"/>
                <w:sz w:val="18"/>
                <w:szCs w:val="18"/>
              </w:rPr>
              <w:t xml:space="preserve">LIME, SHAP</w:t>
            </w:r>
          </w:p>
        </w:tc>
        <w:tc>
          <w:tcPr>
            <w:tcW w:type="dxa" w:w="800"/>
          </w:tcPr>
          <w:p>
            <w:r>
              <w:rPr>
                <w:rFonts w:ascii="Times New Roman" w:cs="Times New Roman" w:eastAsia="Times New Roman" w:hAnsi="Times New Roman"/>
                <w:b w:val="false"/>
                <w:bCs w:val="false"/>
                <w:sz w:val="18"/>
                <w:szCs w:val="18"/>
              </w:rPr>
              <w:t xml:space="preserve">Yes</w:t>
            </w:r>
          </w:p>
        </w:tc>
        <w:tc>
          <w:tcPr>
            <w:tcW w:type="dxa" w:w="800"/>
          </w:tcPr>
          <w:p>
            <w:r>
              <w:rPr>
                <w:rFonts w:ascii="Times New Roman" w:cs="Times New Roman" w:eastAsia="Times New Roman" w:hAnsi="Times New Roman"/>
                <w:b w:val="false"/>
                <w:bCs w:val="false"/>
                <w:sz w:val="18"/>
                <w:szCs w:val="18"/>
              </w:rPr>
              <w:t xml:space="preserve">Yes</w:t>
            </w:r>
          </w:p>
        </w:tc>
        <w:tc>
          <w:tcPr>
            <w:tcW w:type="dxa" w:w="1000"/>
          </w:tcPr>
          <w:p>
            <w:r>
              <w:rPr>
                <w:rFonts w:ascii="Times New Roman" w:cs="Times New Roman" w:eastAsia="Times New Roman" w:hAnsi="Times New Roman"/>
                <w:b w:val="false"/>
                <w:bCs w:val="false"/>
                <w:sz w:val="18"/>
                <w:szCs w:val="18"/>
              </w:rPr>
              <w:t xml:space="preserve">No (compared, not fused)</w:t>
            </w:r>
          </w:p>
        </w:tc>
        <w:tc>
          <w:tcPr>
            <w:tcW w:type="dxa" w:w="1300"/>
          </w:tcPr>
          <w:p>
            <w:r>
              <w:rPr>
                <w:rFonts w:ascii="Times New Roman" w:cs="Times New Roman" w:eastAsia="Times New Roman" w:hAnsi="Times New Roman"/>
                <w:b w:val="false"/>
                <w:bCs w:val="false"/>
                <w:sz w:val="18"/>
                <w:szCs w:val="18"/>
              </w:rPr>
              <w:t xml:space="preserve">No</w:t>
            </w:r>
          </w:p>
        </w:tc>
        <w:tc>
          <w:tcPr>
            <w:tcW w:type="dxa" w:w="1400"/>
          </w:tcPr>
          <w:p>
            <w:r>
              <w:rPr>
                <w:rFonts w:ascii="Times New Roman" w:cs="Times New Roman" w:eastAsia="Times New Roman" w:hAnsi="Times New Roman"/>
                <w:b w:val="false"/>
                <w:bCs w:val="false"/>
                <w:sz w:val="18"/>
                <w:szCs w:val="18"/>
              </w:rPr>
              <w:t xml:space="preserve">Network IDS data</w:t>
            </w:r>
          </w:p>
        </w:tc>
        <w:tc>
          <w:tcPr>
            <w:tcW w:type="dxa" w:w="2200"/>
          </w:tcPr>
          <w:p>
            <w:r>
              <w:rPr>
                <w:rFonts w:ascii="Times New Roman" w:cs="Times New Roman" w:eastAsia="Times New Roman" w:hAnsi="Times New Roman"/>
                <w:b w:val="false"/>
                <w:bCs w:val="false"/>
                <w:sz w:val="18"/>
                <w:szCs w:val="18"/>
              </w:rPr>
              <w:t xml:space="preserve">Compares only two techniques; no consensus scoring</w:t>
            </w:r>
          </w:p>
        </w:tc>
      </w:tr>
      <w:tr>
        <w:tc>
          <w:tcPr>
            <w:tcW w:type="dxa" w:w="900"/>
          </w:tcPr>
          <w:p>
            <w:r>
              <w:rPr>
                <w:rFonts w:ascii="Times New Roman" w:cs="Times New Roman" w:eastAsia="Times New Roman" w:hAnsi="Times New Roman"/>
                <w:b w:val="false"/>
                <w:bCs w:val="false"/>
                <w:sz w:val="18"/>
                <w:szCs w:val="18"/>
              </w:rPr>
              <w:t xml:space="preserve">[14]</w:t>
            </w:r>
          </w:p>
        </w:tc>
        <w:tc>
          <w:tcPr>
            <w:tcW w:type="dxa" w:w="1100"/>
          </w:tcPr>
          <w:p>
            <w:r>
              <w:rPr>
                <w:rFonts w:ascii="Times New Roman" w:cs="Times New Roman" w:eastAsia="Times New Roman" w:hAnsi="Times New Roman"/>
                <w:b w:val="false"/>
                <w:bCs w:val="false"/>
                <w:sz w:val="18"/>
                <w:szCs w:val="18"/>
              </w:rPr>
              <w:t xml:space="preserve">Ensemble DL</w:t>
            </w:r>
          </w:p>
        </w:tc>
        <w:tc>
          <w:tcPr>
            <w:tcW w:type="dxa" w:w="1600"/>
          </w:tcPr>
          <w:p>
            <w:r>
              <w:rPr>
                <w:rFonts w:ascii="Times New Roman" w:cs="Times New Roman" w:eastAsia="Times New Roman" w:hAnsi="Times New Roman"/>
                <w:b w:val="false"/>
                <w:bCs w:val="false"/>
                <w:sz w:val="18"/>
                <w:szCs w:val="18"/>
              </w:rPr>
              <w:t xml:space="preserve">SHAP-based</w:t>
            </w:r>
          </w:p>
        </w:tc>
        <w:tc>
          <w:tcPr>
            <w:tcW w:type="dxa" w:w="800"/>
          </w:tcPr>
          <w:p>
            <w:r>
              <w:rPr>
                <w:rFonts w:ascii="Times New Roman" w:cs="Times New Roman" w:eastAsia="Times New Roman" w:hAnsi="Times New Roman"/>
                <w:b w:val="false"/>
                <w:bCs w:val="false"/>
                <w:sz w:val="18"/>
                <w:szCs w:val="18"/>
              </w:rPr>
              <w:t xml:space="preserve">Limited</w:t>
            </w:r>
          </w:p>
        </w:tc>
        <w:tc>
          <w:tcPr>
            <w:tcW w:type="dxa" w:w="800"/>
          </w:tcPr>
          <w:p>
            <w:r>
              <w:rPr>
                <w:rFonts w:ascii="Times New Roman" w:cs="Times New Roman" w:eastAsia="Times New Roman" w:hAnsi="Times New Roman"/>
                <w:b w:val="false"/>
                <w:bCs w:val="false"/>
                <w:sz w:val="18"/>
                <w:szCs w:val="18"/>
              </w:rPr>
              <w:t xml:space="preserve">Yes</w:t>
            </w:r>
          </w:p>
        </w:tc>
        <w:tc>
          <w:tcPr>
            <w:tcW w:type="dxa" w:w="1000"/>
          </w:tcPr>
          <w:p>
            <w:r>
              <w:rPr>
                <w:rFonts w:ascii="Times New Roman" w:cs="Times New Roman" w:eastAsia="Times New Roman" w:hAnsi="Times New Roman"/>
                <w:b w:val="false"/>
                <w:bCs w:val="false"/>
                <w:sz w:val="18"/>
                <w:szCs w:val="18"/>
              </w:rPr>
              <w:t xml:space="preserve">No</w:t>
            </w:r>
          </w:p>
        </w:tc>
        <w:tc>
          <w:tcPr>
            <w:tcW w:type="dxa" w:w="1300"/>
          </w:tcPr>
          <w:p>
            <w:r>
              <w:rPr>
                <w:rFonts w:ascii="Times New Roman" w:cs="Times New Roman" w:eastAsia="Times New Roman" w:hAnsi="Times New Roman"/>
                <w:b w:val="false"/>
                <w:bCs w:val="false"/>
                <w:sz w:val="18"/>
                <w:szCs w:val="18"/>
              </w:rPr>
              <w:t xml:space="preserve">No</w:t>
            </w:r>
          </w:p>
        </w:tc>
        <w:tc>
          <w:tcPr>
            <w:tcW w:type="dxa" w:w="1400"/>
          </w:tcPr>
          <w:p>
            <w:r>
              <w:rPr>
                <w:rFonts w:ascii="Times New Roman" w:cs="Times New Roman" w:eastAsia="Times New Roman" w:hAnsi="Times New Roman"/>
                <w:b w:val="false"/>
                <w:bCs w:val="false"/>
                <w:sz w:val="18"/>
                <w:szCs w:val="18"/>
              </w:rPr>
              <w:t xml:space="preserve">IIoT</w:t>
            </w:r>
          </w:p>
        </w:tc>
        <w:tc>
          <w:tcPr>
            <w:tcW w:type="dxa" w:w="2200"/>
          </w:tcPr>
          <w:p>
            <w:r>
              <w:rPr>
                <w:rFonts w:ascii="Times New Roman" w:cs="Times New Roman" w:eastAsia="Times New Roman" w:hAnsi="Times New Roman"/>
                <w:b w:val="false"/>
                <w:bCs w:val="false"/>
                <w:sz w:val="18"/>
                <w:szCs w:val="18"/>
              </w:rPr>
              <w:t xml:space="preserve">Single global technique; no local instance-level fusion</w:t>
            </w:r>
          </w:p>
        </w:tc>
      </w:tr>
      <w:tr>
        <w:tc>
          <w:tcPr>
            <w:tcW w:type="dxa" w:w="900"/>
          </w:tcPr>
          <w:p>
            <w:r>
              <w:rPr>
                <w:rFonts w:ascii="Times New Roman" w:cs="Times New Roman" w:eastAsia="Times New Roman" w:hAnsi="Times New Roman"/>
                <w:b w:val="false"/>
                <w:bCs w:val="false"/>
                <w:sz w:val="18"/>
                <w:szCs w:val="18"/>
              </w:rPr>
              <w:t xml:space="preserve">[15]</w:t>
            </w:r>
          </w:p>
        </w:tc>
        <w:tc>
          <w:tcPr>
            <w:tcW w:type="dxa" w:w="1100"/>
          </w:tcPr>
          <w:p>
            <w:r>
              <w:rPr>
                <w:rFonts w:ascii="Times New Roman" w:cs="Times New Roman" w:eastAsia="Times New Roman" w:hAnsi="Times New Roman"/>
                <w:b w:val="false"/>
                <w:bCs w:val="false"/>
                <w:sz w:val="18"/>
                <w:szCs w:val="18"/>
              </w:rPr>
              <w:t xml:space="preserve">CPS-IDS + Krill Herd optimization</w:t>
            </w:r>
          </w:p>
        </w:tc>
        <w:tc>
          <w:tcPr>
            <w:tcW w:type="dxa" w:w="1600"/>
          </w:tcPr>
          <w:p>
            <w:r>
              <w:rPr>
                <w:rFonts w:ascii="Times New Roman" w:cs="Times New Roman" w:eastAsia="Times New Roman" w:hAnsi="Times New Roman"/>
                <w:b w:val="false"/>
                <w:bCs w:val="false"/>
                <w:sz w:val="18"/>
                <w:szCs w:val="18"/>
              </w:rPr>
              <w:t xml:space="preserve">XAI (SHAP-based)</w:t>
            </w:r>
          </w:p>
        </w:tc>
        <w:tc>
          <w:tcPr>
            <w:tcW w:type="dxa" w:w="800"/>
          </w:tcPr>
          <w:p>
            <w:r>
              <w:rPr>
                <w:rFonts w:ascii="Times New Roman" w:cs="Times New Roman" w:eastAsia="Times New Roman" w:hAnsi="Times New Roman"/>
                <w:b w:val="false"/>
                <w:bCs w:val="false"/>
                <w:sz w:val="18"/>
                <w:szCs w:val="18"/>
              </w:rPr>
              <w:t xml:space="preserve">Limited</w:t>
            </w:r>
          </w:p>
        </w:tc>
        <w:tc>
          <w:tcPr>
            <w:tcW w:type="dxa" w:w="800"/>
          </w:tcPr>
          <w:p>
            <w:r>
              <w:rPr>
                <w:rFonts w:ascii="Times New Roman" w:cs="Times New Roman" w:eastAsia="Times New Roman" w:hAnsi="Times New Roman"/>
                <w:b w:val="false"/>
                <w:bCs w:val="false"/>
                <w:sz w:val="18"/>
                <w:szCs w:val="18"/>
              </w:rPr>
              <w:t xml:space="preserve">Yes</w:t>
            </w:r>
          </w:p>
        </w:tc>
        <w:tc>
          <w:tcPr>
            <w:tcW w:type="dxa" w:w="1000"/>
          </w:tcPr>
          <w:p>
            <w:r>
              <w:rPr>
                <w:rFonts w:ascii="Times New Roman" w:cs="Times New Roman" w:eastAsia="Times New Roman" w:hAnsi="Times New Roman"/>
                <w:b w:val="false"/>
                <w:bCs w:val="false"/>
                <w:sz w:val="18"/>
                <w:szCs w:val="18"/>
              </w:rPr>
              <w:t xml:space="preserve">No</w:t>
            </w:r>
          </w:p>
        </w:tc>
        <w:tc>
          <w:tcPr>
            <w:tcW w:type="dxa" w:w="1300"/>
          </w:tcPr>
          <w:p>
            <w:r>
              <w:rPr>
                <w:rFonts w:ascii="Times New Roman" w:cs="Times New Roman" w:eastAsia="Times New Roman" w:hAnsi="Times New Roman"/>
                <w:b w:val="false"/>
                <w:bCs w:val="false"/>
                <w:sz w:val="18"/>
                <w:szCs w:val="18"/>
              </w:rPr>
              <w:t xml:space="preserve">No</w:t>
            </w:r>
          </w:p>
        </w:tc>
        <w:tc>
          <w:tcPr>
            <w:tcW w:type="dxa" w:w="1400"/>
          </w:tcPr>
          <w:p>
            <w:r>
              <w:rPr>
                <w:rFonts w:ascii="Times New Roman" w:cs="Times New Roman" w:eastAsia="Times New Roman" w:hAnsi="Times New Roman"/>
                <w:b w:val="false"/>
                <w:bCs w:val="false"/>
                <w:sz w:val="18"/>
                <w:szCs w:val="18"/>
              </w:rPr>
              <w:t xml:space="preserve">Industrial CPS</w:t>
            </w:r>
          </w:p>
        </w:tc>
        <w:tc>
          <w:tcPr>
            <w:tcW w:type="dxa" w:w="2200"/>
          </w:tcPr>
          <w:p>
            <w:r>
              <w:rPr>
                <w:rFonts w:ascii="Times New Roman" w:cs="Times New Roman" w:eastAsia="Times New Roman" w:hAnsi="Times New Roman"/>
                <w:b w:val="false"/>
                <w:bCs w:val="false"/>
                <w:sz w:val="18"/>
                <w:szCs w:val="18"/>
              </w:rPr>
              <w:t xml:space="preserve">Optimization-focused; explainability is secondary and single-method</w:t>
            </w:r>
          </w:p>
        </w:tc>
      </w:tr>
      <w:tr>
        <w:tc>
          <w:tcPr>
            <w:tcW w:type="dxa" w:w="900"/>
          </w:tcPr>
          <w:p>
            <w:r>
              <w:rPr>
                <w:rFonts w:ascii="Times New Roman" w:cs="Times New Roman" w:eastAsia="Times New Roman" w:hAnsi="Times New Roman"/>
                <w:b w:val="false"/>
                <w:bCs w:val="false"/>
                <w:sz w:val="18"/>
                <w:szCs w:val="18"/>
              </w:rPr>
              <w:t xml:space="preserve">[16]</w:t>
            </w:r>
          </w:p>
        </w:tc>
        <w:tc>
          <w:tcPr>
            <w:tcW w:type="dxa" w:w="1100"/>
          </w:tcPr>
          <w:p>
            <w:r>
              <w:rPr>
                <w:rFonts w:ascii="Times New Roman" w:cs="Times New Roman" w:eastAsia="Times New Roman" w:hAnsi="Times New Roman"/>
                <w:b w:val="false"/>
                <w:bCs w:val="false"/>
                <w:sz w:val="18"/>
                <w:szCs w:val="18"/>
              </w:rPr>
              <w:t xml:space="preserve">Tree / Neural classifiers</w:t>
            </w:r>
          </w:p>
        </w:tc>
        <w:tc>
          <w:tcPr>
            <w:tcW w:type="dxa" w:w="1600"/>
          </w:tcPr>
          <w:p>
            <w:r>
              <w:rPr>
                <w:rFonts w:ascii="Times New Roman" w:cs="Times New Roman" w:eastAsia="Times New Roman" w:hAnsi="Times New Roman"/>
                <w:b w:val="false"/>
                <w:bCs w:val="false"/>
                <w:sz w:val="18"/>
                <w:szCs w:val="18"/>
              </w:rPr>
              <w:t xml:space="preserve">SHAP</w:t>
            </w:r>
          </w:p>
        </w:tc>
        <w:tc>
          <w:tcPr>
            <w:tcW w:type="dxa" w:w="800"/>
          </w:tcPr>
          <w:p>
            <w:r>
              <w:rPr>
                <w:rFonts w:ascii="Times New Roman" w:cs="Times New Roman" w:eastAsia="Times New Roman" w:hAnsi="Times New Roman"/>
                <w:b w:val="false"/>
                <w:bCs w:val="false"/>
                <w:sz w:val="18"/>
                <w:szCs w:val="18"/>
              </w:rPr>
              <w:t xml:space="preserve">Yes</w:t>
            </w:r>
          </w:p>
        </w:tc>
        <w:tc>
          <w:tcPr>
            <w:tcW w:type="dxa" w:w="800"/>
          </w:tcPr>
          <w:p>
            <w:r>
              <w:rPr>
                <w:rFonts w:ascii="Times New Roman" w:cs="Times New Roman" w:eastAsia="Times New Roman" w:hAnsi="Times New Roman"/>
                <w:b w:val="false"/>
                <w:bCs w:val="false"/>
                <w:sz w:val="18"/>
                <w:szCs w:val="18"/>
              </w:rPr>
              <w:t xml:space="preserve">Yes</w:t>
            </w:r>
          </w:p>
        </w:tc>
        <w:tc>
          <w:tcPr>
            <w:tcW w:type="dxa" w:w="1000"/>
          </w:tcPr>
          <w:p>
            <w:r>
              <w:rPr>
                <w:rFonts w:ascii="Times New Roman" w:cs="Times New Roman" w:eastAsia="Times New Roman" w:hAnsi="Times New Roman"/>
                <w:b w:val="false"/>
                <w:bCs w:val="false"/>
                <w:sz w:val="18"/>
                <w:szCs w:val="18"/>
              </w:rPr>
              <w:t xml:space="preserve">No</w:t>
            </w:r>
          </w:p>
        </w:tc>
        <w:tc>
          <w:tcPr>
            <w:tcW w:type="dxa" w:w="1300"/>
          </w:tcPr>
          <w:p>
            <w:r>
              <w:rPr>
                <w:rFonts w:ascii="Times New Roman" w:cs="Times New Roman" w:eastAsia="Times New Roman" w:hAnsi="Times New Roman"/>
                <w:b w:val="false"/>
                <w:bCs w:val="false"/>
                <w:sz w:val="18"/>
                <w:szCs w:val="18"/>
              </w:rPr>
              <w:t xml:space="preserve">No</w:t>
            </w:r>
          </w:p>
        </w:tc>
        <w:tc>
          <w:tcPr>
            <w:tcW w:type="dxa" w:w="1400"/>
          </w:tcPr>
          <w:p>
            <w:r>
              <w:rPr>
                <w:rFonts w:ascii="Times New Roman" w:cs="Times New Roman" w:eastAsia="Times New Roman" w:hAnsi="Times New Roman"/>
                <w:b w:val="false"/>
                <w:bCs w:val="false"/>
                <w:sz w:val="18"/>
                <w:szCs w:val="18"/>
              </w:rPr>
              <w:t xml:space="preserve">DNS/DGA data</w:t>
            </w:r>
          </w:p>
        </w:tc>
        <w:tc>
          <w:tcPr>
            <w:tcW w:type="dxa" w:w="2200"/>
          </w:tcPr>
          <w:p>
            <w:r>
              <w:rPr>
                <w:rFonts w:ascii="Times New Roman" w:cs="Times New Roman" w:eastAsia="Times New Roman" w:hAnsi="Times New Roman"/>
                <w:b w:val="false"/>
                <w:bCs w:val="false"/>
                <w:sz w:val="18"/>
                <w:szCs w:val="18"/>
              </w:rPr>
              <w:t xml:space="preserve">Domain-specific to DNS; not generalized to LSTM-based network IDS</w:t>
            </w:r>
          </w:p>
        </w:tc>
      </w:tr>
      <w:tr>
        <w:tc>
          <w:tcPr>
            <w:tcW w:type="dxa" w:w="900"/>
          </w:tcPr>
          <w:p>
            <w:r>
              <w:rPr>
                <w:rFonts w:ascii="Times New Roman" w:cs="Times New Roman" w:eastAsia="Times New Roman" w:hAnsi="Times New Roman"/>
                <w:b w:val="false"/>
                <w:bCs w:val="false"/>
                <w:sz w:val="18"/>
                <w:szCs w:val="18"/>
              </w:rPr>
              <w:t xml:space="preserve">[17]</w:t>
            </w:r>
          </w:p>
        </w:tc>
        <w:tc>
          <w:tcPr>
            <w:tcW w:type="dxa" w:w="1100"/>
          </w:tcPr>
          <w:p>
            <w:r>
              <w:rPr>
                <w:rFonts w:ascii="Times New Roman" w:cs="Times New Roman" w:eastAsia="Times New Roman" w:hAnsi="Times New Roman"/>
                <w:b w:val="false"/>
                <w:bCs w:val="false"/>
                <w:sz w:val="18"/>
                <w:szCs w:val="18"/>
              </w:rPr>
              <w:t xml:space="preserve">Multiple black-box models</w:t>
            </w:r>
          </w:p>
        </w:tc>
        <w:tc>
          <w:tcPr>
            <w:tcW w:type="dxa" w:w="1600"/>
          </w:tcPr>
          <w:p>
            <w:r>
              <w:rPr>
                <w:rFonts w:ascii="Times New Roman" w:cs="Times New Roman" w:eastAsia="Times New Roman" w:hAnsi="Times New Roman"/>
                <w:b w:val="false"/>
                <w:bCs w:val="false"/>
                <w:sz w:val="18"/>
                <w:szCs w:val="18"/>
              </w:rPr>
              <w:t xml:space="preserve">SHAP, LIME, others (evaluation)</w:t>
            </w:r>
          </w:p>
        </w:tc>
        <w:tc>
          <w:tcPr>
            <w:tcW w:type="dxa" w:w="800"/>
          </w:tcPr>
          <w:p>
            <w:r>
              <w:rPr>
                <w:rFonts w:ascii="Times New Roman" w:cs="Times New Roman" w:eastAsia="Times New Roman" w:hAnsi="Times New Roman"/>
                <w:b w:val="false"/>
                <w:bCs w:val="false"/>
                <w:sz w:val="18"/>
                <w:szCs w:val="18"/>
              </w:rPr>
              <w:t xml:space="preserve">Yes</w:t>
            </w:r>
          </w:p>
        </w:tc>
        <w:tc>
          <w:tcPr>
            <w:tcW w:type="dxa" w:w="800"/>
          </w:tcPr>
          <w:p>
            <w:r>
              <w:rPr>
                <w:rFonts w:ascii="Times New Roman" w:cs="Times New Roman" w:eastAsia="Times New Roman" w:hAnsi="Times New Roman"/>
                <w:b w:val="false"/>
                <w:bCs w:val="false"/>
                <w:sz w:val="18"/>
                <w:szCs w:val="18"/>
              </w:rPr>
              <w:t xml:space="preserve">Yes</w:t>
            </w:r>
          </w:p>
        </w:tc>
        <w:tc>
          <w:tcPr>
            <w:tcW w:type="dxa" w:w="1000"/>
          </w:tcPr>
          <w:p>
            <w:r>
              <w:rPr>
                <w:rFonts w:ascii="Times New Roman" w:cs="Times New Roman" w:eastAsia="Times New Roman" w:hAnsi="Times New Roman"/>
                <w:b w:val="false"/>
                <w:bCs w:val="false"/>
                <w:sz w:val="18"/>
                <w:szCs w:val="18"/>
              </w:rPr>
              <w:t xml:space="preserve">Evaluates, does not fuse</w:t>
            </w:r>
          </w:p>
        </w:tc>
        <w:tc>
          <w:tcPr>
            <w:tcW w:type="dxa" w:w="1300"/>
          </w:tcPr>
          <w:p>
            <w:r>
              <w:rPr>
                <w:rFonts w:ascii="Times New Roman" w:cs="Times New Roman" w:eastAsia="Times New Roman" w:hAnsi="Times New Roman"/>
                <w:b w:val="false"/>
                <w:bCs w:val="false"/>
                <w:sz w:val="18"/>
                <w:szCs w:val="18"/>
              </w:rPr>
              <w:t xml:space="preserve">No</w:t>
            </w:r>
          </w:p>
        </w:tc>
        <w:tc>
          <w:tcPr>
            <w:tcW w:type="dxa" w:w="1400"/>
          </w:tcPr>
          <w:p>
            <w:r>
              <w:rPr>
                <w:rFonts w:ascii="Times New Roman" w:cs="Times New Roman" w:eastAsia="Times New Roman" w:hAnsi="Times New Roman"/>
                <w:b w:val="false"/>
                <w:bCs w:val="false"/>
                <w:sz w:val="18"/>
                <w:szCs w:val="18"/>
              </w:rPr>
              <w:t xml:space="preserve">Network IDS benchmarks</w:t>
            </w:r>
          </w:p>
        </w:tc>
        <w:tc>
          <w:tcPr>
            <w:tcW w:type="dxa" w:w="2200"/>
          </w:tcPr>
          <w:p>
            <w:r>
              <w:rPr>
                <w:rFonts w:ascii="Times New Roman" w:cs="Times New Roman" w:eastAsia="Times New Roman" w:hAnsi="Times New Roman"/>
                <w:b w:val="false"/>
                <w:bCs w:val="false"/>
                <w:sz w:val="18"/>
                <w:szCs w:val="18"/>
              </w:rPr>
              <w:t xml:space="preserve">Benchmarks frameworks but does not build a unified consensus-fusion pipeline</w:t>
            </w:r>
          </w:p>
        </w:tc>
      </w:tr>
      <w:tr>
        <w:tc>
          <w:tcPr>
            <w:tcW w:type="dxa" w:w="900"/>
          </w:tcPr>
          <w:p>
            <w:r>
              <w:rPr>
                <w:rFonts w:ascii="Times New Roman" w:cs="Times New Roman" w:eastAsia="Times New Roman" w:hAnsi="Times New Roman"/>
                <w:b w:val="false"/>
                <w:bCs w:val="false"/>
                <w:sz w:val="18"/>
                <w:szCs w:val="18"/>
              </w:rPr>
              <w:t xml:space="preserve">[18]</w:t>
            </w:r>
          </w:p>
        </w:tc>
        <w:tc>
          <w:tcPr>
            <w:tcW w:type="dxa" w:w="1100"/>
          </w:tcPr>
          <w:p>
            <w:r>
              <w:rPr>
                <w:rFonts w:ascii="Times New Roman" w:cs="Times New Roman" w:eastAsia="Times New Roman" w:hAnsi="Times New Roman"/>
                <w:b w:val="false"/>
                <w:bCs w:val="false"/>
                <w:sz w:val="18"/>
                <w:szCs w:val="18"/>
              </w:rPr>
              <w:t xml:space="preserve">Residual LSTM</w:t>
            </w:r>
          </w:p>
        </w:tc>
        <w:tc>
          <w:tcPr>
            <w:tcW w:type="dxa" w:w="1600"/>
          </w:tcPr>
          <w:p>
            <w:r>
              <w:rPr>
                <w:rFonts w:ascii="Times New Roman" w:cs="Times New Roman" w:eastAsia="Times New Roman" w:hAnsi="Times New Roman"/>
                <w:b w:val="false"/>
                <w:bCs w:val="false"/>
                <w:sz w:val="18"/>
                <w:szCs w:val="18"/>
              </w:rPr>
              <w:t xml:space="preserve">XAI (attention + post-hoc)</w:t>
            </w:r>
          </w:p>
        </w:tc>
        <w:tc>
          <w:tcPr>
            <w:tcW w:type="dxa" w:w="800"/>
          </w:tcPr>
          <w:p>
            <w:r>
              <w:rPr>
                <w:rFonts w:ascii="Times New Roman" w:cs="Times New Roman" w:eastAsia="Times New Roman" w:hAnsi="Times New Roman"/>
                <w:b w:val="false"/>
                <w:bCs w:val="false"/>
                <w:sz w:val="18"/>
                <w:szCs w:val="18"/>
              </w:rPr>
              <w:t xml:space="preserve">Yes</w:t>
            </w:r>
          </w:p>
        </w:tc>
        <w:tc>
          <w:tcPr>
            <w:tcW w:type="dxa" w:w="800"/>
          </w:tcPr>
          <w:p>
            <w:r>
              <w:rPr>
                <w:rFonts w:ascii="Times New Roman" w:cs="Times New Roman" w:eastAsia="Times New Roman" w:hAnsi="Times New Roman"/>
                <w:b w:val="false"/>
                <w:bCs w:val="false"/>
                <w:sz w:val="18"/>
                <w:szCs w:val="18"/>
              </w:rPr>
              <w:t xml:space="preserve">Limited</w:t>
            </w:r>
          </w:p>
        </w:tc>
        <w:tc>
          <w:tcPr>
            <w:tcW w:type="dxa" w:w="1000"/>
          </w:tcPr>
          <w:p>
            <w:r>
              <w:rPr>
                <w:rFonts w:ascii="Times New Roman" w:cs="Times New Roman" w:eastAsia="Times New Roman" w:hAnsi="Times New Roman"/>
                <w:b w:val="false"/>
                <w:bCs w:val="false"/>
                <w:sz w:val="18"/>
                <w:szCs w:val="18"/>
              </w:rPr>
              <w:t xml:space="preserve">No</w:t>
            </w:r>
          </w:p>
        </w:tc>
        <w:tc>
          <w:tcPr>
            <w:tcW w:type="dxa" w:w="1300"/>
          </w:tcPr>
          <w:p>
            <w:r>
              <w:rPr>
                <w:rFonts w:ascii="Times New Roman" w:cs="Times New Roman" w:eastAsia="Times New Roman" w:hAnsi="Times New Roman"/>
                <w:b w:val="false"/>
                <w:bCs w:val="false"/>
                <w:sz w:val="18"/>
                <w:szCs w:val="18"/>
              </w:rPr>
              <w:t xml:space="preserve">No</w:t>
            </w:r>
          </w:p>
        </w:tc>
        <w:tc>
          <w:tcPr>
            <w:tcW w:type="dxa" w:w="1400"/>
          </w:tcPr>
          <w:p>
            <w:r>
              <w:rPr>
                <w:rFonts w:ascii="Times New Roman" w:cs="Times New Roman" w:eastAsia="Times New Roman" w:hAnsi="Times New Roman"/>
                <w:b w:val="false"/>
                <w:bCs w:val="false"/>
                <w:sz w:val="18"/>
                <w:szCs w:val="18"/>
              </w:rPr>
              <w:t xml:space="preserve">TON-IoT, NSL-KDD</w:t>
            </w:r>
          </w:p>
        </w:tc>
        <w:tc>
          <w:tcPr>
            <w:tcW w:type="dxa" w:w="2200"/>
          </w:tcPr>
          <w:p>
            <w:r>
              <w:rPr>
                <w:rFonts w:ascii="Times New Roman" w:cs="Times New Roman" w:eastAsia="Times New Roman" w:hAnsi="Times New Roman"/>
                <w:b w:val="false"/>
                <w:bCs w:val="false"/>
                <w:sz w:val="18"/>
                <w:szCs w:val="18"/>
              </w:rPr>
              <w:t xml:space="preserve">Fusion occurs at the feature-extraction level, not across multiple XAI outputs</w:t>
            </w:r>
          </w:p>
        </w:tc>
      </w:tr>
      <w:tr>
        <w:tc>
          <w:tcPr>
            <w:tcW w:type="dxa" w:w="900"/>
          </w:tcPr>
          <w:p>
            <w:r>
              <w:rPr>
                <w:rFonts w:ascii="Times New Roman" w:cs="Times New Roman" w:eastAsia="Times New Roman" w:hAnsi="Times New Roman"/>
                <w:b w:val="false"/>
                <w:bCs w:val="false"/>
                <w:sz w:val="18"/>
                <w:szCs w:val="18"/>
              </w:rPr>
              <w:t xml:space="preserve">Proposed
HXAI-LSTM</w:t>
            </w:r>
          </w:p>
        </w:tc>
        <w:tc>
          <w:tcPr>
            <w:tcW w:type="dxa" w:w="1100"/>
          </w:tcPr>
          <w:p>
            <w:r>
              <w:rPr>
                <w:rFonts w:ascii="Times New Roman" w:cs="Times New Roman" w:eastAsia="Times New Roman" w:hAnsi="Times New Roman"/>
                <w:b w:val="false"/>
                <w:bCs w:val="false"/>
                <w:sz w:val="18"/>
                <w:szCs w:val="18"/>
              </w:rPr>
              <w:t xml:space="preserve">LSTM</w:t>
            </w:r>
          </w:p>
        </w:tc>
        <w:tc>
          <w:tcPr>
            <w:tcW w:type="dxa" w:w="1600"/>
          </w:tcPr>
          <w:p>
            <w:r>
              <w:rPr>
                <w:rFonts w:ascii="Times New Roman" w:cs="Times New Roman" w:eastAsia="Times New Roman" w:hAnsi="Times New Roman"/>
                <w:b w:val="false"/>
                <w:bCs w:val="false"/>
                <w:sz w:val="18"/>
                <w:szCs w:val="18"/>
              </w:rPr>
              <w:t xml:space="preserve">SHAP, PFI, PDP, ICE, LIME, ELI5</w:t>
            </w:r>
          </w:p>
        </w:tc>
        <w:tc>
          <w:tcPr>
            <w:tcW w:type="dxa" w:w="800"/>
          </w:tcPr>
          <w:p>
            <w:r>
              <w:rPr>
                <w:rFonts w:ascii="Times New Roman" w:cs="Times New Roman" w:eastAsia="Times New Roman" w:hAnsi="Times New Roman"/>
                <w:b w:val="false"/>
                <w:bCs w:val="false"/>
                <w:sz w:val="18"/>
                <w:szCs w:val="18"/>
              </w:rPr>
              <w:t xml:space="preserve">Yes</w:t>
            </w:r>
          </w:p>
        </w:tc>
        <w:tc>
          <w:tcPr>
            <w:tcW w:type="dxa" w:w="800"/>
          </w:tcPr>
          <w:p>
            <w:r>
              <w:rPr>
                <w:rFonts w:ascii="Times New Roman" w:cs="Times New Roman" w:eastAsia="Times New Roman" w:hAnsi="Times New Roman"/>
                <w:b w:val="false"/>
                <w:bCs w:val="false"/>
                <w:sz w:val="18"/>
                <w:szCs w:val="18"/>
              </w:rPr>
              <w:t xml:space="preserve">Yes</w:t>
            </w:r>
          </w:p>
        </w:tc>
        <w:tc>
          <w:tcPr>
            <w:tcW w:type="dxa" w:w="1000"/>
          </w:tcPr>
          <w:p>
            <w:r>
              <w:rPr>
                <w:rFonts w:ascii="Times New Roman" w:cs="Times New Roman" w:eastAsia="Times New Roman" w:hAnsi="Times New Roman"/>
                <w:b w:val="false"/>
                <w:bCs w:val="false"/>
                <w:sz w:val="18"/>
                <w:szCs w:val="18"/>
              </w:rPr>
              <w:t xml:space="preserve">Yes (HEFM)</w:t>
            </w:r>
          </w:p>
        </w:tc>
        <w:tc>
          <w:tcPr>
            <w:tcW w:type="dxa" w:w="1300"/>
          </w:tcPr>
          <w:p>
            <w:r>
              <w:rPr>
                <w:rFonts w:ascii="Times New Roman" w:cs="Times New Roman" w:eastAsia="Times New Roman" w:hAnsi="Times New Roman"/>
                <w:b w:val="false"/>
                <w:bCs w:val="false"/>
                <w:sz w:val="18"/>
                <w:szCs w:val="18"/>
              </w:rPr>
              <w:t xml:space="preserve">Yes (FCS)</w:t>
            </w:r>
          </w:p>
        </w:tc>
        <w:tc>
          <w:tcPr>
            <w:tcW w:type="dxa" w:w="1400"/>
          </w:tcPr>
          <w:p>
            <w:r>
              <w:rPr>
                <w:rFonts w:ascii="Times New Roman" w:cs="Times New Roman" w:eastAsia="Times New Roman" w:hAnsi="Times New Roman"/>
                <w:b w:val="false"/>
                <w:bCs w:val="false"/>
                <w:sz w:val="18"/>
                <w:szCs w:val="18"/>
              </w:rPr>
              <w:t xml:space="preserve">NSL-KDD, UNSW-NB15, TON-IoT</w:t>
            </w:r>
          </w:p>
        </w:tc>
        <w:tc>
          <w:tcPr>
            <w:tcW w:type="dxa" w:w="2200"/>
          </w:tcPr>
          <w:p>
            <w:r>
              <w:rPr>
                <w:rFonts w:ascii="Times New Roman" w:cs="Times New Roman" w:eastAsia="Times New Roman" w:hAnsi="Times New Roman"/>
                <w:b w:val="false"/>
                <w:bCs w:val="false"/>
                <w:sz w:val="18"/>
                <w:szCs w:val="18"/>
              </w:rPr>
              <w:t xml:space="preserve">Computational overhead from six concurrent XAI techniques</w:t>
            </w:r>
          </w:p>
        </w:tc>
      </w:tr>
    </w:tbl>
    <w:p>
      <w:pPr>
        <w:spacing w:after="200"/>
      </w:pPr>
    </w:p>
    <w:p>
      <w:pPr>
        <w:pStyle w:val="Heading1"/>
        <w:spacing w:after="150" w:before="300"/>
      </w:pPr>
      <w:r>
        <w:rPr>
          <w:rFonts w:ascii="Times New Roman" w:cs="Times New Roman" w:eastAsia="Times New Roman" w:hAnsi="Times New Roman"/>
          <w:b/>
          <w:bCs/>
          <w:sz w:val="28"/>
          <w:szCs w:val="28"/>
        </w:rPr>
        <w:t xml:space="preserve">3. Research Gap</w:t>
      </w:r>
    </w:p>
    <w:p>
      <w:pPr>
        <w:spacing w:after="160" w:line="276"/>
        <w:jc w:val="both"/>
      </w:pPr>
      <w:r>
        <w:rPr>
          <w:rFonts w:ascii="Times New Roman" w:cs="Times New Roman" w:eastAsia="Times New Roman" w:hAnsi="Times New Roman"/>
          <w:sz w:val="22"/>
          <w:szCs w:val="22"/>
        </w:rPr>
        <w:t xml:space="preserve">Recent advances in deep learning have significantly improved the effectiveness of IDSs for IoT environments, and LSTM networks [1] in particular have demonstrated superior capability in learning temporal dependencies from network traffic. Concurrently, XAI has emerged as an important research direction for improving the transparency of AI-driven cybersecurity systems [11]. However, the literature reviewed in Section 2 reveals three consistent limitations.</w:t>
      </w:r>
    </w:p>
    <w:p>
      <w:pPr>
        <w:spacing w:after="160" w:line="276"/>
        <w:jc w:val="both"/>
      </w:pPr>
      <w:r>
        <w:rPr>
          <w:rFonts w:ascii="Times New Roman" w:cs="Times New Roman" w:eastAsia="Times New Roman" w:hAnsi="Times New Roman"/>
          <w:sz w:val="22"/>
          <w:szCs w:val="22"/>
        </w:rPr>
        <w:t xml:space="preserve">First, studies that apply a single global technique such as SHAP [14], [15], [16] provide feature-level interpretation but limited support for explaining individual intrusion detection decisions from an analyst's perspective. Second, studies that compare multiple techniques [13], [17] demonstrate that different explanation methods can disagree or complement one another, yet none of them aggregate these complementary signals into a single, reusable consensus ranking that can guide feature refinement. Third, the LSTM-specific explainable frameworks most comparable to the present work [12], [18] fuse information at the level of learned feature representations rather than at the level of explanation outputs, and typically rely on one or two XAI techniques rather than the six complementary methods (SHAP, PFI, PDP, ICE, LIME, ELI5) considered here.</w:t>
      </w:r>
    </w:p>
    <w:p>
      <w:pPr>
        <w:spacing w:after="160" w:line="276"/>
        <w:jc w:val="both"/>
      </w:pPr>
      <w:r>
        <w:rPr>
          <w:rFonts w:ascii="Times New Roman" w:cs="Times New Roman" w:eastAsia="Times New Roman" w:hAnsi="Times New Roman"/>
          <w:sz w:val="22"/>
          <w:szCs w:val="22"/>
        </w:rPr>
        <w:t xml:space="preserve">Based on these observations, a clear research gap exists in the development of a unified explainable deep learning framework that combines the predictive capability of LSTM networks with six complementary explainability techniques to provide comprehensive local and global interpretation of intrusion detection decisions, together with an explicit fusion mechanism for explainability-guided feature analysis. This paper addresses that gap through the proposed HXAI-LSTM framework, its Hybrid Explainability Fusion Module (HEFM), and its Feature Consensus Score (FCS).</w:t>
      </w:r>
    </w:p>
    <w:p>
      <w:pPr>
        <w:pStyle w:val="Heading1"/>
        <w:spacing w:after="150" w:before="300"/>
      </w:pPr>
      <w:r>
        <w:rPr>
          <w:rFonts w:ascii="Times New Roman" w:cs="Times New Roman" w:eastAsia="Times New Roman" w:hAnsi="Times New Roman"/>
          <w:b/>
          <w:bCs/>
          <w:sz w:val="28"/>
          <w:szCs w:val="28"/>
        </w:rPr>
        <w:t xml:space="preserve">4. Objectives</w:t>
      </w:r>
    </w:p>
    <w:p>
      <w:pPr>
        <w:pStyle w:val="Heading2"/>
        <w:spacing w:after="120" w:before="240"/>
      </w:pPr>
      <w:r>
        <w:rPr>
          <w:rFonts w:ascii="Times New Roman" w:cs="Times New Roman" w:eastAsia="Times New Roman" w:hAnsi="Times New Roman"/>
          <w:b/>
          <w:bCs/>
          <w:sz w:val="24"/>
          <w:szCs w:val="24"/>
        </w:rPr>
        <w:t xml:space="preserve">4.1 Research Aim</w:t>
      </w:r>
    </w:p>
    <w:p>
      <w:pPr>
        <w:spacing w:after="160" w:line="276"/>
        <w:jc w:val="both"/>
      </w:pPr>
      <w:r>
        <w:rPr>
          <w:rFonts w:ascii="Times New Roman" w:cs="Times New Roman" w:eastAsia="Times New Roman" w:hAnsi="Times New Roman"/>
          <w:sz w:val="22"/>
          <w:szCs w:val="22"/>
        </w:rPr>
        <w:t xml:space="preserve">The primary aim of this research is to develop a hybrid explainable deep learning framework for intrusion detection in IoT networks that combines the predictive capability of LSTM networks [1] with multiple complementary XAI techniques, enhancing transparency and interpretability while preserving competitive detection performance.</w:t>
      </w:r>
    </w:p>
    <w:p>
      <w:pPr>
        <w:pStyle w:val="Heading2"/>
        <w:spacing w:after="120" w:before="240"/>
      </w:pPr>
      <w:r>
        <w:rPr>
          <w:rFonts w:ascii="Times New Roman" w:cs="Times New Roman" w:eastAsia="Times New Roman" w:hAnsi="Times New Roman"/>
          <w:b/>
          <w:bCs/>
          <w:sz w:val="24"/>
          <w:szCs w:val="24"/>
        </w:rPr>
        <w:t xml:space="preserve">4.2 Primary Objective</w:t>
      </w:r>
    </w:p>
    <w:p>
      <w:pPr>
        <w:spacing w:after="160" w:line="276"/>
        <w:jc w:val="both"/>
      </w:pPr>
      <w:r>
        <w:rPr>
          <w:rFonts w:ascii="Times New Roman" w:cs="Times New Roman" w:eastAsia="Times New Roman" w:hAnsi="Times New Roman"/>
          <w:sz w:val="22"/>
          <w:szCs w:val="22"/>
        </w:rPr>
        <w:t xml:space="preserve">The primary objective of this study is to design, implement, and evaluate a unified explainable intrusion detection framework that integrates LSTM-based deep learning with SHAP [2], PFI [4], PDP [5], ICE [6], LIME [3], and ELI5 to provide comprehensive local and global explanations for intrusion detection in IoT environments.</w:t>
      </w:r>
    </w:p>
    <w:p>
      <w:pPr>
        <w:pStyle w:val="Heading2"/>
        <w:spacing w:after="120" w:before="240"/>
      </w:pPr>
      <w:r>
        <w:rPr>
          <w:rFonts w:ascii="Times New Roman" w:cs="Times New Roman" w:eastAsia="Times New Roman" w:hAnsi="Times New Roman"/>
          <w:b/>
          <w:bCs/>
          <w:sz w:val="24"/>
          <w:szCs w:val="24"/>
        </w:rPr>
        <w:t xml:space="preserve">4.3 Specific Objectives</w:t>
      </w:r>
    </w:p>
    <w:p>
      <w:pPr>
        <w:pStyle w:val="ListParagraph"/>
        <w:numPr>
          <w:ilvl w:val="0"/>
          <w:numId w:val="1"/>
        </w:numPr>
        <w:spacing w:after="80"/>
      </w:pPr>
      <w:r>
        <w:rPr>
          <w:rFonts w:ascii="Times New Roman" w:cs="Times New Roman" w:eastAsia="Times New Roman" w:hAnsi="Times New Roman"/>
          <w:sz w:val="22"/>
          <w:szCs w:val="22"/>
        </w:rPr>
        <w:t xml:space="preserve">Objective 1: Design a deep learning-based intrusion detection system using an LSTM architecture [1] capable of modeling sequential network traffic and identifying malicious activities in IoT environments.</w:t>
      </w:r>
    </w:p>
    <w:p>
      <w:pPr>
        <w:pStyle w:val="ListParagraph"/>
        <w:numPr>
          <w:ilvl w:val="0"/>
          <w:numId w:val="1"/>
        </w:numPr>
        <w:spacing w:after="80"/>
      </w:pPr>
      <w:r>
        <w:rPr>
          <w:rFonts w:ascii="Times New Roman" w:cs="Times New Roman" w:eastAsia="Times New Roman" w:hAnsi="Times New Roman"/>
          <w:sz w:val="22"/>
          <w:szCs w:val="22"/>
        </w:rPr>
        <w:t xml:space="preserve">Objective 2: Develop a unified explainability framework (HEFM) by integrating six complementary XAI techniques—SHAP, PFI, PDP, ICE, LIME, and ELI5—to provide both local and global interpretations of intrusion detection decisions.</w:t>
      </w:r>
    </w:p>
    <w:p>
      <w:pPr>
        <w:pStyle w:val="ListParagraph"/>
        <w:numPr>
          <w:ilvl w:val="0"/>
          <w:numId w:val="1"/>
        </w:numPr>
        <w:spacing w:after="80"/>
      </w:pPr>
      <w:r>
        <w:rPr>
          <w:rFonts w:ascii="Times New Roman" w:cs="Times New Roman" w:eastAsia="Times New Roman" w:hAnsi="Times New Roman"/>
          <w:sz w:val="22"/>
          <w:szCs w:val="22"/>
        </w:rPr>
        <w:t xml:space="preserve">Objective 3: Investigate the effectiveness of explainability-guided feature analysis via the Feature Consensus Score (FCS) by identifying influential network traffic attributes through multiple XAI methods.</w:t>
      </w:r>
    </w:p>
    <w:p>
      <w:pPr>
        <w:pStyle w:val="ListParagraph"/>
        <w:numPr>
          <w:ilvl w:val="0"/>
          <w:numId w:val="1"/>
        </w:numPr>
        <w:spacing w:after="80"/>
      </w:pPr>
      <w:r>
        <w:rPr>
          <w:rFonts w:ascii="Times New Roman" w:cs="Times New Roman" w:eastAsia="Times New Roman" w:hAnsi="Times New Roman"/>
          <w:sz w:val="22"/>
          <w:szCs w:val="22"/>
        </w:rPr>
        <w:t xml:space="preserve">Objective 4: Evaluate the proposed framework using benchmark intrusion detection datasets—NSL-KDD [7], UNSW-NB15 [8], and TON-IoT [9]—representing conventional, modern, and IoT-specific attack scenarios.</w:t>
      </w:r>
    </w:p>
    <w:p>
      <w:pPr>
        <w:pStyle w:val="ListParagraph"/>
        <w:numPr>
          <w:ilvl w:val="0"/>
          <w:numId w:val="1"/>
        </w:numPr>
        <w:spacing w:after="80"/>
      </w:pPr>
      <w:r>
        <w:rPr>
          <w:rFonts w:ascii="Times New Roman" w:cs="Times New Roman" w:eastAsia="Times New Roman" w:hAnsi="Times New Roman"/>
          <w:sz w:val="22"/>
          <w:szCs w:val="22"/>
        </w:rPr>
        <w:t xml:space="preserve">Objective 5: Assess classification performance using Accuracy, Precision, Recall, F1-score, and Confusion Matrix.</w:t>
      </w:r>
    </w:p>
    <w:p>
      <w:pPr>
        <w:pStyle w:val="ListParagraph"/>
        <w:numPr>
          <w:ilvl w:val="0"/>
          <w:numId w:val="1"/>
        </w:numPr>
        <w:spacing w:after="80"/>
      </w:pPr>
      <w:r>
        <w:rPr>
          <w:rFonts w:ascii="Times New Roman" w:cs="Times New Roman" w:eastAsia="Times New Roman" w:hAnsi="Times New Roman"/>
          <w:sz w:val="22"/>
          <w:szCs w:val="22"/>
        </w:rPr>
        <w:t xml:space="preserve">Objective 6: Analyze the complementary characteristics of local (LIME, ICE) and global (SHAP, PFI, PDP, ELI5) explainability techniques.</w:t>
      </w:r>
    </w:p>
    <w:p>
      <w:pPr>
        <w:pStyle w:val="ListParagraph"/>
        <w:numPr>
          <w:ilvl w:val="0"/>
          <w:numId w:val="1"/>
        </w:numPr>
        <w:spacing w:after="80"/>
      </w:pPr>
      <w:r>
        <w:rPr>
          <w:rFonts w:ascii="Times New Roman" w:cs="Times New Roman" w:eastAsia="Times New Roman" w:hAnsi="Times New Roman"/>
          <w:sz w:val="22"/>
          <w:szCs w:val="22"/>
        </w:rPr>
        <w:t xml:space="preserve">Objective 7: Compare the proposed framework with existing explainable intrusion detection approaches [11]–[18] to demonstrate its ability to provide a more comprehensive interpretation of intrusion detection decisions.</w:t>
      </w:r>
    </w:p>
    <w:p>
      <w:pPr>
        <w:pStyle w:val="Heading2"/>
        <w:spacing w:after="120" w:before="240"/>
      </w:pPr>
      <w:r>
        <w:rPr>
          <w:rFonts w:ascii="Times New Roman" w:cs="Times New Roman" w:eastAsia="Times New Roman" w:hAnsi="Times New Roman"/>
          <w:b/>
          <w:bCs/>
          <w:sz w:val="24"/>
          <w:szCs w:val="24"/>
        </w:rPr>
        <w:t xml:space="preserve">4.4 Research Questions</w:t>
      </w:r>
    </w:p>
    <w:p>
      <w:pPr>
        <w:pStyle w:val="ListParagraph"/>
        <w:numPr>
          <w:ilvl w:val="0"/>
          <w:numId w:val="1"/>
        </w:numPr>
        <w:spacing w:after="80"/>
      </w:pPr>
      <w:r>
        <w:rPr>
          <w:rFonts w:ascii="Times New Roman" w:cs="Times New Roman" w:eastAsia="Times New Roman" w:hAnsi="Times New Roman"/>
          <w:sz w:val="22"/>
          <w:szCs w:val="22"/>
        </w:rPr>
        <w:t xml:space="preserve">RQ1: How can multiple explainability techniques be effectively integrated into a unified deep learning framework for intrusion detection in IoT networks?</w:t>
      </w:r>
    </w:p>
    <w:p>
      <w:pPr>
        <w:pStyle w:val="ListParagraph"/>
        <w:numPr>
          <w:ilvl w:val="0"/>
          <w:numId w:val="1"/>
        </w:numPr>
        <w:spacing w:after="80"/>
      </w:pPr>
      <w:r>
        <w:rPr>
          <w:rFonts w:ascii="Times New Roman" w:cs="Times New Roman" w:eastAsia="Times New Roman" w:hAnsi="Times New Roman"/>
          <w:sz w:val="22"/>
          <w:szCs w:val="22"/>
        </w:rPr>
        <w:t xml:space="preserve">RQ2: To what extent do local explainability techniques (LIME and ICE) complement global explainability techniques (SHAP, PFI, PDP, and ELI5) in interpreting intrusion detection decisions?</w:t>
      </w:r>
    </w:p>
    <w:p>
      <w:pPr>
        <w:pStyle w:val="ListParagraph"/>
        <w:numPr>
          <w:ilvl w:val="0"/>
          <w:numId w:val="1"/>
        </w:numPr>
        <w:spacing w:after="80"/>
      </w:pPr>
      <w:r>
        <w:rPr>
          <w:rFonts w:ascii="Times New Roman" w:cs="Times New Roman" w:eastAsia="Times New Roman" w:hAnsi="Times New Roman"/>
          <w:sz w:val="22"/>
          <w:szCs w:val="22"/>
        </w:rPr>
        <w:t xml:space="preserve">RQ3: Can explainability-guided feature analysis, quantified via the Feature Consensus Score, improve the understanding of feature importance for LSTM-based intrusion detection models?</w:t>
      </w:r>
    </w:p>
    <w:p>
      <w:pPr>
        <w:pStyle w:val="ListParagraph"/>
        <w:numPr>
          <w:ilvl w:val="0"/>
          <w:numId w:val="1"/>
        </w:numPr>
        <w:spacing w:after="80"/>
      </w:pPr>
      <w:r>
        <w:rPr>
          <w:rFonts w:ascii="Times New Roman" w:cs="Times New Roman" w:eastAsia="Times New Roman" w:hAnsi="Times New Roman"/>
          <w:sz w:val="22"/>
          <w:szCs w:val="22"/>
        </w:rPr>
        <w:t xml:space="preserve">RQ4: How does the proposed hybrid explainable framework perform across benchmark intrusion detection datasets such as NSL-KDD, UNSW-NB15, and TON-IoT?</w:t>
      </w:r>
    </w:p>
    <w:p>
      <w:pPr>
        <w:pStyle w:val="ListParagraph"/>
        <w:numPr>
          <w:ilvl w:val="0"/>
          <w:numId w:val="1"/>
        </w:numPr>
        <w:spacing w:after="80"/>
      </w:pPr>
      <w:r>
        <w:rPr>
          <w:rFonts w:ascii="Times New Roman" w:cs="Times New Roman" w:eastAsia="Times New Roman" w:hAnsi="Times New Roman"/>
          <w:sz w:val="22"/>
          <w:szCs w:val="22"/>
        </w:rPr>
        <w:t xml:space="preserve">RQ5: What are the practical advantages of integrating multiple explainability methods within a single intrusion detection framework for cybersecurity analysts, relative to single-technique approaches such as [14]–[16] and evaluation-only approaches such as [13], [17]?</w:t>
      </w:r>
    </w:p>
    <w:p>
      <w:pPr>
        <w:pStyle w:val="Heading2"/>
        <w:spacing w:after="120" w:before="240"/>
      </w:pPr>
      <w:r>
        <w:rPr>
          <w:rFonts w:ascii="Times New Roman" w:cs="Times New Roman" w:eastAsia="Times New Roman" w:hAnsi="Times New Roman"/>
          <w:b/>
          <w:bCs/>
          <w:sz w:val="24"/>
          <w:szCs w:val="24"/>
        </w:rPr>
        <w:t xml:space="preserve">4.5 Research Hypotheses</w:t>
      </w:r>
    </w:p>
    <w:p>
      <w:pPr>
        <w:spacing w:after="160" w:line="276"/>
        <w:jc w:val="both"/>
      </w:pPr>
      <w:r>
        <w:rPr>
          <w:rFonts w:ascii="Times New Roman" w:cs="Times New Roman" w:eastAsia="Times New Roman" w:hAnsi="Times New Roman"/>
          <w:sz w:val="22"/>
          <w:szCs w:val="22"/>
        </w:rPr>
        <w:t xml:space="preserve">H₀₁ (Null): Integrating multiple explainability techniques within an LSTM-based intrusion detection framework does not provide a significant improvement in model interpretability compared with existing explainable intrusion detection approaches.</w:t>
      </w:r>
    </w:p>
    <w:p>
      <w:pPr>
        <w:spacing w:after="160" w:line="276"/>
        <w:jc w:val="both"/>
      </w:pPr>
      <w:r>
        <w:rPr>
          <w:rFonts w:ascii="Times New Roman" w:cs="Times New Roman" w:eastAsia="Times New Roman" w:hAnsi="Times New Roman"/>
          <w:sz w:val="22"/>
          <w:szCs w:val="22"/>
        </w:rPr>
        <w:t xml:space="preserve">H₁₁ (Alternative): Integrating multiple explainability techniques within an LSTM-based intrusion detection framework enhances the interpretability and transparency of intrusion detection decisions by providing complementary local and global explanations.</w:t>
      </w:r>
    </w:p>
    <w:p>
      <w:pPr>
        <w:spacing w:after="160" w:line="276"/>
        <w:jc w:val="both"/>
      </w:pPr>
      <w:r>
        <w:rPr>
          <w:rFonts w:ascii="Times New Roman" w:cs="Times New Roman" w:eastAsia="Times New Roman" w:hAnsi="Times New Roman"/>
          <w:sz w:val="22"/>
          <w:szCs w:val="22"/>
        </w:rPr>
        <w:t xml:space="preserve">H₀₂ (Null): Explainability-guided feature analysis does not significantly improve the identification and interpretation of influential network traffic features.</w:t>
      </w:r>
    </w:p>
    <w:p>
      <w:pPr>
        <w:spacing w:after="160" w:line="276"/>
        <w:jc w:val="both"/>
      </w:pPr>
      <w:r>
        <w:rPr>
          <w:rFonts w:ascii="Times New Roman" w:cs="Times New Roman" w:eastAsia="Times New Roman" w:hAnsi="Times New Roman"/>
          <w:sz w:val="22"/>
          <w:szCs w:val="22"/>
        </w:rPr>
        <w:t xml:space="preserve">H₁₂ (Alternative): Explainability-guided feature analysis improves the identification and interpretation of influential network traffic features by combining complementary information from multiple explainability techniques.</w:t>
      </w:r>
    </w:p>
    <w:p>
      <w:pPr>
        <w:spacing w:after="160" w:line="276"/>
        <w:jc w:val="both"/>
      </w:pPr>
      <w:r>
        <w:rPr>
          <w:rFonts w:ascii="Times New Roman" w:cs="Times New Roman" w:eastAsia="Times New Roman" w:hAnsi="Times New Roman"/>
          <w:sz w:val="22"/>
          <w:szCs w:val="22"/>
        </w:rPr>
        <w:t xml:space="preserve">H₀₃ (Null): The proposed hybrid explainable framework does not demonstrate comparable classification performance on benchmark intrusion detection datasets.</w:t>
      </w:r>
    </w:p>
    <w:p>
      <w:pPr>
        <w:spacing w:after="160" w:line="276"/>
        <w:jc w:val="both"/>
      </w:pPr>
      <w:r>
        <w:rPr>
          <w:rFonts w:ascii="Times New Roman" w:cs="Times New Roman" w:eastAsia="Times New Roman" w:hAnsi="Times New Roman"/>
          <w:sz w:val="22"/>
          <w:szCs w:val="22"/>
        </w:rPr>
        <w:t xml:space="preserve">H₁₃ (Alternative): The proposed hybrid explainable framework maintains competitive classification performance while providing enhanced transparency and interpretability for intrusion detection in IoT environments.</w:t>
      </w:r>
    </w:p>
    <w:p>
      <w:pPr>
        <w:pStyle w:val="Heading1"/>
        <w:spacing w:after="150" w:before="300"/>
      </w:pPr>
      <w:r>
        <w:rPr>
          <w:rFonts w:ascii="Times New Roman" w:cs="Times New Roman" w:eastAsia="Times New Roman" w:hAnsi="Times New Roman"/>
          <w:b/>
          <w:bCs/>
          <w:sz w:val="28"/>
          <w:szCs w:val="28"/>
        </w:rPr>
        <w:t xml:space="preserve">5. Proposed Methodology</w:t>
      </w:r>
    </w:p>
    <w:p>
      <w:pPr>
        <w:pStyle w:val="Heading2"/>
        <w:spacing w:after="120" w:before="240"/>
      </w:pPr>
      <w:r>
        <w:rPr>
          <w:rFonts w:ascii="Times New Roman" w:cs="Times New Roman" w:eastAsia="Times New Roman" w:hAnsi="Times New Roman"/>
          <w:b/>
          <w:bCs/>
          <w:sz w:val="24"/>
          <w:szCs w:val="24"/>
        </w:rPr>
        <w:t xml:space="preserve">5.1 Overview of the Proposed Framework</w:t>
      </w:r>
    </w:p>
    <w:p>
      <w:pPr>
        <w:spacing w:after="160" w:line="276"/>
        <w:jc w:val="both"/>
      </w:pPr>
      <w:r>
        <w:rPr>
          <w:rFonts w:ascii="Times New Roman" w:cs="Times New Roman" w:eastAsia="Times New Roman" w:hAnsi="Times New Roman"/>
          <w:sz w:val="22"/>
          <w:szCs w:val="22"/>
        </w:rPr>
        <w:t xml:space="preserve">This research proposes a Hybrid Explainable Deep Learning Framework (HXAI-LSTM) for intrusion detection in IoT networks. The framework integrates the temporal learning capability of LSTM networks [1] with six complementary XAI techniques to provide comprehensive local and global interpretation of intrusion detection decisions. Unlike existing explainable intrusion detection approaches that employ individual XAI techniques independently [14]–[16] or compare techniques without fusing them [13], [17], the proposed framework introduces a Hybrid Explainability Fusion Module (HEFM) that combines multiple explainability perspectives into a unified interpretation process.</w:t>
      </w:r>
    </w:p>
    <w:p>
      <w:pPr>
        <w:spacing w:after="160" w:line="276"/>
        <w:jc w:val="both"/>
      </w:pPr>
      <w:r>
        <w:rPr>
          <w:rFonts w:ascii="Times New Roman" w:cs="Times New Roman" w:eastAsia="Times New Roman" w:hAnsi="Times New Roman"/>
          <w:sz w:val="22"/>
          <w:szCs w:val="22"/>
        </w:rPr>
        <w:t xml:space="preserve">The overall workflow consists of six sequential phases: (1) dataset acquisition and preprocessing; (2) feature engineering and normalization; (3) LSTM-based intrusion detection; (4) multi-level explainability analysis; (5) hybrid explainability fusion and feature refinement; and (6) performance evaluation and interpretability analysis.</w:t>
      </w:r>
    </w:p>
    <w:p>
      <w:pPr>
        <w:pStyle w:val="Heading2"/>
        <w:spacing w:after="120" w:before="240"/>
      </w:pPr>
      <w:r>
        <w:rPr>
          <w:rFonts w:ascii="Times New Roman" w:cs="Times New Roman" w:eastAsia="Times New Roman" w:hAnsi="Times New Roman"/>
          <w:b/>
          <w:bCs/>
          <w:sz w:val="24"/>
          <w:szCs w:val="24"/>
        </w:rPr>
        <w:t xml:space="preserve">5.2 Framework Architecture</w:t>
      </w:r>
    </w:p>
    <w:p>
      <w:pPr>
        <w:spacing w:after="160" w:line="276"/>
        <w:jc w:val="both"/>
      </w:pPr>
      <w:r>
        <w:rPr>
          <w:rFonts w:ascii="Times New Roman" w:cs="Times New Roman" w:eastAsia="Times New Roman" w:hAnsi="Times New Roman"/>
          <w:sz w:val="22"/>
          <w:szCs w:val="22"/>
        </w:rPr>
        <w:t xml:space="preserve">The proposed framework consists of five major modules.</w:t>
      </w:r>
    </w:p>
    <w:p>
      <w:pPr>
        <w:pStyle w:val="Heading3"/>
        <w:spacing w:after="100" w:before="180"/>
      </w:pPr>
      <w:r>
        <w:rPr>
          <w:rFonts w:ascii="Times New Roman" w:cs="Times New Roman" w:eastAsia="Times New Roman" w:hAnsi="Times New Roman"/>
          <w:b/>
          <w:bCs/>
          <w:i/>
          <w:iCs/>
          <w:sz w:val="22"/>
          <w:szCs w:val="22"/>
        </w:rPr>
        <w:t xml:space="preserve">Module I: Data Acquisition</w:t>
      </w:r>
    </w:p>
    <w:p>
      <w:pPr>
        <w:spacing w:after="160" w:line="276"/>
        <w:jc w:val="both"/>
      </w:pPr>
      <w:r>
        <w:rPr>
          <w:rFonts w:ascii="Times New Roman" w:cs="Times New Roman" w:eastAsia="Times New Roman" w:hAnsi="Times New Roman"/>
          <w:sz w:val="22"/>
          <w:szCs w:val="22"/>
        </w:rPr>
        <w:t xml:space="preserve">Three publicly available benchmark datasets are employed: NSL-KDD [7], UNSW-NB15 [8], and TON-IoT [9], representing conventional, modern, and IoT-specific attack scenarios respectively.</w:t>
      </w:r>
    </w:p>
    <w:p>
      <w:pPr>
        <w:pStyle w:val="Heading3"/>
        <w:spacing w:after="100" w:before="180"/>
      </w:pPr>
      <w:r>
        <w:rPr>
          <w:rFonts w:ascii="Times New Roman" w:cs="Times New Roman" w:eastAsia="Times New Roman" w:hAnsi="Times New Roman"/>
          <w:b/>
          <w:bCs/>
          <w:i/>
          <w:iCs/>
          <w:sz w:val="22"/>
          <w:szCs w:val="22"/>
        </w:rPr>
        <w:t xml:space="preserve">Module II: Data Preprocessing</w:t>
      </w:r>
    </w:p>
    <w:p>
      <w:pPr>
        <w:spacing w:after="160" w:line="276"/>
        <w:jc w:val="both"/>
      </w:pPr>
      <w:r>
        <w:rPr>
          <w:rFonts w:ascii="Times New Roman" w:cs="Times New Roman" w:eastAsia="Times New Roman" w:hAnsi="Times New Roman"/>
          <w:sz w:val="22"/>
          <w:szCs w:val="22"/>
        </w:rPr>
        <w:t xml:space="preserve">The preprocessing pipeline includes missing-value inspection, duplicate removal, label encoding of categorical attributes, Min-Max normalization, feature scaling, and train-test partitioning. For highly imbalanced attack categories, SMOTE [10] may be applied to improve class representation.</w:t>
      </w:r>
    </w:p>
    <w:p>
      <w:pPr>
        <w:pStyle w:val="Heading3"/>
        <w:spacing w:after="100" w:before="180"/>
      </w:pPr>
      <w:r>
        <w:rPr>
          <w:rFonts w:ascii="Times New Roman" w:cs="Times New Roman" w:eastAsia="Times New Roman" w:hAnsi="Times New Roman"/>
          <w:b/>
          <w:bCs/>
          <w:i/>
          <w:iCs/>
          <w:sz w:val="22"/>
          <w:szCs w:val="22"/>
        </w:rPr>
        <w:t xml:space="preserve">Module III: LSTM-Based Intrusion Detection</w:t>
      </w:r>
    </w:p>
    <w:p>
      <w:pPr>
        <w:spacing w:after="160" w:line="276"/>
        <w:jc w:val="both"/>
      </w:pPr>
      <w:r>
        <w:rPr>
          <w:rFonts w:ascii="Times New Roman" w:cs="Times New Roman" w:eastAsia="Times New Roman" w:hAnsi="Times New Roman"/>
          <w:sz w:val="22"/>
          <w:szCs w:val="22"/>
        </w:rPr>
        <w:t xml:space="preserve">The processed feature vectors are supplied to the LSTM classifier [1], consisting of an input layer, an LSTM layer, a dropout layer, a fully connected dense layer, and a sigmoid (or softmax) output layer. The LSTM captures temporal dependencies within network traffic and produces binary or multiclass intrusion predictions depending on the dataset configuration.</w:t>
      </w:r>
    </w:p>
    <w:p>
      <w:pPr>
        <w:pStyle w:val="Heading3"/>
        <w:spacing w:after="100" w:before="180"/>
      </w:pPr>
      <w:r>
        <w:rPr>
          <w:rFonts w:ascii="Times New Roman" w:cs="Times New Roman" w:eastAsia="Times New Roman" w:hAnsi="Times New Roman"/>
          <w:b/>
          <w:bCs/>
          <w:i/>
          <w:iCs/>
          <w:sz w:val="22"/>
          <w:szCs w:val="22"/>
        </w:rPr>
        <w:t xml:space="preserve">Module IV: Multi-Level Explainability Analysis</w:t>
      </w:r>
    </w:p>
    <w:p>
      <w:pPr>
        <w:spacing w:after="160" w:line="276"/>
        <w:jc w:val="both"/>
      </w:pPr>
      <w:r>
        <w:rPr>
          <w:rFonts w:ascii="Times New Roman" w:cs="Times New Roman" w:eastAsia="Times New Roman" w:hAnsi="Times New Roman"/>
          <w:sz w:val="22"/>
          <w:szCs w:val="22"/>
        </w:rPr>
        <w:t xml:space="preserve">Unlike existing IDS frameworks that rely on a single explanation method [14]–[16], the proposed framework performs explainability at both global and local levels. Global model behavior is analyzed using SHAP [2], PFI [4], PDP [5], and ELI5, which identify influential network attributes and characterize their overall contribution to the model's predictions. Local, instance-level behavior is analyzed using LIME [3] and ICE [6], which explain why a specific network instance is classified as either normal or malicious. The complementary use of local and global explanations enables a more comprehensive understanding of model behavior than any individual XAI technique, addressing the gap identified in studies such as [13]–[17].</w:t>
      </w:r>
    </w:p>
    <w:p>
      <w:pPr>
        <w:pStyle w:val="Heading2"/>
        <w:spacing w:after="120" w:before="240"/>
      </w:pPr>
      <w:r>
        <w:rPr>
          <w:rFonts w:ascii="Times New Roman" w:cs="Times New Roman" w:eastAsia="Times New Roman" w:hAnsi="Times New Roman"/>
          <w:b/>
          <w:bCs/>
          <w:sz w:val="24"/>
          <w:szCs w:val="24"/>
        </w:rPr>
        <w:t xml:space="preserve">5.3 Hybrid Explainability Fusion Module (HEFM)</w:t>
      </w:r>
    </w:p>
    <w:p>
      <w:pPr>
        <w:spacing w:after="160" w:line="276"/>
        <w:jc w:val="both"/>
      </w:pPr>
      <w:r>
        <w:rPr>
          <w:rFonts w:ascii="Times New Roman" w:cs="Times New Roman" w:eastAsia="Times New Roman" w:hAnsi="Times New Roman"/>
          <w:sz w:val="22"/>
          <w:szCs w:val="22"/>
        </w:rPr>
        <w:t xml:space="preserve">A key contribution of the proposed framework, distinguishing it from comparison-only studies such as [13] and [17], is the Hybrid Explainability Fusion Module (HEFM). Instead of interpreting the outputs of individual XAI techniques independently, HEFM aggregates feature importance information obtained from SHAP, PFI, PDP, ICE, LIME, and ELI5 to generate a consensus ranking of network traffic features. For each feature (f_i), an aggregate importance score is computed as:</w:t>
      </w:r>
    </w:p>
    <w:p>
      <w:pPr>
        <w:spacing w:after="160" w:line="276"/>
        <w:jc w:val="both"/>
      </w:pPr>
      <w:r>
        <w:rPr>
          <w:rFonts w:ascii="Times New Roman" w:cs="Times New Roman" w:eastAsia="Times New Roman" w:hAnsi="Times New Roman"/>
          <w:i/>
          <w:iCs/>
          <w:sz w:val="22"/>
          <w:szCs w:val="22"/>
        </w:rPr>
        <w:t xml:space="preserve">FCS(f_i) = Σₖ₌₁ᵐ wₖ × Sₖ(f_i)</w:t>
      </w:r>
    </w:p>
    <w:p>
      <w:pPr>
        <w:spacing w:after="160" w:line="276"/>
        <w:jc w:val="both"/>
      </w:pPr>
      <w:r>
        <w:rPr>
          <w:rFonts w:ascii="Times New Roman" w:cs="Times New Roman" w:eastAsia="Times New Roman" w:hAnsi="Times New Roman"/>
          <w:sz w:val="22"/>
          <w:szCs w:val="22"/>
        </w:rPr>
        <w:t xml:space="preserve">where FCS(f_i) denotes the Feature Consensus Score, Sₖ(f_i) represents the normalized importance assigned by the k-th explainability method, wₖ denotes the weight assigned to each explanation method, and m is the total number of explainability techniques. Equal weights may initially be assigned to all methods, while future studies may investigate adaptive weighting strategies. Features are ranked according to the computed Feature Consensus Score.</w:t>
      </w:r>
    </w:p>
    <w:p>
      <w:pPr>
        <w:pStyle w:val="Heading2"/>
        <w:spacing w:after="120" w:before="240"/>
      </w:pPr>
      <w:r>
        <w:rPr>
          <w:rFonts w:ascii="Times New Roman" w:cs="Times New Roman" w:eastAsia="Times New Roman" w:hAnsi="Times New Roman"/>
          <w:b/>
          <w:bCs/>
          <w:sz w:val="24"/>
          <w:szCs w:val="24"/>
        </w:rPr>
        <w:t xml:space="preserve">5.4 Explainability-Guided Feature Refinement</w:t>
      </w:r>
    </w:p>
    <w:p>
      <w:pPr>
        <w:spacing w:after="160" w:line="276"/>
        <w:jc w:val="both"/>
      </w:pPr>
      <w:r>
        <w:rPr>
          <w:rFonts w:ascii="Times New Roman" w:cs="Times New Roman" w:eastAsia="Times New Roman" w:hAnsi="Times New Roman"/>
          <w:sz w:val="22"/>
          <w:szCs w:val="22"/>
        </w:rPr>
        <w:t xml:space="preserve">After computing the Feature Consensus Score, the most influential features are selected for subsequent model analysis. Rather than treating explainability solely as a post-hoc visualization tool — as in [14]–[16] — the proposed framework employs explainability-guided feature refinement to identify redundant attributes, highlight influential network characteristics, support analyst interpretation, and provide a structured understanding of feature importance across multiple explanation techniques.</w:t>
      </w:r>
    </w:p>
    <w:p>
      <w:pPr>
        <w:pStyle w:val="Heading2"/>
        <w:spacing w:after="120" w:before="240"/>
      </w:pPr>
      <w:r>
        <w:rPr>
          <w:rFonts w:ascii="Times New Roman" w:cs="Times New Roman" w:eastAsia="Times New Roman" w:hAnsi="Times New Roman"/>
          <w:b/>
          <w:bCs/>
          <w:sz w:val="24"/>
          <w:szCs w:val="24"/>
        </w:rPr>
        <w:t xml:space="preserve">5.5 Performance Evaluation</w:t>
      </w:r>
    </w:p>
    <w:p>
      <w:pPr>
        <w:spacing w:after="160" w:line="276"/>
        <w:jc w:val="both"/>
      </w:pPr>
      <w:r>
        <w:rPr>
          <w:rFonts w:ascii="Times New Roman" w:cs="Times New Roman" w:eastAsia="Times New Roman" w:hAnsi="Times New Roman"/>
          <w:sz w:val="22"/>
          <w:szCs w:val="22"/>
        </w:rPr>
        <w:t xml:space="preserve">The effectiveness of the proposed framework is evaluated from two complementary perspectives. Classification performance is assessed using Accuracy, Precision, Recall, F1-score, Confusion Matrix, and ROC-AUC. Explainability performance is assessed using local explanation quality, global explanation consistency, feature consensus agreement, interpretation coverage, and computational overhead. Both perspectives are necessary because a trustworthy intrusion detection system should provide not only competitive predictive performance but also transparent, interpretable decision-making.</w:t>
      </w:r>
    </w:p>
    <w:p>
      <w:pPr>
        <w:pStyle w:val="Heading2"/>
        <w:spacing w:after="120" w:before="240"/>
      </w:pPr>
      <w:r>
        <w:rPr>
          <w:rFonts w:ascii="Times New Roman" w:cs="Times New Roman" w:eastAsia="Times New Roman" w:hAnsi="Times New Roman"/>
          <w:b/>
          <w:bCs/>
          <w:sz w:val="24"/>
          <w:szCs w:val="24"/>
        </w:rPr>
        <w:t xml:space="preserve">5.6 Algorithm of the Proposed Framework</w:t>
      </w:r>
    </w:p>
    <w:p>
      <w:pPr>
        <w:spacing w:after="160" w:line="276"/>
        <w:jc w:val="both"/>
      </w:pPr>
      <w:r>
        <w:rPr>
          <w:rFonts w:ascii="Times New Roman" w:cs="Times New Roman" w:eastAsia="Times New Roman" w:hAnsi="Times New Roman"/>
          <w:b/>
          <w:bCs/>
          <w:sz w:val="22"/>
          <w:szCs w:val="22"/>
        </w:rPr>
        <w:t xml:space="preserve">Algorithm 1: Hybrid Explainable Deep Learning Framework</w:t>
      </w:r>
    </w:p>
    <w:p>
      <w:pPr>
        <w:spacing w:after="160" w:line="276"/>
        <w:jc w:val="both"/>
      </w:pPr>
      <w:r>
        <w:rPr>
          <w:rFonts w:ascii="Times New Roman" w:cs="Times New Roman" w:eastAsia="Times New Roman" w:hAnsi="Times New Roman"/>
          <w:sz w:val="22"/>
          <w:szCs w:val="22"/>
        </w:rPr>
        <w:t xml:space="preserve">Input: Network traffic dataset D. Output: Intrusion prediction and multi-level explanations.</w:t>
      </w:r>
    </w:p>
    <w:p>
      <w:pPr>
        <w:pStyle w:val="ListParagraph"/>
        <w:numPr>
          <w:ilvl w:val="0"/>
          <w:numId w:val="1"/>
        </w:numPr>
        <w:spacing w:after="80"/>
      </w:pPr>
      <w:r>
        <w:rPr>
          <w:rFonts w:ascii="Times New Roman" w:cs="Times New Roman" w:eastAsia="Times New Roman" w:hAnsi="Times New Roman"/>
          <w:sz w:val="22"/>
          <w:szCs w:val="22"/>
        </w:rPr>
        <w:t xml:space="preserve">1. Load benchmark dataset.</w:t>
      </w:r>
    </w:p>
    <w:p>
      <w:pPr>
        <w:pStyle w:val="ListParagraph"/>
        <w:numPr>
          <w:ilvl w:val="0"/>
          <w:numId w:val="1"/>
        </w:numPr>
        <w:spacing w:after="80"/>
      </w:pPr>
      <w:r>
        <w:rPr>
          <w:rFonts w:ascii="Times New Roman" w:cs="Times New Roman" w:eastAsia="Times New Roman" w:hAnsi="Times New Roman"/>
          <w:sz w:val="22"/>
          <w:szCs w:val="22"/>
        </w:rPr>
        <w:t xml:space="preserve">2. Perform preprocessing and feature encoding.</w:t>
      </w:r>
    </w:p>
    <w:p>
      <w:pPr>
        <w:pStyle w:val="ListParagraph"/>
        <w:numPr>
          <w:ilvl w:val="0"/>
          <w:numId w:val="1"/>
        </w:numPr>
        <w:spacing w:after="80"/>
      </w:pPr>
      <w:r>
        <w:rPr>
          <w:rFonts w:ascii="Times New Roman" w:cs="Times New Roman" w:eastAsia="Times New Roman" w:hAnsi="Times New Roman"/>
          <w:sz w:val="22"/>
          <w:szCs w:val="22"/>
        </w:rPr>
        <w:t xml:space="preserve">3. Normalize feature values.</w:t>
      </w:r>
    </w:p>
    <w:p>
      <w:pPr>
        <w:pStyle w:val="ListParagraph"/>
        <w:numPr>
          <w:ilvl w:val="0"/>
          <w:numId w:val="1"/>
        </w:numPr>
        <w:spacing w:after="80"/>
      </w:pPr>
      <w:r>
        <w:rPr>
          <w:rFonts w:ascii="Times New Roman" w:cs="Times New Roman" w:eastAsia="Times New Roman" w:hAnsi="Times New Roman"/>
          <w:sz w:val="22"/>
          <w:szCs w:val="22"/>
        </w:rPr>
        <w:t xml:space="preserve">4. Train the LSTM intrusion detection model [1].</w:t>
      </w:r>
    </w:p>
    <w:p>
      <w:pPr>
        <w:pStyle w:val="ListParagraph"/>
        <w:numPr>
          <w:ilvl w:val="0"/>
          <w:numId w:val="1"/>
        </w:numPr>
        <w:spacing w:after="80"/>
      </w:pPr>
      <w:r>
        <w:rPr>
          <w:rFonts w:ascii="Times New Roman" w:cs="Times New Roman" w:eastAsia="Times New Roman" w:hAnsi="Times New Roman"/>
          <w:sz w:val="22"/>
          <w:szCs w:val="22"/>
        </w:rPr>
        <w:t xml:space="preserve">5. Generate predictions.</w:t>
      </w:r>
    </w:p>
    <w:p>
      <w:pPr>
        <w:pStyle w:val="ListParagraph"/>
        <w:numPr>
          <w:ilvl w:val="0"/>
          <w:numId w:val="1"/>
        </w:numPr>
        <w:spacing w:after="80"/>
      </w:pPr>
      <w:r>
        <w:rPr>
          <w:rFonts w:ascii="Times New Roman" w:cs="Times New Roman" w:eastAsia="Times New Roman" w:hAnsi="Times New Roman"/>
          <w:sz w:val="22"/>
          <w:szCs w:val="22"/>
        </w:rPr>
        <w:t xml:space="preserve">6. Apply SHAP [2] for global feature attribution.</w:t>
      </w:r>
    </w:p>
    <w:p>
      <w:pPr>
        <w:pStyle w:val="ListParagraph"/>
        <w:numPr>
          <w:ilvl w:val="0"/>
          <w:numId w:val="1"/>
        </w:numPr>
        <w:spacing w:after="80"/>
      </w:pPr>
      <w:r>
        <w:rPr>
          <w:rFonts w:ascii="Times New Roman" w:cs="Times New Roman" w:eastAsia="Times New Roman" w:hAnsi="Times New Roman"/>
          <w:sz w:val="22"/>
          <w:szCs w:val="22"/>
        </w:rPr>
        <w:t xml:space="preserve">7. Compute Permutation Feature Importance [4].</w:t>
      </w:r>
    </w:p>
    <w:p>
      <w:pPr>
        <w:pStyle w:val="ListParagraph"/>
        <w:numPr>
          <w:ilvl w:val="0"/>
          <w:numId w:val="1"/>
        </w:numPr>
        <w:spacing w:after="80"/>
      </w:pPr>
      <w:r>
        <w:rPr>
          <w:rFonts w:ascii="Times New Roman" w:cs="Times New Roman" w:eastAsia="Times New Roman" w:hAnsi="Times New Roman"/>
          <w:sz w:val="22"/>
          <w:szCs w:val="22"/>
        </w:rPr>
        <w:t xml:space="preserve">8. Generate Partial Dependence Plots [5].</w:t>
      </w:r>
    </w:p>
    <w:p>
      <w:pPr>
        <w:pStyle w:val="ListParagraph"/>
        <w:numPr>
          <w:ilvl w:val="0"/>
          <w:numId w:val="1"/>
        </w:numPr>
        <w:spacing w:after="80"/>
      </w:pPr>
      <w:r>
        <w:rPr>
          <w:rFonts w:ascii="Times New Roman" w:cs="Times New Roman" w:eastAsia="Times New Roman" w:hAnsi="Times New Roman"/>
          <w:sz w:val="22"/>
          <w:szCs w:val="22"/>
        </w:rPr>
        <w:t xml:space="preserve">9. Compute Individual Conditional Expectation curves [6].</w:t>
      </w:r>
    </w:p>
    <w:p>
      <w:pPr>
        <w:pStyle w:val="ListParagraph"/>
        <w:numPr>
          <w:ilvl w:val="0"/>
          <w:numId w:val="1"/>
        </w:numPr>
        <w:spacing w:after="80"/>
      </w:pPr>
      <w:r>
        <w:rPr>
          <w:rFonts w:ascii="Times New Roman" w:cs="Times New Roman" w:eastAsia="Times New Roman" w:hAnsi="Times New Roman"/>
          <w:sz w:val="22"/>
          <w:szCs w:val="22"/>
        </w:rPr>
        <w:t xml:space="preserve">10. Generate local explanations using LIME [3].</w:t>
      </w:r>
    </w:p>
    <w:p>
      <w:pPr>
        <w:pStyle w:val="ListParagraph"/>
        <w:numPr>
          <w:ilvl w:val="0"/>
          <w:numId w:val="1"/>
        </w:numPr>
        <w:spacing w:after="80"/>
      </w:pPr>
      <w:r>
        <w:rPr>
          <w:rFonts w:ascii="Times New Roman" w:cs="Times New Roman" w:eastAsia="Times New Roman" w:hAnsi="Times New Roman"/>
          <w:sz w:val="22"/>
          <w:szCs w:val="22"/>
        </w:rPr>
        <w:t xml:space="preserve">11. Estimate global feature importance using ELI5.</w:t>
      </w:r>
    </w:p>
    <w:p>
      <w:pPr>
        <w:pStyle w:val="ListParagraph"/>
        <w:numPr>
          <w:ilvl w:val="0"/>
          <w:numId w:val="1"/>
        </w:numPr>
        <w:spacing w:after="80"/>
      </w:pPr>
      <w:r>
        <w:rPr>
          <w:rFonts w:ascii="Times New Roman" w:cs="Times New Roman" w:eastAsia="Times New Roman" w:hAnsi="Times New Roman"/>
          <w:sz w:val="22"/>
          <w:szCs w:val="22"/>
        </w:rPr>
        <w:t xml:space="preserve">12. Normalize feature importance scores from all explainability techniques.</w:t>
      </w:r>
    </w:p>
    <w:p>
      <w:pPr>
        <w:pStyle w:val="ListParagraph"/>
        <w:numPr>
          <w:ilvl w:val="0"/>
          <w:numId w:val="1"/>
        </w:numPr>
        <w:spacing w:after="80"/>
      </w:pPr>
      <w:r>
        <w:rPr>
          <w:rFonts w:ascii="Times New Roman" w:cs="Times New Roman" w:eastAsia="Times New Roman" w:hAnsi="Times New Roman"/>
          <w:sz w:val="22"/>
          <w:szCs w:val="22"/>
        </w:rPr>
        <w:t xml:space="preserve">13. Compute the Feature Consensus Score (FCS) via HEFM.</w:t>
      </w:r>
    </w:p>
    <w:p>
      <w:pPr>
        <w:pStyle w:val="ListParagraph"/>
        <w:numPr>
          <w:ilvl w:val="0"/>
          <w:numId w:val="1"/>
        </w:numPr>
        <w:spacing w:after="80"/>
      </w:pPr>
      <w:r>
        <w:rPr>
          <w:rFonts w:ascii="Times New Roman" w:cs="Times New Roman" w:eastAsia="Times New Roman" w:hAnsi="Times New Roman"/>
          <w:sz w:val="22"/>
          <w:szCs w:val="22"/>
        </w:rPr>
        <w:t xml:space="preserve">14. Rank features according to the FCS.</w:t>
      </w:r>
    </w:p>
    <w:p>
      <w:pPr>
        <w:pStyle w:val="ListParagraph"/>
        <w:numPr>
          <w:ilvl w:val="0"/>
          <w:numId w:val="1"/>
        </w:numPr>
        <w:spacing w:after="80"/>
      </w:pPr>
      <w:r>
        <w:rPr>
          <w:rFonts w:ascii="Times New Roman" w:cs="Times New Roman" w:eastAsia="Times New Roman" w:hAnsi="Times New Roman"/>
          <w:sz w:val="22"/>
          <w:szCs w:val="22"/>
        </w:rPr>
        <w:t xml:space="preserve">15. Produce unified local and global explainability reports.</w:t>
      </w:r>
    </w:p>
    <w:p>
      <w:pPr>
        <w:pStyle w:val="ListParagraph"/>
        <w:numPr>
          <w:ilvl w:val="0"/>
          <w:numId w:val="1"/>
        </w:numPr>
        <w:spacing w:after="80"/>
      </w:pPr>
      <w:r>
        <w:rPr>
          <w:rFonts w:ascii="Times New Roman" w:cs="Times New Roman" w:eastAsia="Times New Roman" w:hAnsi="Times New Roman"/>
          <w:sz w:val="22"/>
          <w:szCs w:val="22"/>
        </w:rPr>
        <w:t xml:space="preserve">16. Evaluate classification and explainability metrics.</w:t>
      </w:r>
    </w:p>
    <w:p>
      <w:pPr>
        <w:pStyle w:val="Heading2"/>
        <w:spacing w:after="120" w:before="240"/>
      </w:pPr>
      <w:r>
        <w:rPr>
          <w:rFonts w:ascii="Times New Roman" w:cs="Times New Roman" w:eastAsia="Times New Roman" w:hAnsi="Times New Roman"/>
          <w:b/>
          <w:bCs/>
          <w:sz w:val="24"/>
          <w:szCs w:val="24"/>
        </w:rPr>
        <w:t xml:space="preserve">5.7 Advantages of the Proposed Framework</w:t>
      </w:r>
    </w:p>
    <w:p>
      <w:pPr>
        <w:spacing w:after="160" w:line="276"/>
        <w:jc w:val="both"/>
      </w:pPr>
      <w:r>
        <w:rPr>
          <w:rFonts w:ascii="Times New Roman" w:cs="Times New Roman" w:eastAsia="Times New Roman" w:hAnsi="Times New Roman"/>
          <w:sz w:val="22"/>
          <w:szCs w:val="22"/>
        </w:rPr>
        <w:t xml:space="preserve">Compared with existing explainable intrusion detection systems reviewed in Section 2, the proposed framework offers: integration of six complementary explainability techniques within a unified architecture; simultaneous support for both local and global interpretation; explainability-guided feature refinement using consensus feature analysis (addressing the gap left open by [13] and [17]); improved transparency for cybersecurity analysts; and a modular architecture that can be extended to future deep learning models such as GRU or Transformer-based IDSs, in the spirit of [18].</w:t>
      </w:r>
    </w:p>
    <w:p>
      <w:pPr>
        <w:pStyle w:val="Heading1"/>
        <w:spacing w:after="150" w:before="300"/>
      </w:pPr>
      <w:r>
        <w:rPr>
          <w:rFonts w:ascii="Times New Roman" w:cs="Times New Roman" w:eastAsia="Times New Roman" w:hAnsi="Times New Roman"/>
          <w:b/>
          <w:bCs/>
          <w:sz w:val="28"/>
          <w:szCs w:val="28"/>
        </w:rPr>
        <w:t xml:space="preserve">6. Experimental Setup</w:t>
      </w:r>
    </w:p>
    <w:p>
      <w:pPr>
        <w:pStyle w:val="Heading2"/>
        <w:spacing w:after="120" w:before="240"/>
      </w:pPr>
      <w:r>
        <w:rPr>
          <w:rFonts w:ascii="Times New Roman" w:cs="Times New Roman" w:eastAsia="Times New Roman" w:hAnsi="Times New Roman"/>
          <w:b/>
          <w:bCs/>
          <w:sz w:val="24"/>
          <w:szCs w:val="24"/>
        </w:rPr>
        <w:t xml:space="preserve">6.1 Experimental Design</w:t>
      </w:r>
    </w:p>
    <w:p>
      <w:pPr>
        <w:spacing w:after="160" w:line="276"/>
        <w:jc w:val="both"/>
      </w:pPr>
      <w:r>
        <w:rPr>
          <w:rFonts w:ascii="Times New Roman" w:cs="Times New Roman" w:eastAsia="Times New Roman" w:hAnsi="Times New Roman"/>
          <w:sz w:val="22"/>
          <w:szCs w:val="22"/>
        </w:rPr>
        <w:t xml:space="preserve">The proposed HXAI-LSTM framework was evaluated to investigate its capability for accurate and interpretable intrusion detection in IoT environments. The experimental workflow consists of five sequential stages: (i) dataset acquisition and preprocessing, (ii) feature engineering and normalization, (iii) LSTM-based intrusion detection, (iv) multi-level explainability analysis, and (v) performance evaluation.</w:t>
      </w:r>
    </w:p>
    <w:p>
      <w:pPr>
        <w:pStyle w:val="Heading2"/>
        <w:spacing w:after="120" w:before="240"/>
      </w:pPr>
      <w:r>
        <w:rPr>
          <w:rFonts w:ascii="Times New Roman" w:cs="Times New Roman" w:eastAsia="Times New Roman" w:hAnsi="Times New Roman"/>
          <w:b/>
          <w:bCs/>
          <w:sz w:val="24"/>
          <w:szCs w:val="24"/>
        </w:rPr>
        <w:t xml:space="preserve">6.2 Benchmark Datasets</w:t>
      </w:r>
    </w:p>
    <w:p>
      <w:pPr>
        <w:pStyle w:val="Heading3"/>
        <w:spacing w:after="100" w:before="180"/>
      </w:pPr>
      <w:r>
        <w:rPr>
          <w:rFonts w:ascii="Times New Roman" w:cs="Times New Roman" w:eastAsia="Times New Roman" w:hAnsi="Times New Roman"/>
          <w:b/>
          <w:bCs/>
          <w:i/>
          <w:iCs/>
          <w:sz w:val="22"/>
          <w:szCs w:val="22"/>
        </w:rPr>
        <w:t xml:space="preserve">6.2.1 NSL-KDD</w:t>
      </w:r>
    </w:p>
    <w:p>
      <w:pPr>
        <w:spacing w:after="160" w:line="276"/>
        <w:jc w:val="both"/>
      </w:pPr>
      <w:r>
        <w:rPr>
          <w:rFonts w:ascii="Times New Roman" w:cs="Times New Roman" w:eastAsia="Times New Roman" w:hAnsi="Times New Roman"/>
          <w:sz w:val="22"/>
          <w:szCs w:val="22"/>
        </w:rPr>
        <w:t xml:space="preserve">The NSL-KDD dataset [7] is an improved version of the KDD Cup 1999 dataset that addresses redundancy issues present in the original data while maintaining representative attack categories. It contains 41 network traffic features describing each connection and includes normal traffic together with four primary attack categories: Denial of Service (DoS), Probe, Remote-to-Local (R2L), and User-to-Root (U2R).</w:t>
      </w:r>
    </w:p>
    <w:p>
      <w:pPr>
        <w:pStyle w:val="Heading3"/>
        <w:spacing w:after="100" w:before="180"/>
      </w:pPr>
      <w:r>
        <w:rPr>
          <w:rFonts w:ascii="Times New Roman" w:cs="Times New Roman" w:eastAsia="Times New Roman" w:hAnsi="Times New Roman"/>
          <w:b/>
          <w:bCs/>
          <w:i/>
          <w:iCs/>
          <w:sz w:val="22"/>
          <w:szCs w:val="22"/>
        </w:rPr>
        <w:t xml:space="preserve">6.2.2 UNSW-NB15</w:t>
      </w:r>
    </w:p>
    <w:p>
      <w:pPr>
        <w:spacing w:after="160" w:line="276"/>
        <w:jc w:val="both"/>
      </w:pPr>
      <w:r>
        <w:rPr>
          <w:rFonts w:ascii="Times New Roman" w:cs="Times New Roman" w:eastAsia="Times New Roman" w:hAnsi="Times New Roman"/>
          <w:sz w:val="22"/>
          <w:szCs w:val="22"/>
        </w:rPr>
        <w:t xml:space="preserve">The UNSW-NB15 dataset [8] was generated using the IXIA PerfectStorm environment and represents contemporary network traffic more accurately than legacy benchmark datasets. It contains modern attack categories including Fuzzers, Analysis, Backdoors, DoS, Exploits, Generic attacks, Reconnaissance, Shellcode, and Worms, described by 49 traffic features.</w:t>
      </w:r>
    </w:p>
    <w:p>
      <w:pPr>
        <w:pStyle w:val="Heading3"/>
        <w:spacing w:after="100" w:before="180"/>
      </w:pPr>
      <w:r>
        <w:rPr>
          <w:rFonts w:ascii="Times New Roman" w:cs="Times New Roman" w:eastAsia="Times New Roman" w:hAnsi="Times New Roman"/>
          <w:b/>
          <w:bCs/>
          <w:i/>
          <w:iCs/>
          <w:sz w:val="22"/>
          <w:szCs w:val="22"/>
        </w:rPr>
        <w:t xml:space="preserve">6.2.3 TON-IoT</w:t>
      </w:r>
    </w:p>
    <w:p>
      <w:pPr>
        <w:spacing w:after="160" w:line="276"/>
        <w:jc w:val="both"/>
      </w:pPr>
      <w:r>
        <w:rPr>
          <w:rFonts w:ascii="Times New Roman" w:cs="Times New Roman" w:eastAsia="Times New Roman" w:hAnsi="Times New Roman"/>
          <w:sz w:val="22"/>
          <w:szCs w:val="22"/>
        </w:rPr>
        <w:t xml:space="preserve">The TON-IoT dataset [9] represents realistic IoT environments by incorporating telemetry data collected from heterogeneous IoT devices, operating systems, network traffic, and sensor logs, covering attacks such as DDoS, ransomware, backdoor, password attacks, injection attacks, scanning, and man-in-the-middle attacks.</w:t>
      </w:r>
    </w:p>
    <w:p>
      <w:pPr>
        <w:pStyle w:val="Heading2"/>
        <w:spacing w:after="120" w:before="240"/>
      </w:pPr>
      <w:r>
        <w:rPr>
          <w:rFonts w:ascii="Times New Roman" w:cs="Times New Roman" w:eastAsia="Times New Roman" w:hAnsi="Times New Roman"/>
          <w:b/>
          <w:bCs/>
          <w:sz w:val="24"/>
          <w:szCs w:val="24"/>
        </w:rPr>
        <w:t xml:space="preserve">6.3 Data Preprocessing</w:t>
      </w:r>
    </w:p>
    <w:p>
      <w:pPr>
        <w:spacing w:after="160" w:line="276"/>
        <w:jc w:val="both"/>
      </w:pPr>
      <w:r>
        <w:rPr>
          <w:rFonts w:ascii="Times New Roman" w:cs="Times New Roman" w:eastAsia="Times New Roman" w:hAnsi="Times New Roman"/>
          <w:sz w:val="22"/>
          <w:szCs w:val="22"/>
        </w:rPr>
        <w:t xml:space="preserve">Before model training, all datasets undergo a standardized preprocessing pipeline consisting of duplicate removal, missing-value inspection, label encoding, conversion of attack labels into binary or multiclass format, Min-Max normalization, and reshaping of feature vectors to satisfy LSTM input requirements. Where necessary, SMOTE [10] may be applied to mitigate class imbalance.</w:t>
      </w:r>
    </w:p>
    <w:p>
      <w:pPr>
        <w:pStyle w:val="Heading2"/>
        <w:spacing w:after="120" w:before="240"/>
      </w:pPr>
      <w:r>
        <w:rPr>
          <w:rFonts w:ascii="Times New Roman" w:cs="Times New Roman" w:eastAsia="Times New Roman" w:hAnsi="Times New Roman"/>
          <w:b/>
          <w:bCs/>
          <w:sz w:val="24"/>
          <w:szCs w:val="24"/>
        </w:rPr>
        <w:t xml:space="preserve">6.4 LSTM Model Configuration</w:t>
      </w:r>
    </w:p>
    <w:p>
      <w:pPr>
        <w:spacing w:after="160" w:line="276"/>
        <w:jc w:val="both"/>
      </w:pPr>
      <w:r>
        <w:rPr>
          <w:rFonts w:ascii="Times New Roman" w:cs="Times New Roman" w:eastAsia="Times New Roman" w:hAnsi="Times New Roman"/>
          <w:sz w:val="22"/>
          <w:szCs w:val="22"/>
        </w:rPr>
        <w:t xml:space="preserve">The proposed intrusion detection model employs an LSTM network [1] because of its capability to model temporal dependencies within sequential network traffic. The architecture consists of an input layer, an LSTM layer (50 memory units), a dropout layer (dropout rate = 0.2), a fully connected dense layer (ReLU activation), and an output layer (sigmoid activation for binary classification or softmax for multiclass classification). The model is trained using the Adam optimizer with binary or categorical cross-entropy loss. Table 2 summarizes the principal hyperparameters.</w:t>
      </w:r>
    </w:p>
    <w:p>
      <w:pPr>
        <w:spacing w:after="100" w:before="100"/>
      </w:pPr>
      <w:r>
        <w:rPr>
          <w:rFonts w:ascii="Times New Roman" w:cs="Times New Roman" w:eastAsia="Times New Roman" w:hAnsi="Times New Roman"/>
          <w:b/>
          <w:bCs/>
          <w:i/>
          <w:iCs/>
          <w:sz w:val="20"/>
          <w:szCs w:val="20"/>
        </w:rPr>
        <w:t xml:space="preserve">Table 2. LSTM Hyperparameter Configuration</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5200"/>
        <w:gridCol w:w="5200"/>
      </w:tblGrid>
      <w:tr>
        <w:tc>
          <w:tcPr>
            <w:tcW w:type="dxa" w:w="5200"/>
            <w:shd w:fill="D9E2F3" w:val="clear"/>
          </w:tcPr>
          <w:p>
            <w:r>
              <w:rPr>
                <w:rFonts w:ascii="Times New Roman" w:cs="Times New Roman" w:eastAsia="Times New Roman" w:hAnsi="Times New Roman"/>
                <w:b/>
                <w:bCs/>
                <w:sz w:val="18"/>
                <w:szCs w:val="18"/>
              </w:rPr>
              <w:t xml:space="preserve">Parameter</w:t>
            </w:r>
          </w:p>
        </w:tc>
        <w:tc>
          <w:tcPr>
            <w:tcW w:type="dxa" w:w="5200"/>
            <w:shd w:fill="D9E2F3" w:val="clear"/>
          </w:tcPr>
          <w:p>
            <w:r>
              <w:rPr>
                <w:rFonts w:ascii="Times New Roman" w:cs="Times New Roman" w:eastAsia="Times New Roman" w:hAnsi="Times New Roman"/>
                <w:b/>
                <w:bCs/>
                <w:sz w:val="18"/>
                <w:szCs w:val="18"/>
              </w:rPr>
              <w:t xml:space="preserve">Value</w:t>
            </w:r>
          </w:p>
        </w:tc>
      </w:tr>
      <w:tr>
        <w:tc>
          <w:tcPr>
            <w:tcW w:type="dxa" w:w="5200"/>
          </w:tcPr>
          <w:p>
            <w:r>
              <w:rPr>
                <w:rFonts w:ascii="Times New Roman" w:cs="Times New Roman" w:eastAsia="Times New Roman" w:hAnsi="Times New Roman"/>
                <w:b w:val="false"/>
                <w:bCs w:val="false"/>
                <w:sz w:val="18"/>
                <w:szCs w:val="18"/>
              </w:rPr>
              <w:t xml:space="preserve">Optimizer</w:t>
            </w:r>
          </w:p>
        </w:tc>
        <w:tc>
          <w:tcPr>
            <w:tcW w:type="dxa" w:w="5200"/>
          </w:tcPr>
          <w:p>
            <w:r>
              <w:rPr>
                <w:rFonts w:ascii="Times New Roman" w:cs="Times New Roman" w:eastAsia="Times New Roman" w:hAnsi="Times New Roman"/>
                <w:b w:val="false"/>
                <w:bCs w:val="false"/>
                <w:sz w:val="18"/>
                <w:szCs w:val="18"/>
              </w:rPr>
              <w:t xml:space="preserve">Adam</w:t>
            </w:r>
          </w:p>
        </w:tc>
      </w:tr>
      <w:tr>
        <w:tc>
          <w:tcPr>
            <w:tcW w:type="dxa" w:w="5200"/>
          </w:tcPr>
          <w:p>
            <w:r>
              <w:rPr>
                <w:rFonts w:ascii="Times New Roman" w:cs="Times New Roman" w:eastAsia="Times New Roman" w:hAnsi="Times New Roman"/>
                <w:b w:val="false"/>
                <w:bCs w:val="false"/>
                <w:sz w:val="18"/>
                <w:szCs w:val="18"/>
              </w:rPr>
              <w:t xml:space="preserve">Learning Rate</w:t>
            </w:r>
          </w:p>
        </w:tc>
        <w:tc>
          <w:tcPr>
            <w:tcW w:type="dxa" w:w="5200"/>
          </w:tcPr>
          <w:p>
            <w:r>
              <w:rPr>
                <w:rFonts w:ascii="Times New Roman" w:cs="Times New Roman" w:eastAsia="Times New Roman" w:hAnsi="Times New Roman"/>
                <w:b w:val="false"/>
                <w:bCs w:val="false"/>
                <w:sz w:val="18"/>
                <w:szCs w:val="18"/>
              </w:rPr>
              <w:t xml:space="preserve">0.001</w:t>
            </w:r>
          </w:p>
        </w:tc>
      </w:tr>
      <w:tr>
        <w:tc>
          <w:tcPr>
            <w:tcW w:type="dxa" w:w="5200"/>
          </w:tcPr>
          <w:p>
            <w:r>
              <w:rPr>
                <w:rFonts w:ascii="Times New Roman" w:cs="Times New Roman" w:eastAsia="Times New Roman" w:hAnsi="Times New Roman"/>
                <w:b w:val="false"/>
                <w:bCs w:val="false"/>
                <w:sz w:val="18"/>
                <w:szCs w:val="18"/>
              </w:rPr>
              <w:t xml:space="preserve">Batch Size</w:t>
            </w:r>
          </w:p>
        </w:tc>
        <w:tc>
          <w:tcPr>
            <w:tcW w:type="dxa" w:w="5200"/>
          </w:tcPr>
          <w:p>
            <w:r>
              <w:rPr>
                <w:rFonts w:ascii="Times New Roman" w:cs="Times New Roman" w:eastAsia="Times New Roman" w:hAnsi="Times New Roman"/>
                <w:b w:val="false"/>
                <w:bCs w:val="false"/>
                <w:sz w:val="18"/>
                <w:szCs w:val="18"/>
              </w:rPr>
              <w:t xml:space="preserve">32</w:t>
            </w:r>
          </w:p>
        </w:tc>
      </w:tr>
      <w:tr>
        <w:tc>
          <w:tcPr>
            <w:tcW w:type="dxa" w:w="5200"/>
          </w:tcPr>
          <w:p>
            <w:r>
              <w:rPr>
                <w:rFonts w:ascii="Times New Roman" w:cs="Times New Roman" w:eastAsia="Times New Roman" w:hAnsi="Times New Roman"/>
                <w:b w:val="false"/>
                <w:bCs w:val="false"/>
                <w:sz w:val="18"/>
                <w:szCs w:val="18"/>
              </w:rPr>
              <w:t xml:space="preserve">Epochs</w:t>
            </w:r>
          </w:p>
        </w:tc>
        <w:tc>
          <w:tcPr>
            <w:tcW w:type="dxa" w:w="5200"/>
          </w:tcPr>
          <w:p>
            <w:r>
              <w:rPr>
                <w:rFonts w:ascii="Times New Roman" w:cs="Times New Roman" w:eastAsia="Times New Roman" w:hAnsi="Times New Roman"/>
                <w:b w:val="false"/>
                <w:bCs w:val="false"/>
                <w:sz w:val="18"/>
                <w:szCs w:val="18"/>
              </w:rPr>
              <w:t xml:space="preserve">10</w:t>
            </w:r>
          </w:p>
        </w:tc>
      </w:tr>
      <w:tr>
        <w:tc>
          <w:tcPr>
            <w:tcW w:type="dxa" w:w="5200"/>
          </w:tcPr>
          <w:p>
            <w:r>
              <w:rPr>
                <w:rFonts w:ascii="Times New Roman" w:cs="Times New Roman" w:eastAsia="Times New Roman" w:hAnsi="Times New Roman"/>
                <w:b w:val="false"/>
                <w:bCs w:val="false"/>
                <w:sz w:val="18"/>
                <w:szCs w:val="18"/>
              </w:rPr>
              <w:t xml:space="preserve">Dropout Rate</w:t>
            </w:r>
          </w:p>
        </w:tc>
        <w:tc>
          <w:tcPr>
            <w:tcW w:type="dxa" w:w="5200"/>
          </w:tcPr>
          <w:p>
            <w:r>
              <w:rPr>
                <w:rFonts w:ascii="Times New Roman" w:cs="Times New Roman" w:eastAsia="Times New Roman" w:hAnsi="Times New Roman"/>
                <w:b w:val="false"/>
                <w:bCs w:val="false"/>
                <w:sz w:val="18"/>
                <w:szCs w:val="18"/>
              </w:rPr>
              <w:t xml:space="preserve">0.2</w:t>
            </w:r>
          </w:p>
        </w:tc>
      </w:tr>
      <w:tr>
        <w:tc>
          <w:tcPr>
            <w:tcW w:type="dxa" w:w="5200"/>
          </w:tcPr>
          <w:p>
            <w:r>
              <w:rPr>
                <w:rFonts w:ascii="Times New Roman" w:cs="Times New Roman" w:eastAsia="Times New Roman" w:hAnsi="Times New Roman"/>
                <w:b w:val="false"/>
                <w:bCs w:val="false"/>
                <w:sz w:val="18"/>
                <w:szCs w:val="18"/>
              </w:rPr>
              <w:t xml:space="preserve">Hidden Units</w:t>
            </w:r>
          </w:p>
        </w:tc>
        <w:tc>
          <w:tcPr>
            <w:tcW w:type="dxa" w:w="5200"/>
          </w:tcPr>
          <w:p>
            <w:r>
              <w:rPr>
                <w:rFonts w:ascii="Times New Roman" w:cs="Times New Roman" w:eastAsia="Times New Roman" w:hAnsi="Times New Roman"/>
                <w:b w:val="false"/>
                <w:bCs w:val="false"/>
                <w:sz w:val="18"/>
                <w:szCs w:val="18"/>
              </w:rPr>
              <w:t xml:space="preserve">50</w:t>
            </w:r>
          </w:p>
        </w:tc>
      </w:tr>
      <w:tr>
        <w:tc>
          <w:tcPr>
            <w:tcW w:type="dxa" w:w="5200"/>
          </w:tcPr>
          <w:p>
            <w:r>
              <w:rPr>
                <w:rFonts w:ascii="Times New Roman" w:cs="Times New Roman" w:eastAsia="Times New Roman" w:hAnsi="Times New Roman"/>
                <w:b w:val="false"/>
                <w:bCs w:val="false"/>
                <w:sz w:val="18"/>
                <w:szCs w:val="18"/>
              </w:rPr>
              <w:t xml:space="preserve">Activation</w:t>
            </w:r>
          </w:p>
        </w:tc>
        <w:tc>
          <w:tcPr>
            <w:tcW w:type="dxa" w:w="5200"/>
          </w:tcPr>
          <w:p>
            <w:r>
              <w:rPr>
                <w:rFonts w:ascii="Times New Roman" w:cs="Times New Roman" w:eastAsia="Times New Roman" w:hAnsi="Times New Roman"/>
                <w:b w:val="false"/>
                <w:bCs w:val="false"/>
                <w:sz w:val="18"/>
                <w:szCs w:val="18"/>
              </w:rPr>
              <w:t xml:space="preserve">ReLU / Sigmoid</w:t>
            </w:r>
          </w:p>
        </w:tc>
      </w:tr>
      <w:tr>
        <w:tc>
          <w:tcPr>
            <w:tcW w:type="dxa" w:w="5200"/>
          </w:tcPr>
          <w:p>
            <w:r>
              <w:rPr>
                <w:rFonts w:ascii="Times New Roman" w:cs="Times New Roman" w:eastAsia="Times New Roman" w:hAnsi="Times New Roman"/>
                <w:b w:val="false"/>
                <w:bCs w:val="false"/>
                <w:sz w:val="18"/>
                <w:szCs w:val="18"/>
              </w:rPr>
              <w:t xml:space="preserve">Validation Split</w:t>
            </w:r>
          </w:p>
        </w:tc>
        <w:tc>
          <w:tcPr>
            <w:tcW w:type="dxa" w:w="5200"/>
          </w:tcPr>
          <w:p>
            <w:r>
              <w:rPr>
                <w:rFonts w:ascii="Times New Roman" w:cs="Times New Roman" w:eastAsia="Times New Roman" w:hAnsi="Times New Roman"/>
                <w:b w:val="false"/>
                <w:bCs w:val="false"/>
                <w:sz w:val="18"/>
                <w:szCs w:val="18"/>
              </w:rPr>
              <w:t xml:space="preserve">20%</w:t>
            </w:r>
          </w:p>
        </w:tc>
      </w:tr>
    </w:tbl>
    <w:p>
      <w:pPr>
        <w:spacing w:after="200"/>
      </w:pPr>
    </w:p>
    <w:p>
      <w:pPr>
        <w:pStyle w:val="Heading2"/>
        <w:spacing w:after="120" w:before="240"/>
      </w:pPr>
      <w:r>
        <w:rPr>
          <w:rFonts w:ascii="Times New Roman" w:cs="Times New Roman" w:eastAsia="Times New Roman" w:hAnsi="Times New Roman"/>
          <w:b/>
          <w:bCs/>
          <w:sz w:val="24"/>
          <w:szCs w:val="24"/>
        </w:rPr>
        <w:t xml:space="preserve">6.5 Explainability Configuration</w:t>
      </w:r>
    </w:p>
    <w:p>
      <w:pPr>
        <w:spacing w:after="160" w:line="276"/>
        <w:jc w:val="both"/>
      </w:pPr>
      <w:r>
        <w:rPr>
          <w:rFonts w:ascii="Times New Roman" w:cs="Times New Roman" w:eastAsia="Times New Roman" w:hAnsi="Times New Roman"/>
          <w:sz w:val="22"/>
          <w:szCs w:val="22"/>
        </w:rPr>
        <w:t xml:space="preserve">Following model training, six complementary XAI techniques are employed to interpret the intrusion detection decisions. Global explainability is provided by SHAP [2], PFI [4], PDP [5], and ELI5; local, instance-level explainability is provided by LIME [3] and ICE [6]. The outputs of all explanation methods are subsequently aggregated by the HEFM to generate a unified feature interpretation.</w:t>
      </w:r>
    </w:p>
    <w:p>
      <w:pPr>
        <w:pStyle w:val="Heading2"/>
        <w:spacing w:after="120" w:before="240"/>
      </w:pPr>
      <w:r>
        <w:rPr>
          <w:rFonts w:ascii="Times New Roman" w:cs="Times New Roman" w:eastAsia="Times New Roman" w:hAnsi="Times New Roman"/>
          <w:b/>
          <w:bCs/>
          <w:sz w:val="24"/>
          <w:szCs w:val="24"/>
        </w:rPr>
        <w:t xml:space="preserve">6.6 Software Environment</w:t>
      </w:r>
    </w:p>
    <w:p>
      <w:pPr>
        <w:spacing w:after="160" w:line="276"/>
        <w:jc w:val="both"/>
      </w:pPr>
      <w:r>
        <w:rPr>
          <w:rFonts w:ascii="Times New Roman" w:cs="Times New Roman" w:eastAsia="Times New Roman" w:hAnsi="Times New Roman"/>
          <w:sz w:val="22"/>
          <w:szCs w:val="22"/>
        </w:rPr>
        <w:t xml:space="preserve">The experiments are implemented in Python using TensorFlow/Keras, Scikit-learn, Pandas, NumPy, Matplotlib, LIME, SHAP, ELI5, and Imbalanced-learn (SMOTE) [10]. The implementation is platform-independent and can be executed in Google Colab, Jupyter Notebook, or a local Python installation with equivalent software versions.</w:t>
      </w:r>
    </w:p>
    <w:p>
      <w:pPr>
        <w:pStyle w:val="Heading2"/>
        <w:spacing w:after="120" w:before="240"/>
      </w:pPr>
      <w:r>
        <w:rPr>
          <w:rFonts w:ascii="Times New Roman" w:cs="Times New Roman" w:eastAsia="Times New Roman" w:hAnsi="Times New Roman"/>
          <w:b/>
          <w:bCs/>
          <w:sz w:val="24"/>
          <w:szCs w:val="24"/>
        </w:rPr>
        <w:t xml:space="preserve">6.7 Performance Evaluation Metrics</w:t>
      </w:r>
    </w:p>
    <w:p>
      <w:pPr>
        <w:spacing w:after="160" w:line="276"/>
        <w:jc w:val="both"/>
      </w:pPr>
      <w:r>
        <w:rPr>
          <w:rFonts w:ascii="Times New Roman" w:cs="Times New Roman" w:eastAsia="Times New Roman" w:hAnsi="Times New Roman"/>
          <w:sz w:val="22"/>
          <w:szCs w:val="22"/>
        </w:rPr>
        <w:t xml:space="preserve">Classification metrics include Accuracy, Precision, Recall, F1-score, Confusion Matrix, ROC curve, and AUC. Explainability metrics include feature-importance consistency across XAI techniques, agreement between local and global explanations, interpretation coverage for different attack categories, stability of feature rankings, and computational overhead associated with explanation generation.</w:t>
      </w:r>
    </w:p>
    <w:p>
      <w:pPr>
        <w:pStyle w:val="Heading2"/>
        <w:spacing w:after="120" w:before="240"/>
      </w:pPr>
      <w:r>
        <w:rPr>
          <w:rFonts w:ascii="Times New Roman" w:cs="Times New Roman" w:eastAsia="Times New Roman" w:hAnsi="Times New Roman"/>
          <w:b/>
          <w:bCs/>
          <w:sz w:val="24"/>
          <w:szCs w:val="24"/>
        </w:rPr>
        <w:t xml:space="preserve">6.8 Baseline Models for Comparative Analysis</w:t>
      </w:r>
    </w:p>
    <w:p>
      <w:pPr>
        <w:spacing w:after="160" w:line="276"/>
        <w:jc w:val="both"/>
      </w:pPr>
      <w:r>
        <w:rPr>
          <w:rFonts w:ascii="Times New Roman" w:cs="Times New Roman" w:eastAsia="Times New Roman" w:hAnsi="Times New Roman"/>
          <w:sz w:val="22"/>
          <w:szCs w:val="22"/>
        </w:rPr>
        <w:t xml:space="preserve">To demonstrate the effectiveness of the proposed framework, its performance is compared with representative baseline approaches: a conventional LSTM-based IDS; LSTM integrated with SHAP alone (in the manner of [14]–[16]); LSTM with SHAP, PFI, PDP, and ICE; a comparison-only multi-technique baseline in the manner of [13] and [17]; and the proposed HXAI-LSTM framework integrating SHAP, PFI, PDP, ICE, LIME, and ELI5 through HEFM.</w:t>
      </w:r>
    </w:p>
    <w:p>
      <w:pPr>
        <w:pStyle w:val="Heading1"/>
        <w:spacing w:after="150" w:before="300"/>
      </w:pPr>
      <w:r>
        <w:rPr>
          <w:rFonts w:ascii="Times New Roman" w:cs="Times New Roman" w:eastAsia="Times New Roman" w:hAnsi="Times New Roman"/>
          <w:b/>
          <w:bCs/>
          <w:sz w:val="28"/>
          <w:szCs w:val="28"/>
        </w:rPr>
        <w:t xml:space="preserve">7. Results</w:t>
      </w:r>
    </w:p>
    <w:p>
      <w:pPr>
        <w:spacing w:after="160" w:line="276"/>
        <w:jc w:val="both"/>
      </w:pPr>
      <w:r>
        <w:rPr>
          <w:rFonts w:ascii="Times New Roman" w:cs="Times New Roman" w:eastAsia="Times New Roman" w:hAnsi="Times New Roman"/>
          <w:sz w:val="22"/>
          <w:szCs w:val="22"/>
        </w:rPr>
        <w:t xml:space="preserve">The proposed HXAI-LSTM framework was evaluated using three benchmark intrusion detection datasets: NSL-KDD [7], UNSW-NB15 [8], and TON-IoT [9]. The implementation employed an LSTM classifier [1] for intrusion detection. Explainability was provided using SHAP, PFI, PDP, ICE, LIME, and ELI5. Feature selection was guided by the combined rankings of these explainability techniques (via the Feature Consensus Score) before retraining the LSTM model. Performance was evaluated using Accuracy, Precision, Recall, and F1-score.</w:t>
      </w:r>
    </w:p>
    <w:p>
      <w:pPr>
        <w:pStyle w:val="Heading2"/>
        <w:spacing w:after="120" w:before="240"/>
      </w:pPr>
      <w:r>
        <w:rPr>
          <w:rFonts w:ascii="Times New Roman" w:cs="Times New Roman" w:eastAsia="Times New Roman" w:hAnsi="Times New Roman"/>
          <w:b/>
          <w:bCs/>
          <w:sz w:val="24"/>
          <w:szCs w:val="24"/>
        </w:rPr>
        <w:t xml:space="preserve">7.1 Classification Performance</w:t>
      </w:r>
    </w:p>
    <w:p>
      <w:pPr>
        <w:spacing w:after="100" w:before="100"/>
      </w:pPr>
      <w:r>
        <w:rPr>
          <w:rFonts w:ascii="Times New Roman" w:cs="Times New Roman" w:eastAsia="Times New Roman" w:hAnsi="Times New Roman"/>
          <w:b/>
          <w:bCs/>
          <w:i/>
          <w:iCs/>
          <w:sz w:val="20"/>
          <w:szCs w:val="20"/>
        </w:rPr>
        <w:t xml:space="preserve">Table 3. Illustrative Performance Comparison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1400"/>
        <w:gridCol w:w="1600"/>
      </w:tblGrid>
      <w:tr>
        <w:tc>
          <w:tcPr>
            <w:tcW w:type="dxa" w:w="3200"/>
            <w:shd w:fill="D9E2F3" w:val="clear"/>
          </w:tcPr>
          <w:p>
            <w:r>
              <w:rPr>
                <w:rFonts w:ascii="Times New Roman" w:cs="Times New Roman" w:eastAsia="Times New Roman" w:hAnsi="Times New Roman"/>
                <w:b/>
                <w:bCs/>
                <w:sz w:val="18"/>
                <w:szCs w:val="18"/>
              </w:rPr>
              <w:t xml:space="preserve">Model</w:t>
            </w:r>
          </w:p>
        </w:tc>
        <w:tc>
          <w:tcPr>
            <w:tcW w:type="dxa" w:w="1600"/>
            <w:shd w:fill="D9E2F3" w:val="clear"/>
          </w:tcPr>
          <w:p>
            <w:r>
              <w:rPr>
                <w:rFonts w:ascii="Times New Roman" w:cs="Times New Roman" w:eastAsia="Times New Roman" w:hAnsi="Times New Roman"/>
                <w:b/>
                <w:bCs/>
                <w:sz w:val="18"/>
                <w:szCs w:val="18"/>
              </w:rPr>
              <w:t xml:space="preserve">Accuracy (%)</w:t>
            </w:r>
          </w:p>
        </w:tc>
        <w:tc>
          <w:tcPr>
            <w:tcW w:type="dxa" w:w="1600"/>
            <w:shd w:fill="D9E2F3" w:val="clear"/>
          </w:tcPr>
          <w:p>
            <w:r>
              <w:rPr>
                <w:rFonts w:ascii="Times New Roman" w:cs="Times New Roman" w:eastAsia="Times New Roman" w:hAnsi="Times New Roman"/>
                <w:b/>
                <w:bCs/>
                <w:sz w:val="18"/>
                <w:szCs w:val="18"/>
              </w:rPr>
              <w:t xml:space="preserve">Precision (%)</w:t>
            </w:r>
          </w:p>
        </w:tc>
        <w:tc>
          <w:tcPr>
            <w:tcW w:type="dxa" w:w="1400"/>
            <w:shd w:fill="D9E2F3" w:val="clear"/>
          </w:tcPr>
          <w:p>
            <w:r>
              <w:rPr>
                <w:rFonts w:ascii="Times New Roman" w:cs="Times New Roman" w:eastAsia="Times New Roman" w:hAnsi="Times New Roman"/>
                <w:b/>
                <w:bCs/>
                <w:sz w:val="18"/>
                <w:szCs w:val="18"/>
              </w:rPr>
              <w:t xml:space="preserve">Recall (%)</w:t>
            </w:r>
          </w:p>
        </w:tc>
        <w:tc>
          <w:tcPr>
            <w:tcW w:type="dxa" w:w="1600"/>
            <w:shd w:fill="D9E2F3" w:val="clear"/>
          </w:tcPr>
          <w:p>
            <w:r>
              <w:rPr>
                <w:rFonts w:ascii="Times New Roman" w:cs="Times New Roman" w:eastAsia="Times New Roman" w:hAnsi="Times New Roman"/>
                <w:b/>
                <w:bCs/>
                <w:sz w:val="18"/>
                <w:szCs w:val="18"/>
              </w:rPr>
              <w:t xml:space="preserve">F1-score (%)</w:t>
            </w:r>
          </w:p>
        </w:tc>
      </w:tr>
      <w:tr>
        <w:tc>
          <w:tcPr>
            <w:tcW w:type="dxa" w:w="3200"/>
          </w:tcPr>
          <w:p>
            <w:r>
              <w:rPr>
                <w:rFonts w:ascii="Times New Roman" w:cs="Times New Roman" w:eastAsia="Times New Roman" w:hAnsi="Times New Roman"/>
                <w:b w:val="false"/>
                <w:bCs w:val="false"/>
                <w:sz w:val="18"/>
                <w:szCs w:val="18"/>
              </w:rPr>
              <w:t xml:space="preserve">LSTM</w:t>
            </w:r>
          </w:p>
        </w:tc>
        <w:tc>
          <w:tcPr>
            <w:tcW w:type="dxa" w:w="1600"/>
          </w:tcPr>
          <w:p>
            <w:r>
              <w:rPr>
                <w:rFonts w:ascii="Times New Roman" w:cs="Times New Roman" w:eastAsia="Times New Roman" w:hAnsi="Times New Roman"/>
                <w:b w:val="false"/>
                <w:bCs w:val="false"/>
                <w:sz w:val="18"/>
                <w:szCs w:val="18"/>
              </w:rPr>
              <w:t xml:space="preserve">98.12</w:t>
            </w:r>
          </w:p>
        </w:tc>
        <w:tc>
          <w:tcPr>
            <w:tcW w:type="dxa" w:w="1600"/>
          </w:tcPr>
          <w:p>
            <w:r>
              <w:rPr>
                <w:rFonts w:ascii="Times New Roman" w:cs="Times New Roman" w:eastAsia="Times New Roman" w:hAnsi="Times New Roman"/>
                <w:b w:val="false"/>
                <w:bCs w:val="false"/>
                <w:sz w:val="18"/>
                <w:szCs w:val="18"/>
              </w:rPr>
              <w:t xml:space="preserve">97.84</w:t>
            </w:r>
          </w:p>
        </w:tc>
        <w:tc>
          <w:tcPr>
            <w:tcW w:type="dxa" w:w="1400"/>
          </w:tcPr>
          <w:p>
            <w:r>
              <w:rPr>
                <w:rFonts w:ascii="Times New Roman" w:cs="Times New Roman" w:eastAsia="Times New Roman" w:hAnsi="Times New Roman"/>
                <w:b w:val="false"/>
                <w:bCs w:val="false"/>
                <w:sz w:val="18"/>
                <w:szCs w:val="18"/>
              </w:rPr>
              <w:t xml:space="preserve">97.65</w:t>
            </w:r>
          </w:p>
        </w:tc>
        <w:tc>
          <w:tcPr>
            <w:tcW w:type="dxa" w:w="1600"/>
          </w:tcPr>
          <w:p>
            <w:r>
              <w:rPr>
                <w:rFonts w:ascii="Times New Roman" w:cs="Times New Roman" w:eastAsia="Times New Roman" w:hAnsi="Times New Roman"/>
                <w:b w:val="false"/>
                <w:bCs w:val="false"/>
                <w:sz w:val="18"/>
                <w:szCs w:val="18"/>
              </w:rPr>
              <w:t xml:space="preserve">97.74</w:t>
            </w:r>
          </w:p>
        </w:tc>
      </w:tr>
      <w:tr>
        <w:tc>
          <w:tcPr>
            <w:tcW w:type="dxa" w:w="3200"/>
          </w:tcPr>
          <w:p>
            <w:r>
              <w:rPr>
                <w:rFonts w:ascii="Times New Roman" w:cs="Times New Roman" w:eastAsia="Times New Roman" w:hAnsi="Times New Roman"/>
                <w:b w:val="false"/>
                <w:bCs w:val="false"/>
                <w:sz w:val="18"/>
                <w:szCs w:val="18"/>
              </w:rPr>
              <w:t xml:space="preserve">LSTM + SHAP</w:t>
            </w:r>
          </w:p>
        </w:tc>
        <w:tc>
          <w:tcPr>
            <w:tcW w:type="dxa" w:w="1600"/>
          </w:tcPr>
          <w:p>
            <w:r>
              <w:rPr>
                <w:rFonts w:ascii="Times New Roman" w:cs="Times New Roman" w:eastAsia="Times New Roman" w:hAnsi="Times New Roman"/>
                <w:b w:val="false"/>
                <w:bCs w:val="false"/>
                <w:sz w:val="18"/>
                <w:szCs w:val="18"/>
              </w:rPr>
              <w:t xml:space="preserve">98.34</w:t>
            </w:r>
          </w:p>
        </w:tc>
        <w:tc>
          <w:tcPr>
            <w:tcW w:type="dxa" w:w="1600"/>
          </w:tcPr>
          <w:p>
            <w:r>
              <w:rPr>
                <w:rFonts w:ascii="Times New Roman" w:cs="Times New Roman" w:eastAsia="Times New Roman" w:hAnsi="Times New Roman"/>
                <w:b w:val="false"/>
                <w:bCs w:val="false"/>
                <w:sz w:val="18"/>
                <w:szCs w:val="18"/>
              </w:rPr>
              <w:t xml:space="preserve">98.02</w:t>
            </w:r>
          </w:p>
        </w:tc>
        <w:tc>
          <w:tcPr>
            <w:tcW w:type="dxa" w:w="1400"/>
          </w:tcPr>
          <w:p>
            <w:r>
              <w:rPr>
                <w:rFonts w:ascii="Times New Roman" w:cs="Times New Roman" w:eastAsia="Times New Roman" w:hAnsi="Times New Roman"/>
                <w:b w:val="false"/>
                <w:bCs w:val="false"/>
                <w:sz w:val="18"/>
                <w:szCs w:val="18"/>
              </w:rPr>
              <w:t xml:space="preserve">97.91</w:t>
            </w:r>
          </w:p>
        </w:tc>
        <w:tc>
          <w:tcPr>
            <w:tcW w:type="dxa" w:w="1600"/>
          </w:tcPr>
          <w:p>
            <w:r>
              <w:rPr>
                <w:rFonts w:ascii="Times New Roman" w:cs="Times New Roman" w:eastAsia="Times New Roman" w:hAnsi="Times New Roman"/>
                <w:b w:val="false"/>
                <w:bCs w:val="false"/>
                <w:sz w:val="18"/>
                <w:szCs w:val="18"/>
              </w:rPr>
              <w:t xml:space="preserve">97.96</w:t>
            </w:r>
          </w:p>
        </w:tc>
      </w:tr>
      <w:tr>
        <w:tc>
          <w:tcPr>
            <w:tcW w:type="dxa" w:w="3200"/>
          </w:tcPr>
          <w:p>
            <w:r>
              <w:rPr>
                <w:rFonts w:ascii="Times New Roman" w:cs="Times New Roman" w:eastAsia="Times New Roman" w:hAnsi="Times New Roman"/>
                <w:b w:val="false"/>
                <w:bCs w:val="false"/>
                <w:sz w:val="18"/>
                <w:szCs w:val="18"/>
              </w:rPr>
              <w:t xml:space="preserve">LSTM + SHAP + PFI + PDP + ICE</w:t>
            </w:r>
          </w:p>
        </w:tc>
        <w:tc>
          <w:tcPr>
            <w:tcW w:type="dxa" w:w="1600"/>
          </w:tcPr>
          <w:p>
            <w:r>
              <w:rPr>
                <w:rFonts w:ascii="Times New Roman" w:cs="Times New Roman" w:eastAsia="Times New Roman" w:hAnsi="Times New Roman"/>
                <w:b w:val="false"/>
                <w:bCs w:val="false"/>
                <w:sz w:val="18"/>
                <w:szCs w:val="18"/>
              </w:rPr>
              <w:t xml:space="preserve">98.53</w:t>
            </w:r>
          </w:p>
        </w:tc>
        <w:tc>
          <w:tcPr>
            <w:tcW w:type="dxa" w:w="1600"/>
          </w:tcPr>
          <w:p>
            <w:r>
              <w:rPr>
                <w:rFonts w:ascii="Times New Roman" w:cs="Times New Roman" w:eastAsia="Times New Roman" w:hAnsi="Times New Roman"/>
                <w:b w:val="false"/>
                <w:bCs w:val="false"/>
                <w:sz w:val="18"/>
                <w:szCs w:val="18"/>
              </w:rPr>
              <w:t xml:space="preserve">98.31</w:t>
            </w:r>
          </w:p>
        </w:tc>
        <w:tc>
          <w:tcPr>
            <w:tcW w:type="dxa" w:w="1400"/>
          </w:tcPr>
          <w:p>
            <w:r>
              <w:rPr>
                <w:rFonts w:ascii="Times New Roman" w:cs="Times New Roman" w:eastAsia="Times New Roman" w:hAnsi="Times New Roman"/>
                <w:b w:val="false"/>
                <w:bCs w:val="false"/>
                <w:sz w:val="18"/>
                <w:szCs w:val="18"/>
              </w:rPr>
              <w:t xml:space="preserve">98.07</w:t>
            </w:r>
          </w:p>
        </w:tc>
        <w:tc>
          <w:tcPr>
            <w:tcW w:type="dxa" w:w="1600"/>
          </w:tcPr>
          <w:p>
            <w:r>
              <w:rPr>
                <w:rFonts w:ascii="Times New Roman" w:cs="Times New Roman" w:eastAsia="Times New Roman" w:hAnsi="Times New Roman"/>
                <w:b w:val="false"/>
                <w:bCs w:val="false"/>
                <w:sz w:val="18"/>
                <w:szCs w:val="18"/>
              </w:rPr>
              <w:t xml:space="preserve">98.19</w:t>
            </w:r>
          </w:p>
        </w:tc>
      </w:tr>
      <w:tr>
        <w:tc>
          <w:tcPr>
            <w:tcW w:type="dxa" w:w="3200"/>
          </w:tcPr>
          <w:p>
            <w:r>
              <w:rPr>
                <w:rFonts w:ascii="Times New Roman" w:cs="Times New Roman" w:eastAsia="Times New Roman" w:hAnsi="Times New Roman"/>
                <w:b w:val="false"/>
                <w:bCs w:val="false"/>
                <w:sz w:val="18"/>
                <w:szCs w:val="18"/>
              </w:rPr>
              <w:t xml:space="preserve">Proposed HXAI-LSTM (Illustrative)</w:t>
            </w:r>
          </w:p>
        </w:tc>
        <w:tc>
          <w:tcPr>
            <w:tcW w:type="dxa" w:w="1600"/>
          </w:tcPr>
          <w:p>
            <w:r>
              <w:rPr>
                <w:rFonts w:ascii="Times New Roman" w:cs="Times New Roman" w:eastAsia="Times New Roman" w:hAnsi="Times New Roman"/>
                <w:b w:val="false"/>
                <w:bCs w:val="false"/>
                <w:sz w:val="18"/>
                <w:szCs w:val="18"/>
              </w:rPr>
              <w:t xml:space="preserve">98.81</w:t>
            </w:r>
          </w:p>
        </w:tc>
        <w:tc>
          <w:tcPr>
            <w:tcW w:type="dxa" w:w="1600"/>
          </w:tcPr>
          <w:p>
            <w:r>
              <w:rPr>
                <w:rFonts w:ascii="Times New Roman" w:cs="Times New Roman" w:eastAsia="Times New Roman" w:hAnsi="Times New Roman"/>
                <w:b w:val="false"/>
                <w:bCs w:val="false"/>
                <w:sz w:val="18"/>
                <w:szCs w:val="18"/>
              </w:rPr>
              <w:t xml:space="preserve">98.67</w:t>
            </w:r>
          </w:p>
        </w:tc>
        <w:tc>
          <w:tcPr>
            <w:tcW w:type="dxa" w:w="1400"/>
          </w:tcPr>
          <w:p>
            <w:r>
              <w:rPr>
                <w:rFonts w:ascii="Times New Roman" w:cs="Times New Roman" w:eastAsia="Times New Roman" w:hAnsi="Times New Roman"/>
                <w:b w:val="false"/>
                <w:bCs w:val="false"/>
                <w:sz w:val="18"/>
                <w:szCs w:val="18"/>
              </w:rPr>
              <w:t xml:space="preserve">98.55</w:t>
            </w:r>
          </w:p>
        </w:tc>
        <w:tc>
          <w:tcPr>
            <w:tcW w:type="dxa" w:w="1600"/>
          </w:tcPr>
          <w:p>
            <w:r>
              <w:rPr>
                <w:rFonts w:ascii="Times New Roman" w:cs="Times New Roman" w:eastAsia="Times New Roman" w:hAnsi="Times New Roman"/>
                <w:b w:val="false"/>
                <w:bCs w:val="false"/>
                <w:sz w:val="18"/>
                <w:szCs w:val="18"/>
              </w:rPr>
              <w:t xml:space="preserve">98.61</w:t>
            </w:r>
          </w:p>
        </w:tc>
      </w:tr>
    </w:tbl>
    <w:p>
      <w:pPr>
        <w:spacing w:after="200"/>
      </w:pPr>
    </w:p>
    <w:p>
      <w:pPr>
        <w:spacing w:after="160" w:line="276"/>
        <w:jc w:val="both"/>
      </w:pPr>
      <w:r>
        <w:rPr>
          <w:rFonts w:ascii="Times New Roman" w:cs="Times New Roman" w:eastAsia="Times New Roman" w:hAnsi="Times New Roman"/>
          <w:sz w:val="22"/>
          <w:szCs w:val="22"/>
        </w:rPr>
        <w:t xml:space="preserve">The illustrative comparison suggests that incorporating explainability-driven feature analysis may reduce redundant attributes before retraining the LSTM model. In this example, the proposed framework achieves slightly higher classification metrics while also providing richer explanations of the model's decisions than single-technique baselines such as [14]–[16]. Actual experiments are required to verify whether such improvements are statistically significant.</w:t>
      </w:r>
    </w:p>
    <w:p>
      <w:pPr>
        <w:pStyle w:val="Heading2"/>
        <w:spacing w:after="120" w:before="240"/>
      </w:pPr>
      <w:r>
        <w:rPr>
          <w:rFonts w:ascii="Times New Roman" w:cs="Times New Roman" w:eastAsia="Times New Roman" w:hAnsi="Times New Roman"/>
          <w:b/>
          <w:bCs/>
          <w:sz w:val="24"/>
          <w:szCs w:val="24"/>
        </w:rPr>
        <w:t xml:space="preserve">7.2 Dataset-wise Performance</w:t>
      </w:r>
    </w:p>
    <w:p>
      <w:pPr>
        <w:spacing w:after="100" w:before="100"/>
      </w:pPr>
      <w:r>
        <w:rPr>
          <w:rFonts w:ascii="Times New Roman" w:cs="Times New Roman" w:eastAsia="Times New Roman" w:hAnsi="Times New Roman"/>
          <w:b/>
          <w:bCs/>
          <w:i/>
          <w:iCs/>
          <w:sz w:val="20"/>
          <w:szCs w:val="20"/>
        </w:rPr>
        <w:t xml:space="preserve">Table 4. Illustrative Results Across Datasets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1400"/>
        <w:gridCol w:w="1600"/>
      </w:tblGrid>
      <w:tr>
        <w:tc>
          <w:tcPr>
            <w:tcW w:type="dxa" w:w="3200"/>
            <w:shd w:fill="D9E2F3" w:val="clear"/>
          </w:tcPr>
          <w:p>
            <w:r>
              <w:rPr>
                <w:rFonts w:ascii="Times New Roman" w:cs="Times New Roman" w:eastAsia="Times New Roman" w:hAnsi="Times New Roman"/>
                <w:b/>
                <w:bCs/>
                <w:sz w:val="18"/>
                <w:szCs w:val="18"/>
              </w:rPr>
              <w:t xml:space="preserve">Dataset</w:t>
            </w:r>
          </w:p>
        </w:tc>
        <w:tc>
          <w:tcPr>
            <w:tcW w:type="dxa" w:w="1600"/>
            <w:shd w:fill="D9E2F3" w:val="clear"/>
          </w:tcPr>
          <w:p>
            <w:r>
              <w:rPr>
                <w:rFonts w:ascii="Times New Roman" w:cs="Times New Roman" w:eastAsia="Times New Roman" w:hAnsi="Times New Roman"/>
                <w:b/>
                <w:bCs/>
                <w:sz w:val="18"/>
                <w:szCs w:val="18"/>
              </w:rPr>
              <w:t xml:space="preserve">Accuracy (%)</w:t>
            </w:r>
          </w:p>
        </w:tc>
        <w:tc>
          <w:tcPr>
            <w:tcW w:type="dxa" w:w="1600"/>
            <w:shd w:fill="D9E2F3" w:val="clear"/>
          </w:tcPr>
          <w:p>
            <w:r>
              <w:rPr>
                <w:rFonts w:ascii="Times New Roman" w:cs="Times New Roman" w:eastAsia="Times New Roman" w:hAnsi="Times New Roman"/>
                <w:b/>
                <w:bCs/>
                <w:sz w:val="18"/>
                <w:szCs w:val="18"/>
              </w:rPr>
              <w:t xml:space="preserve">Precision (%)</w:t>
            </w:r>
          </w:p>
        </w:tc>
        <w:tc>
          <w:tcPr>
            <w:tcW w:type="dxa" w:w="1400"/>
            <w:shd w:fill="D9E2F3" w:val="clear"/>
          </w:tcPr>
          <w:p>
            <w:r>
              <w:rPr>
                <w:rFonts w:ascii="Times New Roman" w:cs="Times New Roman" w:eastAsia="Times New Roman" w:hAnsi="Times New Roman"/>
                <w:b/>
                <w:bCs/>
                <w:sz w:val="18"/>
                <w:szCs w:val="18"/>
              </w:rPr>
              <w:t xml:space="preserve">Recall (%)</w:t>
            </w:r>
          </w:p>
        </w:tc>
        <w:tc>
          <w:tcPr>
            <w:tcW w:type="dxa" w:w="1600"/>
            <w:shd w:fill="D9E2F3" w:val="clear"/>
          </w:tcPr>
          <w:p>
            <w:r>
              <w:rPr>
                <w:rFonts w:ascii="Times New Roman" w:cs="Times New Roman" w:eastAsia="Times New Roman" w:hAnsi="Times New Roman"/>
                <w:b/>
                <w:bCs/>
                <w:sz w:val="18"/>
                <w:szCs w:val="18"/>
              </w:rPr>
              <w:t xml:space="preserve">F1-score (%)</w:t>
            </w:r>
          </w:p>
        </w:tc>
      </w:tr>
      <w:tr>
        <w:tc>
          <w:tcPr>
            <w:tcW w:type="dxa" w:w="3200"/>
          </w:tcPr>
          <w:p>
            <w:r>
              <w:rPr>
                <w:rFonts w:ascii="Times New Roman" w:cs="Times New Roman" w:eastAsia="Times New Roman" w:hAnsi="Times New Roman"/>
                <w:b w:val="false"/>
                <w:bCs w:val="false"/>
                <w:sz w:val="18"/>
                <w:szCs w:val="18"/>
              </w:rPr>
              <w:t xml:space="preserve">NSL-KDD</w:t>
            </w:r>
          </w:p>
        </w:tc>
        <w:tc>
          <w:tcPr>
            <w:tcW w:type="dxa" w:w="1600"/>
          </w:tcPr>
          <w:p>
            <w:r>
              <w:rPr>
                <w:rFonts w:ascii="Times New Roman" w:cs="Times New Roman" w:eastAsia="Times New Roman" w:hAnsi="Times New Roman"/>
                <w:b w:val="false"/>
                <w:bCs w:val="false"/>
                <w:sz w:val="18"/>
                <w:szCs w:val="18"/>
              </w:rPr>
              <w:t xml:space="preserve">99.02</w:t>
            </w:r>
          </w:p>
        </w:tc>
        <w:tc>
          <w:tcPr>
            <w:tcW w:type="dxa" w:w="1600"/>
          </w:tcPr>
          <w:p>
            <w:r>
              <w:rPr>
                <w:rFonts w:ascii="Times New Roman" w:cs="Times New Roman" w:eastAsia="Times New Roman" w:hAnsi="Times New Roman"/>
                <w:b w:val="false"/>
                <w:bCs w:val="false"/>
                <w:sz w:val="18"/>
                <w:szCs w:val="18"/>
              </w:rPr>
              <w:t xml:space="preserve">98.91</w:t>
            </w:r>
          </w:p>
        </w:tc>
        <w:tc>
          <w:tcPr>
            <w:tcW w:type="dxa" w:w="1400"/>
          </w:tcPr>
          <w:p>
            <w:r>
              <w:rPr>
                <w:rFonts w:ascii="Times New Roman" w:cs="Times New Roman" w:eastAsia="Times New Roman" w:hAnsi="Times New Roman"/>
                <w:b w:val="false"/>
                <w:bCs w:val="false"/>
                <w:sz w:val="18"/>
                <w:szCs w:val="18"/>
              </w:rPr>
              <w:t xml:space="preserve">98.85</w:t>
            </w:r>
          </w:p>
        </w:tc>
        <w:tc>
          <w:tcPr>
            <w:tcW w:type="dxa" w:w="1600"/>
          </w:tcPr>
          <w:p>
            <w:r>
              <w:rPr>
                <w:rFonts w:ascii="Times New Roman" w:cs="Times New Roman" w:eastAsia="Times New Roman" w:hAnsi="Times New Roman"/>
                <w:b w:val="false"/>
                <w:bCs w:val="false"/>
                <w:sz w:val="18"/>
                <w:szCs w:val="18"/>
              </w:rPr>
              <w:t xml:space="preserve">98.88</w:t>
            </w:r>
          </w:p>
        </w:tc>
      </w:tr>
      <w:tr>
        <w:tc>
          <w:tcPr>
            <w:tcW w:type="dxa" w:w="3200"/>
          </w:tcPr>
          <w:p>
            <w:r>
              <w:rPr>
                <w:rFonts w:ascii="Times New Roman" w:cs="Times New Roman" w:eastAsia="Times New Roman" w:hAnsi="Times New Roman"/>
                <w:b w:val="false"/>
                <w:bCs w:val="false"/>
                <w:sz w:val="18"/>
                <w:szCs w:val="18"/>
              </w:rPr>
              <w:t xml:space="preserve">UNSW-NB15</w:t>
            </w:r>
          </w:p>
        </w:tc>
        <w:tc>
          <w:tcPr>
            <w:tcW w:type="dxa" w:w="1600"/>
          </w:tcPr>
          <w:p>
            <w:r>
              <w:rPr>
                <w:rFonts w:ascii="Times New Roman" w:cs="Times New Roman" w:eastAsia="Times New Roman" w:hAnsi="Times New Roman"/>
                <w:b w:val="false"/>
                <w:bCs w:val="false"/>
                <w:sz w:val="18"/>
                <w:szCs w:val="18"/>
              </w:rPr>
              <w:t xml:space="preserve">98.44</w:t>
            </w:r>
          </w:p>
        </w:tc>
        <w:tc>
          <w:tcPr>
            <w:tcW w:type="dxa" w:w="1600"/>
          </w:tcPr>
          <w:p>
            <w:r>
              <w:rPr>
                <w:rFonts w:ascii="Times New Roman" w:cs="Times New Roman" w:eastAsia="Times New Roman" w:hAnsi="Times New Roman"/>
                <w:b w:val="false"/>
                <w:bCs w:val="false"/>
                <w:sz w:val="18"/>
                <w:szCs w:val="18"/>
              </w:rPr>
              <w:t xml:space="preserve">98.27</w:t>
            </w:r>
          </w:p>
        </w:tc>
        <w:tc>
          <w:tcPr>
            <w:tcW w:type="dxa" w:w="1400"/>
          </w:tcPr>
          <w:p>
            <w:r>
              <w:rPr>
                <w:rFonts w:ascii="Times New Roman" w:cs="Times New Roman" w:eastAsia="Times New Roman" w:hAnsi="Times New Roman"/>
                <w:b w:val="false"/>
                <w:bCs w:val="false"/>
                <w:sz w:val="18"/>
                <w:szCs w:val="18"/>
              </w:rPr>
              <w:t xml:space="preserve">98.15</w:t>
            </w:r>
          </w:p>
        </w:tc>
        <w:tc>
          <w:tcPr>
            <w:tcW w:type="dxa" w:w="1600"/>
          </w:tcPr>
          <w:p>
            <w:r>
              <w:rPr>
                <w:rFonts w:ascii="Times New Roman" w:cs="Times New Roman" w:eastAsia="Times New Roman" w:hAnsi="Times New Roman"/>
                <w:b w:val="false"/>
                <w:bCs w:val="false"/>
                <w:sz w:val="18"/>
                <w:szCs w:val="18"/>
              </w:rPr>
              <w:t xml:space="preserve">98.21</w:t>
            </w:r>
          </w:p>
        </w:tc>
      </w:tr>
      <w:tr>
        <w:tc>
          <w:tcPr>
            <w:tcW w:type="dxa" w:w="3200"/>
          </w:tcPr>
          <w:p>
            <w:r>
              <w:rPr>
                <w:rFonts w:ascii="Times New Roman" w:cs="Times New Roman" w:eastAsia="Times New Roman" w:hAnsi="Times New Roman"/>
                <w:b w:val="false"/>
                <w:bCs w:val="false"/>
                <w:sz w:val="18"/>
                <w:szCs w:val="18"/>
              </w:rPr>
              <w:t xml:space="preserve">TON-IoT</w:t>
            </w:r>
          </w:p>
        </w:tc>
        <w:tc>
          <w:tcPr>
            <w:tcW w:type="dxa" w:w="1600"/>
          </w:tcPr>
          <w:p>
            <w:r>
              <w:rPr>
                <w:rFonts w:ascii="Times New Roman" w:cs="Times New Roman" w:eastAsia="Times New Roman" w:hAnsi="Times New Roman"/>
                <w:b w:val="false"/>
                <w:bCs w:val="false"/>
                <w:sz w:val="18"/>
                <w:szCs w:val="18"/>
              </w:rPr>
              <w:t xml:space="preserve">98.67</w:t>
            </w:r>
          </w:p>
        </w:tc>
        <w:tc>
          <w:tcPr>
            <w:tcW w:type="dxa" w:w="1600"/>
          </w:tcPr>
          <w:p>
            <w:r>
              <w:rPr>
                <w:rFonts w:ascii="Times New Roman" w:cs="Times New Roman" w:eastAsia="Times New Roman" w:hAnsi="Times New Roman"/>
                <w:b w:val="false"/>
                <w:bCs w:val="false"/>
                <w:sz w:val="18"/>
                <w:szCs w:val="18"/>
              </w:rPr>
              <w:t xml:space="preserve">98.41</w:t>
            </w:r>
          </w:p>
        </w:tc>
        <w:tc>
          <w:tcPr>
            <w:tcW w:type="dxa" w:w="1400"/>
          </w:tcPr>
          <w:p>
            <w:r>
              <w:rPr>
                <w:rFonts w:ascii="Times New Roman" w:cs="Times New Roman" w:eastAsia="Times New Roman" w:hAnsi="Times New Roman"/>
                <w:b w:val="false"/>
                <w:bCs w:val="false"/>
                <w:sz w:val="18"/>
                <w:szCs w:val="18"/>
              </w:rPr>
              <w:t xml:space="preserve">98.32</w:t>
            </w:r>
          </w:p>
        </w:tc>
        <w:tc>
          <w:tcPr>
            <w:tcW w:type="dxa" w:w="1600"/>
          </w:tcPr>
          <w:p>
            <w:r>
              <w:rPr>
                <w:rFonts w:ascii="Times New Roman" w:cs="Times New Roman" w:eastAsia="Times New Roman" w:hAnsi="Times New Roman"/>
                <w:b w:val="false"/>
                <w:bCs w:val="false"/>
                <w:sz w:val="18"/>
                <w:szCs w:val="18"/>
              </w:rPr>
              <w:t xml:space="preserve">98.36</w:t>
            </w:r>
          </w:p>
        </w:tc>
      </w:tr>
    </w:tbl>
    <w:p>
      <w:pPr>
        <w:spacing w:after="200"/>
      </w:pPr>
    </w:p>
    <w:p>
      <w:pPr>
        <w:spacing w:after="160" w:line="276"/>
        <w:jc w:val="both"/>
      </w:pPr>
      <w:r>
        <w:rPr>
          <w:rFonts w:ascii="Times New Roman" w:cs="Times New Roman" w:eastAsia="Times New Roman" w:hAnsi="Times New Roman"/>
          <w:sz w:val="22"/>
          <w:szCs w:val="22"/>
        </w:rPr>
        <w:t xml:space="preserve">The illustrative results indicate strong performance across benchmark datasets of varying complexity. In practice, differences between datasets are expected due to variations in attack distributions, feature characteristics, and class imbalance.</w:t>
      </w:r>
    </w:p>
    <w:p>
      <w:pPr>
        <w:pStyle w:val="Heading2"/>
        <w:spacing w:after="120" w:before="240"/>
      </w:pPr>
      <w:r>
        <w:rPr>
          <w:rFonts w:ascii="Times New Roman" w:cs="Times New Roman" w:eastAsia="Times New Roman" w:hAnsi="Times New Roman"/>
          <w:b/>
          <w:bCs/>
          <w:sz w:val="24"/>
          <w:szCs w:val="24"/>
        </w:rPr>
        <w:t xml:space="preserve">7.3 Feature Selection Analysis</w:t>
      </w:r>
    </w:p>
    <w:p>
      <w:pPr>
        <w:spacing w:after="160" w:line="276"/>
        <w:jc w:val="both"/>
      </w:pPr>
      <w:r>
        <w:rPr>
          <w:rFonts w:ascii="Times New Roman" w:cs="Times New Roman" w:eastAsia="Times New Roman" w:hAnsi="Times New Roman"/>
          <w:sz w:val="22"/>
          <w:szCs w:val="22"/>
        </w:rPr>
        <w:t xml:space="preserve">The hybrid explainability framework combines feature rankings from SHAP, PFI, ELI5, and LIME through the FCS.</w:t>
      </w:r>
    </w:p>
    <w:p>
      <w:pPr>
        <w:spacing w:after="100" w:before="100"/>
      </w:pPr>
      <w:r>
        <w:rPr>
          <w:rFonts w:ascii="Times New Roman" w:cs="Times New Roman" w:eastAsia="Times New Roman" w:hAnsi="Times New Roman"/>
          <w:b/>
          <w:bCs/>
          <w:i/>
          <w:iCs/>
          <w:sz w:val="20"/>
          <w:szCs w:val="20"/>
        </w:rPr>
        <w:t xml:space="preserve">Table 5. Illustrative Top-Ranked Features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6600"/>
      </w:tblGrid>
      <w:tr>
        <w:tc>
          <w:tcPr>
            <w:tcW w:type="dxa" w:w="1000"/>
            <w:shd w:fill="D9E2F3" w:val="clear"/>
          </w:tcPr>
          <w:p>
            <w:r>
              <w:rPr>
                <w:rFonts w:ascii="Times New Roman" w:cs="Times New Roman" w:eastAsia="Times New Roman" w:hAnsi="Times New Roman"/>
                <w:b/>
                <w:bCs/>
                <w:sz w:val="18"/>
                <w:szCs w:val="18"/>
              </w:rPr>
              <w:t xml:space="preserve">Rank</w:t>
            </w:r>
          </w:p>
        </w:tc>
        <w:tc>
          <w:tcPr>
            <w:tcW w:type="dxa" w:w="2800"/>
            <w:shd w:fill="D9E2F3" w:val="clear"/>
          </w:tcPr>
          <w:p>
            <w:r>
              <w:rPr>
                <w:rFonts w:ascii="Times New Roman" w:cs="Times New Roman" w:eastAsia="Times New Roman" w:hAnsi="Times New Roman"/>
                <w:b/>
                <w:bCs/>
                <w:sz w:val="18"/>
                <w:szCs w:val="18"/>
              </w:rPr>
              <w:t xml:space="preserve">Feature</w:t>
            </w:r>
          </w:p>
        </w:tc>
        <w:tc>
          <w:tcPr>
            <w:tcW w:type="dxa" w:w="6600"/>
            <w:shd w:fill="D9E2F3" w:val="clear"/>
          </w:tcPr>
          <w:p>
            <w:r>
              <w:rPr>
                <w:rFonts w:ascii="Times New Roman" w:cs="Times New Roman" w:eastAsia="Times New Roman" w:hAnsi="Times New Roman"/>
                <w:b/>
                <w:bCs/>
                <w:sz w:val="18"/>
                <w:szCs w:val="18"/>
              </w:rPr>
              <w:t xml:space="preserve">Methods Supporting Importance</w:t>
            </w:r>
          </w:p>
        </w:tc>
      </w:tr>
      <w:tr>
        <w:tc>
          <w:tcPr>
            <w:tcW w:type="dxa" w:w="1000"/>
          </w:tcPr>
          <w:p>
            <w:r>
              <w:rPr>
                <w:rFonts w:ascii="Times New Roman" w:cs="Times New Roman" w:eastAsia="Times New Roman" w:hAnsi="Times New Roman"/>
                <w:b w:val="false"/>
                <w:bCs w:val="false"/>
                <w:sz w:val="18"/>
                <w:szCs w:val="18"/>
              </w:rPr>
              <w:t xml:space="preserve">1</w:t>
            </w:r>
          </w:p>
        </w:tc>
        <w:tc>
          <w:tcPr>
            <w:tcW w:type="dxa" w:w="2800"/>
          </w:tcPr>
          <w:p>
            <w:r>
              <w:rPr>
                <w:rFonts w:ascii="Times New Roman" w:cs="Times New Roman" w:eastAsia="Times New Roman" w:hAnsi="Times New Roman"/>
                <w:b w:val="false"/>
                <w:bCs w:val="false"/>
                <w:sz w:val="18"/>
                <w:szCs w:val="18"/>
              </w:rPr>
              <w:t xml:space="preserve">src_bytes</w:t>
            </w:r>
          </w:p>
        </w:tc>
        <w:tc>
          <w:tcPr>
            <w:tcW w:type="dxa" w:w="6600"/>
          </w:tcPr>
          <w:p>
            <w:r>
              <w:rPr>
                <w:rFonts w:ascii="Times New Roman" w:cs="Times New Roman" w:eastAsia="Times New Roman" w:hAnsi="Times New Roman"/>
                <w:b w:val="false"/>
                <w:bCs w:val="false"/>
                <w:sz w:val="18"/>
                <w:szCs w:val="18"/>
              </w:rPr>
              <w:t xml:space="preserve">SHAP, PFI, ELI5, LIME</w:t>
            </w:r>
          </w:p>
        </w:tc>
      </w:tr>
      <w:tr>
        <w:tc>
          <w:tcPr>
            <w:tcW w:type="dxa" w:w="1000"/>
          </w:tcPr>
          <w:p>
            <w:r>
              <w:rPr>
                <w:rFonts w:ascii="Times New Roman" w:cs="Times New Roman" w:eastAsia="Times New Roman" w:hAnsi="Times New Roman"/>
                <w:b w:val="false"/>
                <w:bCs w:val="false"/>
                <w:sz w:val="18"/>
                <w:szCs w:val="18"/>
              </w:rPr>
              <w:t xml:space="preserve">2</w:t>
            </w:r>
          </w:p>
        </w:tc>
        <w:tc>
          <w:tcPr>
            <w:tcW w:type="dxa" w:w="2800"/>
          </w:tcPr>
          <w:p>
            <w:r>
              <w:rPr>
                <w:rFonts w:ascii="Times New Roman" w:cs="Times New Roman" w:eastAsia="Times New Roman" w:hAnsi="Times New Roman"/>
                <w:b w:val="false"/>
                <w:bCs w:val="false"/>
                <w:sz w:val="18"/>
                <w:szCs w:val="18"/>
              </w:rPr>
              <w:t xml:space="preserve">dst_bytes</w:t>
            </w:r>
          </w:p>
        </w:tc>
        <w:tc>
          <w:tcPr>
            <w:tcW w:type="dxa" w:w="6600"/>
          </w:tcPr>
          <w:p>
            <w:r>
              <w:rPr>
                <w:rFonts w:ascii="Times New Roman" w:cs="Times New Roman" w:eastAsia="Times New Roman" w:hAnsi="Times New Roman"/>
                <w:b w:val="false"/>
                <w:bCs w:val="false"/>
                <w:sz w:val="18"/>
                <w:szCs w:val="18"/>
              </w:rPr>
              <w:t xml:space="preserve">SHAP, ELI5</w:t>
            </w:r>
          </w:p>
        </w:tc>
      </w:tr>
      <w:tr>
        <w:tc>
          <w:tcPr>
            <w:tcW w:type="dxa" w:w="1000"/>
          </w:tcPr>
          <w:p>
            <w:r>
              <w:rPr>
                <w:rFonts w:ascii="Times New Roman" w:cs="Times New Roman" w:eastAsia="Times New Roman" w:hAnsi="Times New Roman"/>
                <w:b w:val="false"/>
                <w:bCs w:val="false"/>
                <w:sz w:val="18"/>
                <w:szCs w:val="18"/>
              </w:rPr>
              <w:t xml:space="preserve">3</w:t>
            </w:r>
          </w:p>
        </w:tc>
        <w:tc>
          <w:tcPr>
            <w:tcW w:type="dxa" w:w="2800"/>
          </w:tcPr>
          <w:p>
            <w:r>
              <w:rPr>
                <w:rFonts w:ascii="Times New Roman" w:cs="Times New Roman" w:eastAsia="Times New Roman" w:hAnsi="Times New Roman"/>
                <w:b w:val="false"/>
                <w:bCs w:val="false"/>
                <w:sz w:val="18"/>
                <w:szCs w:val="18"/>
              </w:rPr>
              <w:t xml:space="preserve">service</w:t>
            </w:r>
          </w:p>
        </w:tc>
        <w:tc>
          <w:tcPr>
            <w:tcW w:type="dxa" w:w="6600"/>
          </w:tcPr>
          <w:p>
            <w:r>
              <w:rPr>
                <w:rFonts w:ascii="Times New Roman" w:cs="Times New Roman" w:eastAsia="Times New Roman" w:hAnsi="Times New Roman"/>
                <w:b w:val="false"/>
                <w:bCs w:val="false"/>
                <w:sz w:val="18"/>
                <w:szCs w:val="18"/>
              </w:rPr>
              <w:t xml:space="preserve">SHAP, PFI</w:t>
            </w:r>
          </w:p>
        </w:tc>
      </w:tr>
      <w:tr>
        <w:tc>
          <w:tcPr>
            <w:tcW w:type="dxa" w:w="1000"/>
          </w:tcPr>
          <w:p>
            <w:r>
              <w:rPr>
                <w:rFonts w:ascii="Times New Roman" w:cs="Times New Roman" w:eastAsia="Times New Roman" w:hAnsi="Times New Roman"/>
                <w:b w:val="false"/>
                <w:bCs w:val="false"/>
                <w:sz w:val="18"/>
                <w:szCs w:val="18"/>
              </w:rPr>
              <w:t xml:space="preserve">4</w:t>
            </w:r>
          </w:p>
        </w:tc>
        <w:tc>
          <w:tcPr>
            <w:tcW w:type="dxa" w:w="2800"/>
          </w:tcPr>
          <w:p>
            <w:r>
              <w:rPr>
                <w:rFonts w:ascii="Times New Roman" w:cs="Times New Roman" w:eastAsia="Times New Roman" w:hAnsi="Times New Roman"/>
                <w:b w:val="false"/>
                <w:bCs w:val="false"/>
                <w:sz w:val="18"/>
                <w:szCs w:val="18"/>
              </w:rPr>
              <w:t xml:space="preserve">flag</w:t>
            </w:r>
          </w:p>
        </w:tc>
        <w:tc>
          <w:tcPr>
            <w:tcW w:type="dxa" w:w="6600"/>
          </w:tcPr>
          <w:p>
            <w:r>
              <w:rPr>
                <w:rFonts w:ascii="Times New Roman" w:cs="Times New Roman" w:eastAsia="Times New Roman" w:hAnsi="Times New Roman"/>
                <w:b w:val="false"/>
                <w:bCs w:val="false"/>
                <w:sz w:val="18"/>
                <w:szCs w:val="18"/>
              </w:rPr>
              <w:t xml:space="preserve">LIME, SHAP</w:t>
            </w:r>
          </w:p>
        </w:tc>
      </w:tr>
      <w:tr>
        <w:tc>
          <w:tcPr>
            <w:tcW w:type="dxa" w:w="1000"/>
          </w:tcPr>
          <w:p>
            <w:r>
              <w:rPr>
                <w:rFonts w:ascii="Times New Roman" w:cs="Times New Roman" w:eastAsia="Times New Roman" w:hAnsi="Times New Roman"/>
                <w:b w:val="false"/>
                <w:bCs w:val="false"/>
                <w:sz w:val="18"/>
                <w:szCs w:val="18"/>
              </w:rPr>
              <w:t xml:space="preserve">5</w:t>
            </w:r>
          </w:p>
        </w:tc>
        <w:tc>
          <w:tcPr>
            <w:tcW w:type="dxa" w:w="2800"/>
          </w:tcPr>
          <w:p>
            <w:r>
              <w:rPr>
                <w:rFonts w:ascii="Times New Roman" w:cs="Times New Roman" w:eastAsia="Times New Roman" w:hAnsi="Times New Roman"/>
                <w:b w:val="false"/>
                <w:bCs w:val="false"/>
                <w:sz w:val="18"/>
                <w:szCs w:val="18"/>
              </w:rPr>
              <w:t xml:space="preserve">count</w:t>
            </w:r>
          </w:p>
        </w:tc>
        <w:tc>
          <w:tcPr>
            <w:tcW w:type="dxa" w:w="6600"/>
          </w:tcPr>
          <w:p>
            <w:r>
              <w:rPr>
                <w:rFonts w:ascii="Times New Roman" w:cs="Times New Roman" w:eastAsia="Times New Roman" w:hAnsi="Times New Roman"/>
                <w:b w:val="false"/>
                <w:bCs w:val="false"/>
                <w:sz w:val="18"/>
                <w:szCs w:val="18"/>
              </w:rPr>
              <w:t xml:space="preserve">SHAP, PFI, ELI5</w:t>
            </w:r>
          </w:p>
        </w:tc>
      </w:tr>
      <w:tr>
        <w:tc>
          <w:tcPr>
            <w:tcW w:type="dxa" w:w="1000"/>
          </w:tcPr>
          <w:p>
            <w:r>
              <w:rPr>
                <w:rFonts w:ascii="Times New Roman" w:cs="Times New Roman" w:eastAsia="Times New Roman" w:hAnsi="Times New Roman"/>
                <w:b w:val="false"/>
                <w:bCs w:val="false"/>
                <w:sz w:val="18"/>
                <w:szCs w:val="18"/>
              </w:rPr>
              <w:t xml:space="preserve">6</w:t>
            </w:r>
          </w:p>
        </w:tc>
        <w:tc>
          <w:tcPr>
            <w:tcW w:type="dxa" w:w="2800"/>
          </w:tcPr>
          <w:p>
            <w:r>
              <w:rPr>
                <w:rFonts w:ascii="Times New Roman" w:cs="Times New Roman" w:eastAsia="Times New Roman" w:hAnsi="Times New Roman"/>
                <w:b w:val="false"/>
                <w:bCs w:val="false"/>
                <w:sz w:val="18"/>
                <w:szCs w:val="18"/>
              </w:rPr>
              <w:t xml:space="preserve">srv_count</w:t>
            </w:r>
          </w:p>
        </w:tc>
        <w:tc>
          <w:tcPr>
            <w:tcW w:type="dxa" w:w="6600"/>
          </w:tcPr>
          <w:p>
            <w:r>
              <w:rPr>
                <w:rFonts w:ascii="Times New Roman" w:cs="Times New Roman" w:eastAsia="Times New Roman" w:hAnsi="Times New Roman"/>
                <w:b w:val="false"/>
                <w:bCs w:val="false"/>
                <w:sz w:val="18"/>
                <w:szCs w:val="18"/>
              </w:rPr>
              <w:t xml:space="preserve">SHAP, LIME</w:t>
            </w:r>
          </w:p>
        </w:tc>
      </w:tr>
      <w:tr>
        <w:tc>
          <w:tcPr>
            <w:tcW w:type="dxa" w:w="1000"/>
          </w:tcPr>
          <w:p>
            <w:r>
              <w:rPr>
                <w:rFonts w:ascii="Times New Roman" w:cs="Times New Roman" w:eastAsia="Times New Roman" w:hAnsi="Times New Roman"/>
                <w:b w:val="false"/>
                <w:bCs w:val="false"/>
                <w:sz w:val="18"/>
                <w:szCs w:val="18"/>
              </w:rPr>
              <w:t xml:space="preserve">7</w:t>
            </w:r>
          </w:p>
        </w:tc>
        <w:tc>
          <w:tcPr>
            <w:tcW w:type="dxa" w:w="2800"/>
          </w:tcPr>
          <w:p>
            <w:r>
              <w:rPr>
                <w:rFonts w:ascii="Times New Roman" w:cs="Times New Roman" w:eastAsia="Times New Roman" w:hAnsi="Times New Roman"/>
                <w:b w:val="false"/>
                <w:bCs w:val="false"/>
                <w:sz w:val="18"/>
                <w:szCs w:val="18"/>
              </w:rPr>
              <w:t xml:space="preserve">serror_rate</w:t>
            </w:r>
          </w:p>
        </w:tc>
        <w:tc>
          <w:tcPr>
            <w:tcW w:type="dxa" w:w="6600"/>
          </w:tcPr>
          <w:p>
            <w:r>
              <w:rPr>
                <w:rFonts w:ascii="Times New Roman" w:cs="Times New Roman" w:eastAsia="Times New Roman" w:hAnsi="Times New Roman"/>
                <w:b w:val="false"/>
                <w:bCs w:val="false"/>
                <w:sz w:val="18"/>
                <w:szCs w:val="18"/>
              </w:rPr>
              <w:t xml:space="preserve">SHAP, ELI5</w:t>
            </w:r>
          </w:p>
        </w:tc>
      </w:tr>
      <w:tr>
        <w:tc>
          <w:tcPr>
            <w:tcW w:type="dxa" w:w="1000"/>
          </w:tcPr>
          <w:p>
            <w:r>
              <w:rPr>
                <w:rFonts w:ascii="Times New Roman" w:cs="Times New Roman" w:eastAsia="Times New Roman" w:hAnsi="Times New Roman"/>
                <w:b w:val="false"/>
                <w:bCs w:val="false"/>
                <w:sz w:val="18"/>
                <w:szCs w:val="18"/>
              </w:rPr>
              <w:t xml:space="preserve">8</w:t>
            </w:r>
          </w:p>
        </w:tc>
        <w:tc>
          <w:tcPr>
            <w:tcW w:type="dxa" w:w="2800"/>
          </w:tcPr>
          <w:p>
            <w:r>
              <w:rPr>
                <w:rFonts w:ascii="Times New Roman" w:cs="Times New Roman" w:eastAsia="Times New Roman" w:hAnsi="Times New Roman"/>
                <w:b w:val="false"/>
                <w:bCs w:val="false"/>
                <w:sz w:val="18"/>
                <w:szCs w:val="18"/>
              </w:rPr>
              <w:t xml:space="preserve">dst_host_srv_count</w:t>
            </w:r>
          </w:p>
        </w:tc>
        <w:tc>
          <w:tcPr>
            <w:tcW w:type="dxa" w:w="6600"/>
          </w:tcPr>
          <w:p>
            <w:r>
              <w:rPr>
                <w:rFonts w:ascii="Times New Roman" w:cs="Times New Roman" w:eastAsia="Times New Roman" w:hAnsi="Times New Roman"/>
                <w:b w:val="false"/>
                <w:bCs w:val="false"/>
                <w:sz w:val="18"/>
                <w:szCs w:val="18"/>
              </w:rPr>
              <w:t xml:space="preserve">SHAP, PFI</w:t>
            </w:r>
          </w:p>
        </w:tc>
      </w:tr>
      <w:tr>
        <w:tc>
          <w:tcPr>
            <w:tcW w:type="dxa" w:w="1000"/>
          </w:tcPr>
          <w:p>
            <w:r>
              <w:rPr>
                <w:rFonts w:ascii="Times New Roman" w:cs="Times New Roman" w:eastAsia="Times New Roman" w:hAnsi="Times New Roman"/>
                <w:b w:val="false"/>
                <w:bCs w:val="false"/>
                <w:sz w:val="18"/>
                <w:szCs w:val="18"/>
              </w:rPr>
              <w:t xml:space="preserve">9</w:t>
            </w:r>
          </w:p>
        </w:tc>
        <w:tc>
          <w:tcPr>
            <w:tcW w:type="dxa" w:w="2800"/>
          </w:tcPr>
          <w:p>
            <w:r>
              <w:rPr>
                <w:rFonts w:ascii="Times New Roman" w:cs="Times New Roman" w:eastAsia="Times New Roman" w:hAnsi="Times New Roman"/>
                <w:b w:val="false"/>
                <w:bCs w:val="false"/>
                <w:sz w:val="18"/>
                <w:szCs w:val="18"/>
              </w:rPr>
              <w:t xml:space="preserve">same_srv_rate</w:t>
            </w:r>
          </w:p>
        </w:tc>
        <w:tc>
          <w:tcPr>
            <w:tcW w:type="dxa" w:w="6600"/>
          </w:tcPr>
          <w:p>
            <w:r>
              <w:rPr>
                <w:rFonts w:ascii="Times New Roman" w:cs="Times New Roman" w:eastAsia="Times New Roman" w:hAnsi="Times New Roman"/>
                <w:b w:val="false"/>
                <w:bCs w:val="false"/>
                <w:sz w:val="18"/>
                <w:szCs w:val="18"/>
              </w:rPr>
              <w:t xml:space="preserve">SHAP, LIME</w:t>
            </w:r>
          </w:p>
        </w:tc>
      </w:tr>
      <w:tr>
        <w:tc>
          <w:tcPr>
            <w:tcW w:type="dxa" w:w="1000"/>
          </w:tcPr>
          <w:p>
            <w:r>
              <w:rPr>
                <w:rFonts w:ascii="Times New Roman" w:cs="Times New Roman" w:eastAsia="Times New Roman" w:hAnsi="Times New Roman"/>
                <w:b w:val="false"/>
                <w:bCs w:val="false"/>
                <w:sz w:val="18"/>
                <w:szCs w:val="18"/>
              </w:rPr>
              <w:t xml:space="preserve">10</w:t>
            </w:r>
          </w:p>
        </w:tc>
        <w:tc>
          <w:tcPr>
            <w:tcW w:type="dxa" w:w="2800"/>
          </w:tcPr>
          <w:p>
            <w:r>
              <w:rPr>
                <w:rFonts w:ascii="Times New Roman" w:cs="Times New Roman" w:eastAsia="Times New Roman" w:hAnsi="Times New Roman"/>
                <w:b w:val="false"/>
                <w:bCs w:val="false"/>
                <w:sz w:val="18"/>
                <w:szCs w:val="18"/>
              </w:rPr>
              <w:t xml:space="preserve">dst_host_same_srv_rate</w:t>
            </w:r>
          </w:p>
        </w:tc>
        <w:tc>
          <w:tcPr>
            <w:tcW w:type="dxa" w:w="6600"/>
          </w:tcPr>
          <w:p>
            <w:r>
              <w:rPr>
                <w:rFonts w:ascii="Times New Roman" w:cs="Times New Roman" w:eastAsia="Times New Roman" w:hAnsi="Times New Roman"/>
                <w:b w:val="false"/>
                <w:bCs w:val="false"/>
                <w:sz w:val="18"/>
                <w:szCs w:val="18"/>
              </w:rPr>
              <w:t xml:space="preserve">SHAP, ELI5</w:t>
            </w:r>
          </w:p>
        </w:tc>
      </w:tr>
    </w:tbl>
    <w:p>
      <w:pPr>
        <w:spacing w:after="200"/>
      </w:pPr>
    </w:p>
    <w:p>
      <w:pPr>
        <w:spacing w:after="160" w:line="276"/>
        <w:jc w:val="both"/>
      </w:pPr>
      <w:r>
        <w:rPr>
          <w:rFonts w:ascii="Times New Roman" w:cs="Times New Roman" w:eastAsia="Times New Roman" w:hAnsi="Times New Roman"/>
          <w:sz w:val="22"/>
          <w:szCs w:val="22"/>
        </w:rPr>
        <w:t xml:space="preserve">The illustrative ranking demonstrates how multiple explainability methods can be combined to identify consistently influential features. Such consensus-based ranking can be used to guide feature selection before retraining the classifier, a capability absent from the comparison-only studies reviewed in Section 2 [13], [17].</w:t>
      </w:r>
    </w:p>
    <w:p>
      <w:pPr>
        <w:pStyle w:val="Heading2"/>
        <w:spacing w:after="120" w:before="240"/>
      </w:pPr>
      <w:r>
        <w:rPr>
          <w:rFonts w:ascii="Times New Roman" w:cs="Times New Roman" w:eastAsia="Times New Roman" w:hAnsi="Times New Roman"/>
          <w:b/>
          <w:bCs/>
          <w:sz w:val="24"/>
          <w:szCs w:val="24"/>
        </w:rPr>
        <w:t xml:space="preserve">7.4 Local Explainability</w:t>
      </w:r>
    </w:p>
    <w:p>
      <w:pPr>
        <w:spacing w:after="160" w:line="276"/>
        <w:jc w:val="both"/>
      </w:pPr>
      <w:r>
        <w:rPr>
          <w:rFonts w:ascii="Times New Roman" w:cs="Times New Roman" w:eastAsia="Times New Roman" w:hAnsi="Times New Roman"/>
          <w:sz w:val="22"/>
          <w:szCs w:val="22"/>
        </w:rPr>
        <w:t xml:space="preserve">LIME [3] provides instance-level explanations for individual predictions. For a representative attack sample, positive contributions were attributed to src_bytes, service, and flag, while negative contributions were attributed to logged_in and dst_host_srv_count. These explanations enable analysts to understand why a specific network connection was classified as malicious.</w:t>
      </w:r>
    </w:p>
    <w:p>
      <w:pPr>
        <w:pStyle w:val="Heading2"/>
        <w:spacing w:after="120" w:before="240"/>
      </w:pPr>
      <w:r>
        <w:rPr>
          <w:rFonts w:ascii="Times New Roman" w:cs="Times New Roman" w:eastAsia="Times New Roman" w:hAnsi="Times New Roman"/>
          <w:b/>
          <w:bCs/>
          <w:sz w:val="24"/>
          <w:szCs w:val="24"/>
        </w:rPr>
        <w:t xml:space="preserve">7.5 Global Explainability</w:t>
      </w:r>
    </w:p>
    <w:p>
      <w:pPr>
        <w:spacing w:after="160" w:line="276"/>
        <w:jc w:val="both"/>
      </w:pPr>
      <w:r>
        <w:rPr>
          <w:rFonts w:ascii="Times New Roman" w:cs="Times New Roman" w:eastAsia="Times New Roman" w:hAnsi="Times New Roman"/>
          <w:sz w:val="22"/>
          <w:szCs w:val="22"/>
        </w:rPr>
        <w:t xml:space="preserve">ELI5 provides overall feature importance across the trained model. Illustrative top features are: src_bytes, service, flag, dst_bytes, and count. Global explanations help security analysts identify which traffic characteristics consistently influence model predictions.</w:t>
      </w:r>
    </w:p>
    <w:p>
      <w:pPr>
        <w:pStyle w:val="Heading2"/>
        <w:spacing w:after="120" w:before="240"/>
      </w:pPr>
      <w:r>
        <w:rPr>
          <w:rFonts w:ascii="Times New Roman" w:cs="Times New Roman" w:eastAsia="Times New Roman" w:hAnsi="Times New Roman"/>
          <w:b/>
          <w:bCs/>
          <w:sz w:val="24"/>
          <w:szCs w:val="24"/>
        </w:rPr>
        <w:t xml:space="preserve">7.6 SHAP Analysis</w:t>
      </w:r>
    </w:p>
    <w:p>
      <w:pPr>
        <w:spacing w:after="160" w:line="276"/>
        <w:jc w:val="both"/>
      </w:pPr>
      <w:r>
        <w:rPr>
          <w:rFonts w:ascii="Times New Roman" w:cs="Times New Roman" w:eastAsia="Times New Roman" w:hAnsi="Times New Roman"/>
          <w:sz w:val="22"/>
          <w:szCs w:val="22"/>
        </w:rPr>
        <w:t xml:space="preserve">SHAP [2] provides both global and local attribution values. Illustrative findings indicate that src_bytes shows the largest positive SHAP contribution toward attack detection; service and flag exhibit strong nonlinear effects; high dst_bytes values contribute positively for selected attack categories; and logged_in has a stabilizing effect for normal traffic.</w:t>
      </w:r>
    </w:p>
    <w:p>
      <w:pPr>
        <w:pStyle w:val="Heading2"/>
        <w:spacing w:after="120" w:before="240"/>
      </w:pPr>
      <w:r>
        <w:rPr>
          <w:rFonts w:ascii="Times New Roman" w:cs="Times New Roman" w:eastAsia="Times New Roman" w:hAnsi="Times New Roman"/>
          <w:b/>
          <w:bCs/>
          <w:sz w:val="24"/>
          <w:szCs w:val="24"/>
        </w:rPr>
        <w:t xml:space="preserve">7.7 Confusion Matrix</w:t>
      </w:r>
    </w:p>
    <w:p>
      <w:pPr>
        <w:spacing w:after="160" w:line="276"/>
        <w:jc w:val="both"/>
      </w:pPr>
      <w:r>
        <w:rPr>
          <w:rFonts w:ascii="Times New Roman" w:cs="Times New Roman" w:eastAsia="Times New Roman" w:hAnsi="Times New Roman"/>
          <w:sz w:val="22"/>
          <w:szCs w:val="22"/>
        </w:rPr>
        <w:t xml:space="preserve">Illustrative observations include a high true-positive rate for attack detection, very few false negatives, and a slight increase in true positives after explainability-guided feature selection.</w:t>
      </w:r>
    </w:p>
    <w:p>
      <w:pPr>
        <w:pStyle w:val="Heading2"/>
        <w:spacing w:after="120" w:before="240"/>
      </w:pPr>
      <w:r>
        <w:rPr>
          <w:rFonts w:ascii="Times New Roman" w:cs="Times New Roman" w:eastAsia="Times New Roman" w:hAnsi="Times New Roman"/>
          <w:b/>
          <w:bCs/>
          <w:sz w:val="24"/>
          <w:szCs w:val="24"/>
        </w:rPr>
        <w:t xml:space="preserve">7.8 Comparative Discussion</w:t>
      </w:r>
    </w:p>
    <w:p>
      <w:pPr>
        <w:spacing w:after="160" w:line="276"/>
        <w:jc w:val="both"/>
      </w:pPr>
      <w:r>
        <w:rPr>
          <w:rFonts w:ascii="Times New Roman" w:cs="Times New Roman" w:eastAsia="Times New Roman" w:hAnsi="Times New Roman"/>
          <w:sz w:val="22"/>
          <w:szCs w:val="22"/>
        </w:rPr>
        <w:t xml:space="preserve">Compared with the single-technique baselines reviewed in Section 2 [14]–[16] and the comparison-only studies [13], [17], the proposed hybrid approach offers local explanations through LIME, global explanations through ELI5 and SHAP, multi-method feature consensus via HEFM, improved transparency for security analysts, and potential performance gains if explainability-guided feature selection removes noisy or redundant attributes. Even if the classification metrics ultimately differ only marginally, the enhanced interpretability provides an additional benefit for practical deployment in security operations.</w:t>
      </w:r>
    </w:p>
    <w:p>
      <w:pPr>
        <w:pStyle w:val="Heading2"/>
        <w:spacing w:after="120" w:before="240"/>
      </w:pPr>
      <w:r>
        <w:rPr>
          <w:rFonts w:ascii="Times New Roman" w:cs="Times New Roman" w:eastAsia="Times New Roman" w:hAnsi="Times New Roman"/>
          <w:b/>
          <w:bCs/>
          <w:sz w:val="24"/>
          <w:szCs w:val="24"/>
        </w:rPr>
        <w:t xml:space="preserve">7.9 Threats to Validity</w:t>
      </w:r>
    </w:p>
    <w:p>
      <w:pPr>
        <w:pStyle w:val="ListParagraph"/>
        <w:numPr>
          <w:ilvl w:val="0"/>
          <w:numId w:val="1"/>
        </w:numPr>
        <w:spacing w:after="80"/>
      </w:pPr>
      <w:r>
        <w:rPr>
          <w:rFonts w:ascii="Times New Roman" w:cs="Times New Roman" w:eastAsia="Times New Roman" w:hAnsi="Times New Roman"/>
          <w:sz w:val="22"/>
          <w:szCs w:val="22"/>
        </w:rPr>
        <w:t xml:space="preserve">Dependence on publicly available benchmark datasets.</w:t>
      </w:r>
    </w:p>
    <w:p>
      <w:pPr>
        <w:pStyle w:val="ListParagraph"/>
        <w:numPr>
          <w:ilvl w:val="0"/>
          <w:numId w:val="1"/>
        </w:numPr>
        <w:spacing w:after="80"/>
      </w:pPr>
      <w:r>
        <w:rPr>
          <w:rFonts w:ascii="Times New Roman" w:cs="Times New Roman" w:eastAsia="Times New Roman" w:hAnsi="Times New Roman"/>
          <w:sz w:val="22"/>
          <w:szCs w:val="22"/>
        </w:rPr>
        <w:t xml:space="preserve">Additional computational cost introduced by multiple explainability methods.</w:t>
      </w:r>
    </w:p>
    <w:p>
      <w:pPr>
        <w:pStyle w:val="ListParagraph"/>
        <w:numPr>
          <w:ilvl w:val="0"/>
          <w:numId w:val="1"/>
        </w:numPr>
        <w:spacing w:after="80"/>
      </w:pPr>
      <w:r>
        <w:rPr>
          <w:rFonts w:ascii="Times New Roman" w:cs="Times New Roman" w:eastAsia="Times New Roman" w:hAnsi="Times New Roman"/>
          <w:sz w:val="22"/>
          <w:szCs w:val="22"/>
        </w:rPr>
        <w:t xml:space="preserve">Results may vary across network environments and attack distributions.</w:t>
      </w:r>
    </w:p>
    <w:p>
      <w:pPr>
        <w:pStyle w:val="ListParagraph"/>
        <w:numPr>
          <w:ilvl w:val="0"/>
          <w:numId w:val="1"/>
        </w:numPr>
        <w:spacing w:after="80"/>
      </w:pPr>
      <w:r>
        <w:rPr>
          <w:rFonts w:ascii="Times New Roman" w:cs="Times New Roman" w:eastAsia="Times New Roman" w:hAnsi="Times New Roman"/>
          <w:sz w:val="22"/>
          <w:szCs w:val="22"/>
        </w:rPr>
        <w:t xml:space="preserve">Performance improvements should be validated through statistical significance testing.</w:t>
      </w:r>
    </w:p>
    <w:p>
      <w:pPr>
        <w:pStyle w:val="Heading2"/>
        <w:spacing w:after="120" w:before="240"/>
      </w:pPr>
      <w:r>
        <w:rPr>
          <w:rFonts w:ascii="Times New Roman" w:cs="Times New Roman" w:eastAsia="Times New Roman" w:hAnsi="Times New Roman"/>
          <w:b/>
          <w:bCs/>
          <w:sz w:val="24"/>
          <w:szCs w:val="24"/>
        </w:rPr>
        <w:t xml:space="preserve">7.10 Summary</w:t>
      </w:r>
    </w:p>
    <w:p>
      <w:pPr>
        <w:spacing w:after="160" w:line="276"/>
        <w:jc w:val="both"/>
      </w:pPr>
      <w:r>
        <w:rPr>
          <w:rFonts w:ascii="Times New Roman" w:cs="Times New Roman" w:eastAsia="Times New Roman" w:hAnsi="Times New Roman"/>
          <w:sz w:val="22"/>
          <w:szCs w:val="22"/>
        </w:rPr>
        <w:t xml:space="preserve">The illustrative evaluation demonstrates how a hybrid explainability framework can combine local and global interpretation while maintaining competitive intrusion detection performance. Final conclusions should be based on reproducible experimental results obtained from the NSL-KDD, UNSW-NB15, and TON-IoT datasets.</w:t>
      </w:r>
    </w:p>
    <w:p>
      <w:pPr>
        <w:pStyle w:val="Heading1"/>
        <w:spacing w:after="150" w:before="300"/>
      </w:pPr>
      <w:r>
        <w:rPr>
          <w:rFonts w:ascii="Times New Roman" w:cs="Times New Roman" w:eastAsia="Times New Roman" w:hAnsi="Times New Roman"/>
          <w:b/>
          <w:bCs/>
          <w:sz w:val="28"/>
          <w:szCs w:val="28"/>
        </w:rPr>
        <w:t xml:space="preserve">8. Discussion</w:t>
      </w:r>
    </w:p>
    <w:p>
      <w:pPr>
        <w:spacing w:after="160" w:line="276"/>
        <w:jc w:val="both"/>
      </w:pPr>
      <w:r>
        <w:rPr>
          <w:rFonts w:ascii="Times New Roman" w:cs="Times New Roman" w:eastAsia="Times New Roman" w:hAnsi="Times New Roman"/>
          <w:sz w:val="22"/>
          <w:szCs w:val="22"/>
        </w:rPr>
        <w:t xml:space="preserve">The proposed HXAI-LSTM framework was designed to address two fundamental challenges associated with modern intrusion detection systems for IoT environments: maintaining competitive intrusion detection performance while improving the transparency and interpretability of deep learning models. Unlike conventional LSTM-based intrusion detection systems that primarily emphasize predictive accuracy, and unlike the single-technique explainable IDS studies reviewed in Section 2 [14]–[16], the proposed framework integrates multiple complementary XAI techniques to provide a more comprehensive understanding of the model's decision-making process.</w:t>
      </w:r>
    </w:p>
    <w:p>
      <w:pPr>
        <w:spacing w:after="160" w:line="276"/>
        <w:jc w:val="both"/>
      </w:pPr>
      <w:r>
        <w:rPr>
          <w:rFonts w:ascii="Times New Roman" w:cs="Times New Roman" w:eastAsia="Times New Roman" w:hAnsi="Times New Roman"/>
          <w:sz w:val="22"/>
          <w:szCs w:val="22"/>
        </w:rPr>
        <w:t xml:space="preserve">A key characteristic of the proposed framework is the simultaneous utilization of both global and local explainability methods. Existing explainable intrusion detection frameworks typically rely on a limited number of explanation techniques, resulting in partial interpretation of model behavior. Global explainability methods such as SHAP, PFI, PDP, and ELI5 provide valuable information regarding overall feature importance and model behavior but offer limited insight into the reasoning behind individual predictions. Conversely, local explanation techniques including LIME and ICE focus on individual instances, enabling detailed investigation of specific intrusion detection decisions. By integrating these complementary perspectives within a unified framework, the proposed approach enables a more comprehensive interpretation of intrusion detection decisions than approaches based on a single explanation technique.</w:t>
      </w:r>
    </w:p>
    <w:p>
      <w:pPr>
        <w:spacing w:after="160" w:line="276"/>
        <w:jc w:val="both"/>
      </w:pPr>
      <w:r>
        <w:rPr>
          <w:rFonts w:ascii="Times New Roman" w:cs="Times New Roman" w:eastAsia="Times New Roman" w:hAnsi="Times New Roman"/>
          <w:sz w:val="22"/>
          <w:szCs w:val="22"/>
        </w:rPr>
        <w:t xml:space="preserve">The Hybrid Explainability Fusion Module (HEFM) further enhances this integration by combining feature importance information generated from multiple explainability methods. Instead of treating the outputs of SHAP, LIME, ELI5, PFI, PDP, and ICE independently — as in [14]–[16] — or merely comparing them side by side — as in [13] and [17] — the framework aggregates their complementary information through the proposed Feature Consensus Score (FCS). This strategy supports a more robust interpretation of network traffic features, because features consistently identified as influential across multiple explanation methods are likely to represent more reliable indicators of malicious behavior than those highlighted by only a single technique. Such consensus-based analysis can assist cybersecurity analysts in prioritizing investigation efforts and improving confidence in AI-assisted intrusion detection decisions.</w:t>
      </w:r>
    </w:p>
    <w:p>
      <w:pPr>
        <w:spacing w:after="160" w:line="276"/>
        <w:jc w:val="both"/>
      </w:pPr>
      <w:r>
        <w:rPr>
          <w:rFonts w:ascii="Times New Roman" w:cs="Times New Roman" w:eastAsia="Times New Roman" w:hAnsi="Times New Roman"/>
          <w:sz w:val="22"/>
          <w:szCs w:val="22"/>
        </w:rPr>
        <w:t xml:space="preserve">The proposed explainability-guided feature analysis also represents an important methodological contribution. In many existing studies, explainability is applied primarily as a post-hoc visualization mechanism after model training has been completed [14]–[16]. In contrast, the proposed framework incorporates explainability into the analytical workflow by using feature importance information to refine the understanding of network attributes. While the primary objective is to enhance interpretability, explainability-guided feature analysis may also facilitate the identification of redundant or less informative features, potentially reducing model complexity and improving computational efficiency.</w:t>
      </w:r>
    </w:p>
    <w:p>
      <w:pPr>
        <w:spacing w:after="160" w:line="276"/>
        <w:jc w:val="both"/>
      </w:pPr>
      <w:r>
        <w:rPr>
          <w:rFonts w:ascii="Times New Roman" w:cs="Times New Roman" w:eastAsia="Times New Roman" w:hAnsi="Times New Roman"/>
          <w:sz w:val="22"/>
          <w:szCs w:val="22"/>
        </w:rPr>
        <w:t xml:space="preserve">Another important observation concerns the applicability of the proposed framework across different benchmark datasets. The selected datasets — NSL-KDD [7], UNSW-NB15 [8], and TON-IoT [9] — represent different generations of intrusion detection benchmarks, ranging from traditional network attacks to contemporary IoT-specific threats, a range also used to evaluate the closely related X-FuseRLSTM framework [18]. Evaluating the framework across these datasets enables assessment of its robustness under diverse network environments and attack distributions.</w:t>
      </w:r>
    </w:p>
    <w:p>
      <w:pPr>
        <w:spacing w:after="160" w:line="276"/>
        <w:jc w:val="both"/>
      </w:pPr>
      <w:r>
        <w:rPr>
          <w:rFonts w:ascii="Times New Roman" w:cs="Times New Roman" w:eastAsia="Times New Roman" w:hAnsi="Times New Roman"/>
          <w:sz w:val="22"/>
          <w:szCs w:val="22"/>
        </w:rPr>
        <w:t xml:space="preserve">From an operational perspective, improved interpretability has practical implications beyond classification performance. In real-world Security Operations Centers (SOCs), analysts are responsible for validating automated alerts, investigating suspicious network activities, and communicating security incidents to decision-makers. Models capable of providing transparent explanations for their predictions may improve analyst confidence, facilitate faster incident investigation, and support more informed security responses, as also emphasized in the IoT-focused survey by Moustafa et al. [11].</w:t>
      </w:r>
    </w:p>
    <w:p>
      <w:pPr>
        <w:spacing w:after="160" w:line="276"/>
        <w:jc w:val="both"/>
      </w:pPr>
      <w:r>
        <w:rPr>
          <w:rFonts w:ascii="Times New Roman" w:cs="Times New Roman" w:eastAsia="Times New Roman" w:hAnsi="Times New Roman"/>
          <w:sz w:val="22"/>
          <w:szCs w:val="22"/>
        </w:rPr>
        <w:t xml:space="preserve">Despite these advantages, several limitations should be acknowledged. First, the proposed framework relies on benchmark datasets that, although widely accepted in intrusion detection research, may not fully capture the diversity and dynamics of operational enterprise or industrial IoT environments. Second, integrating six explainability techniques increases computational complexity, since each explanation method requires additional processing after model training; consequently, deployment in real-time or resource-constrained IoT environments may require further optimization, similar to the concerns raised for optimization-augmented XAI-IDS approaches such as [15]. Third, the proposed Feature Consensus Score currently combines feature importance information using a predefined (equal-weight) aggregation strategy; alternative weighting schemes or adaptive fusion mechanisms, potentially informed by evaluation methodologies such as [17], may provide further improvements and warrant future investigation.</w:t>
      </w:r>
    </w:p>
    <w:p>
      <w:pPr>
        <w:spacing w:after="160" w:line="276"/>
        <w:jc w:val="both"/>
      </w:pPr>
      <w:r>
        <w:rPr>
          <w:rFonts w:ascii="Times New Roman" w:cs="Times New Roman" w:eastAsia="Times New Roman" w:hAnsi="Times New Roman"/>
          <w:sz w:val="22"/>
          <w:szCs w:val="22"/>
        </w:rPr>
        <w:t xml:space="preserve">Future research may extend the proposed framework in several directions. First, the explainability fusion strategy could be applied to alternative deep learning architectures such as Gated Recurrent Units (GRUs), Transformer-based models, or Graph Neural Networks (GNNs), building on architectural directions already explored in [18]. Second, adaptive weighting strategies could be developed to dynamically determine the contribution of each explainability technique based on dataset characteristics or model behavior. Third, real-time deployment within edge computing environments could be investigated to evaluate the practicality of explainable intrusion detection under operational conditions. Finally, the integration of Large Language Models (LLMs) with explainability techniques presents an emerging research direction, enabling automated natural-language explanations that may further improve communication between AI systems and cybersecurity analysts.</w:t>
      </w:r>
    </w:p>
    <w:p>
      <w:pPr>
        <w:spacing w:after="160" w:line="276"/>
        <w:jc w:val="both"/>
      </w:pPr>
      <w:r>
        <w:rPr>
          <w:rFonts w:ascii="Times New Roman" w:cs="Times New Roman" w:eastAsia="Times New Roman" w:hAnsi="Times New Roman"/>
          <w:sz w:val="22"/>
          <w:szCs w:val="22"/>
        </w:rPr>
        <w:t xml:space="preserve">Overall, the proposed framework demonstrates a systematic approach for integrating multiple complementary explainability techniques within a deep learning-based intrusion detection system. By combining temporal learning through LSTM with comprehensive local and global explainability via HEFM, the framework aims to bridge the gap between predictive capability and interpretability identified across the reviewed literature [11]–[18].</w:t>
      </w:r>
    </w:p>
    <w:p>
      <w:pPr>
        <w:pStyle w:val="Heading1"/>
        <w:spacing w:after="150" w:before="300"/>
      </w:pPr>
      <w:r>
        <w:rPr>
          <w:rFonts w:ascii="Times New Roman" w:cs="Times New Roman" w:eastAsia="Times New Roman" w:hAnsi="Times New Roman"/>
          <w:b/>
          <w:bCs/>
          <w:sz w:val="28"/>
          <w:szCs w:val="28"/>
        </w:rPr>
        <w:t xml:space="preserve">9. Conclusion</w:t>
      </w:r>
    </w:p>
    <w:p>
      <w:pPr>
        <w:spacing w:after="160" w:line="276"/>
        <w:jc w:val="both"/>
      </w:pPr>
      <w:r>
        <w:rPr>
          <w:rFonts w:ascii="Times New Roman" w:cs="Times New Roman" w:eastAsia="Times New Roman" w:hAnsi="Times New Roman"/>
          <w:sz w:val="22"/>
          <w:szCs w:val="22"/>
        </w:rPr>
        <w:t xml:space="preserve">This research presented a Hybrid Explainable Deep Learning Framework (HXAI-LSTM) for intrusion detection in IoT networks by integrating the sequential learning capability of LSTM [1] with six complementary Explainable Artificial Intelligence techniques, namely SHAP [2], PFI [4], PDP [5], ICE [6], LIME [3], and ELI5. The proposed framework addresses the limitations of existing AI- and XAI-based intrusion detection approaches identified in the literature review — including single-technique frameworks [14]–[16], comparison-only studies [13], [17], and feature-fusion (rather than explanation-fusion) LSTM frameworks [18] — by providing a unified architecture capable of delivering both local and global model explanations while introducing the Hybrid Explainability Fusion Module (HEFM) and Feature Consensus Score (FCS) for explainability-guided feature analysis. The comparative evaluation with existing studies demonstrates that the proposed framework offers a more comprehensive and systematic explainability mechanism, thereby improving the transparency, interpretability, and practical applicability of AI-driven intrusion detection systems. By bridging the gap between predictive intelligence and explainable decision-making, the proposed framework contributes toward the development of trustworthy and analyst-centric cybersecurity solutions for next-generation IoT environments. Future work will focus on validating the framework in real-world IoT deployments, investigating adaptive explainability fusion strategies, and extending the proposed methodology to advanced deep learning architectures such as Transformers and Graph Neural Networks to further enhance intelligent and interpretable intrusion detection.</w:t>
      </w:r>
    </w:p>
    <w:p>
      <w:pPr>
        <w:pStyle w:val="Heading1"/>
        <w:pageBreakBefore/>
        <w:spacing w:after="200" w:before="0"/>
      </w:pPr>
      <w:r>
        <w:rPr>
          <w:rFonts w:ascii="Times New Roman" w:cs="Times New Roman" w:eastAsia="Times New Roman" w:hAnsi="Times New Roman"/>
          <w:b/>
          <w:bCs/>
          <w:sz w:val="28"/>
          <w:szCs w:val="28"/>
        </w:rPr>
        <w:t xml:space="preserve">References</w:t>
      </w:r>
    </w:p>
    <w:p>
      <w:pPr>
        <w:spacing w:after="140"/>
        <w:ind w:left="504" w:hanging="504"/>
      </w:pPr>
      <w:r>
        <w:rPr>
          <w:rFonts w:ascii="Times New Roman" w:cs="Times New Roman" w:eastAsia="Times New Roman" w:hAnsi="Times New Roman"/>
          <w:sz w:val="22"/>
          <w:szCs w:val="22"/>
        </w:rPr>
        <w:t xml:space="preserve">[1] </w:t>
      </w:r>
      <w:r>
        <w:rPr>
          <w:rFonts w:ascii="Times New Roman" w:cs="Times New Roman" w:eastAsia="Times New Roman" w:hAnsi="Times New Roman"/>
          <w:sz w:val="22"/>
          <w:szCs w:val="22"/>
        </w:rPr>
        <w:t xml:space="preserve">S. Hochreiter and J. Schmidhuber, “Long short-term memory,” Neural Computation, vol. 9, no. 8, pp. 1735–1780, Nov. 1997.</w:t>
      </w:r>
    </w:p>
    <w:p>
      <w:pPr>
        <w:spacing w:after="140"/>
        <w:ind w:left="504" w:hanging="504"/>
      </w:pPr>
      <w:r>
        <w:rPr>
          <w:rFonts w:ascii="Times New Roman" w:cs="Times New Roman" w:eastAsia="Times New Roman" w:hAnsi="Times New Roman"/>
          <w:sz w:val="22"/>
          <w:szCs w:val="22"/>
        </w:rPr>
        <w:t xml:space="preserve">[2] </w:t>
      </w:r>
      <w:r>
        <w:rPr>
          <w:rFonts w:ascii="Times New Roman" w:cs="Times New Roman" w:eastAsia="Times New Roman" w:hAnsi="Times New Roman"/>
          <w:sz w:val="22"/>
          <w:szCs w:val="22"/>
        </w:rPr>
        <w:t xml:space="preserve">S. M. Lundberg and S.-I. Lee, “A unified approach to interpreting model predictions,” in Proc. 31st Int. Conf. Neural Information Processing Systems (NeurIPS), Long Beach, CA, USA, 2017, pp. 4765–4774.</w:t>
      </w:r>
    </w:p>
    <w:p>
      <w:pPr>
        <w:spacing w:after="140"/>
        <w:ind w:left="504" w:hanging="504"/>
      </w:pPr>
      <w:r>
        <w:rPr>
          <w:rFonts w:ascii="Times New Roman" w:cs="Times New Roman" w:eastAsia="Times New Roman" w:hAnsi="Times New Roman"/>
          <w:sz w:val="22"/>
          <w:szCs w:val="22"/>
        </w:rPr>
        <w:t xml:space="preserve">[3] </w:t>
      </w:r>
      <w:r>
        <w:rPr>
          <w:rFonts w:ascii="Times New Roman" w:cs="Times New Roman" w:eastAsia="Times New Roman" w:hAnsi="Times New Roman"/>
          <w:sz w:val="22"/>
          <w:szCs w:val="22"/>
        </w:rPr>
        <w:t xml:space="preserve">M. T. Ribeiro, S. Singh, and C. Guestrin, “‘Why should I trust you?’: Explaining the predictions of any classifier,” in Proc. 22nd ACM SIGKDD Int. Conf. Knowledge Discovery and Data Mining (KDD ’16), San Francisco, CA, USA, 2016, pp. 1135–1144.</w:t>
      </w:r>
    </w:p>
    <w:p>
      <w:pPr>
        <w:spacing w:after="140"/>
        <w:ind w:left="504" w:hanging="504"/>
      </w:pPr>
      <w:r>
        <w:rPr>
          <w:rFonts w:ascii="Times New Roman" w:cs="Times New Roman" w:eastAsia="Times New Roman" w:hAnsi="Times New Roman"/>
          <w:sz w:val="22"/>
          <w:szCs w:val="22"/>
        </w:rPr>
        <w:t xml:space="preserve">[4] </w:t>
      </w:r>
      <w:r>
        <w:rPr>
          <w:rFonts w:ascii="Times New Roman" w:cs="Times New Roman" w:eastAsia="Times New Roman" w:hAnsi="Times New Roman"/>
          <w:sz w:val="22"/>
          <w:szCs w:val="22"/>
        </w:rPr>
        <w:t xml:space="preserve">L. Breiman, “Random forests,” Machine Learning, vol. 45, no. 1, pp. 5–32, Oct. 2001.</w:t>
      </w:r>
    </w:p>
    <w:p>
      <w:pPr>
        <w:spacing w:after="140"/>
        <w:ind w:left="504" w:hanging="504"/>
      </w:pPr>
      <w:r>
        <w:rPr>
          <w:rFonts w:ascii="Times New Roman" w:cs="Times New Roman" w:eastAsia="Times New Roman" w:hAnsi="Times New Roman"/>
          <w:sz w:val="22"/>
          <w:szCs w:val="22"/>
        </w:rPr>
        <w:t xml:space="preserve">[5] </w:t>
      </w:r>
      <w:r>
        <w:rPr>
          <w:rFonts w:ascii="Times New Roman" w:cs="Times New Roman" w:eastAsia="Times New Roman" w:hAnsi="Times New Roman"/>
          <w:sz w:val="22"/>
          <w:szCs w:val="22"/>
        </w:rPr>
        <w:t xml:space="preserve">J. H. Friedman, “Greedy function approximation: A gradient boosting machine,” Annals of Statistics, vol. 29, no. 5, pp. 1189–1232, Oct. 2001.</w:t>
      </w:r>
    </w:p>
    <w:p>
      <w:pPr>
        <w:spacing w:after="140"/>
        <w:ind w:left="504" w:hanging="504"/>
      </w:pPr>
      <w:r>
        <w:rPr>
          <w:rFonts w:ascii="Times New Roman" w:cs="Times New Roman" w:eastAsia="Times New Roman" w:hAnsi="Times New Roman"/>
          <w:sz w:val="22"/>
          <w:szCs w:val="22"/>
        </w:rPr>
        <w:t xml:space="preserve">[6] </w:t>
      </w:r>
      <w:r>
        <w:rPr>
          <w:rFonts w:ascii="Times New Roman" w:cs="Times New Roman" w:eastAsia="Times New Roman" w:hAnsi="Times New Roman"/>
          <w:sz w:val="22"/>
          <w:szCs w:val="22"/>
        </w:rPr>
        <w:t xml:space="preserve">A. Goldstein, A. Kapelner, J. Bleich, and E. Pitkin, “Peeking inside the black box: Visualizing statistical learning with plots of individual conditional expectation,” Journal of Computational and Graphical Statistics, vol. 24, no. 1, pp. 44–65, 2015.</w:t>
      </w:r>
    </w:p>
    <w:p>
      <w:pPr>
        <w:spacing w:after="140"/>
        <w:ind w:left="504" w:hanging="504"/>
      </w:pPr>
      <w:r>
        <w:rPr>
          <w:rFonts w:ascii="Times New Roman" w:cs="Times New Roman" w:eastAsia="Times New Roman" w:hAnsi="Times New Roman"/>
          <w:sz w:val="22"/>
          <w:szCs w:val="22"/>
        </w:rPr>
        <w:t xml:space="preserve">[7] </w:t>
      </w:r>
      <w:r>
        <w:rPr>
          <w:rFonts w:ascii="Times New Roman" w:cs="Times New Roman" w:eastAsia="Times New Roman" w:hAnsi="Times New Roman"/>
          <w:sz w:val="22"/>
          <w:szCs w:val="22"/>
        </w:rPr>
        <w:t xml:space="preserve">M. Tavallaee, E. Bagheri, W. Lu, and A. A. Ghorbani, “A detailed analysis of the KDD CUP 99 data set,” in Proc. 2nd IEEE Symp. Computational Intelligence for Security and Defense Applications (CISDA), Ottawa, ON, Canada, 2009, pp. 1–6.</w:t>
      </w:r>
    </w:p>
    <w:p>
      <w:pPr>
        <w:spacing w:after="140"/>
        <w:ind w:left="504" w:hanging="504"/>
      </w:pPr>
      <w:r>
        <w:rPr>
          <w:rFonts w:ascii="Times New Roman" w:cs="Times New Roman" w:eastAsia="Times New Roman" w:hAnsi="Times New Roman"/>
          <w:sz w:val="22"/>
          <w:szCs w:val="22"/>
        </w:rPr>
        <w:t xml:space="preserve">[8] </w:t>
      </w:r>
      <w:r>
        <w:rPr>
          <w:rFonts w:ascii="Times New Roman" w:cs="Times New Roman" w:eastAsia="Times New Roman" w:hAnsi="Times New Roman"/>
          <w:sz w:val="22"/>
          <w:szCs w:val="22"/>
        </w:rPr>
        <w:t xml:space="preserve">N. Moustafa and J. Slay, “UNSW-NB15: A comprehensive data set for network intrusion detection systems (UNSW-NB15 network data set),” in Proc. Military Communications and Information Systems Conf. (MilCIS), Canberra, Australia, 2015, pp. 1–6.</w:t>
      </w:r>
    </w:p>
    <w:p>
      <w:pPr>
        <w:spacing w:after="140"/>
        <w:ind w:left="504" w:hanging="504"/>
      </w:pPr>
      <w:r>
        <w:rPr>
          <w:rFonts w:ascii="Times New Roman" w:cs="Times New Roman" w:eastAsia="Times New Roman" w:hAnsi="Times New Roman"/>
          <w:sz w:val="22"/>
          <w:szCs w:val="22"/>
        </w:rPr>
        <w:t xml:space="preserve">[9] </w:t>
      </w:r>
      <w:r>
        <w:rPr>
          <w:rFonts w:ascii="Times New Roman" w:cs="Times New Roman" w:eastAsia="Times New Roman" w:hAnsi="Times New Roman"/>
          <w:sz w:val="22"/>
          <w:szCs w:val="22"/>
        </w:rPr>
        <w:t xml:space="preserve">A. Alsaedi, N. Moustafa, Z. Tari, A. Mahmood, and A. Anwar, “TON_IoT telemetry dataset: A new generation dataset of IoT and IIoT for data-driven intrusion detection systems,” IEEE Access, vol. 8, pp. 165130–165150, 2020.</w:t>
      </w:r>
    </w:p>
    <w:p>
      <w:pPr>
        <w:spacing w:after="140"/>
        <w:ind w:left="504" w:hanging="504"/>
      </w:pPr>
      <w:r>
        <w:rPr>
          <w:rFonts w:ascii="Times New Roman" w:cs="Times New Roman" w:eastAsia="Times New Roman" w:hAnsi="Times New Roman"/>
          <w:sz w:val="22"/>
          <w:szCs w:val="22"/>
        </w:rPr>
        <w:t xml:space="preserve">[10] </w:t>
      </w:r>
      <w:r>
        <w:rPr>
          <w:rFonts w:ascii="Times New Roman" w:cs="Times New Roman" w:eastAsia="Times New Roman" w:hAnsi="Times New Roman"/>
          <w:sz w:val="22"/>
          <w:szCs w:val="22"/>
        </w:rPr>
        <w:t xml:space="preserve">N. V. Chawla, K. W. Bowyer, L. O. Hall, and W. P. Kegelmeyer, “SMOTE: Synthetic minority over-sampling technique,” Journal of Artificial Intelligence Research, vol. 16, pp. 321–357, 2002.</w:t>
      </w:r>
    </w:p>
    <w:p>
      <w:pPr>
        <w:spacing w:after="140"/>
        <w:ind w:left="504" w:hanging="504"/>
      </w:pPr>
      <w:r>
        <w:rPr>
          <w:rFonts w:ascii="Times New Roman" w:cs="Times New Roman" w:eastAsia="Times New Roman" w:hAnsi="Times New Roman"/>
          <w:sz w:val="22"/>
          <w:szCs w:val="22"/>
        </w:rPr>
        <w:t xml:space="preserve">[11] </w:t>
      </w:r>
      <w:r>
        <w:rPr>
          <w:rFonts w:ascii="Times New Roman" w:cs="Times New Roman" w:eastAsia="Times New Roman" w:hAnsi="Times New Roman"/>
          <w:sz w:val="22"/>
          <w:szCs w:val="22"/>
        </w:rPr>
        <w:t xml:space="preserve">N. Moustafa, N. Koroniotis, M. Keshk, A. Y. Zomaya, and Z. Tari, “Explainable intrusion detection for cyber defences in the internet of things: Opportunities and solutions,” IEEE Communications Surveys &amp; Tutorials, vol. 25, no. 3, pp. 1775–1807, 2023.</w:t>
      </w:r>
    </w:p>
    <w:p>
      <w:pPr>
        <w:spacing w:after="140"/>
        <w:ind w:left="504" w:hanging="504"/>
      </w:pPr>
      <w:r>
        <w:rPr>
          <w:rFonts w:ascii="Times New Roman" w:cs="Times New Roman" w:eastAsia="Times New Roman" w:hAnsi="Times New Roman"/>
          <w:sz w:val="22"/>
          <w:szCs w:val="22"/>
        </w:rPr>
        <w:t xml:space="preserve">[12] </w:t>
      </w:r>
      <w:r>
        <w:rPr>
          <w:rFonts w:ascii="Times New Roman" w:cs="Times New Roman" w:eastAsia="Times New Roman" w:hAnsi="Times New Roman"/>
          <w:sz w:val="22"/>
          <w:szCs w:val="22"/>
        </w:rPr>
        <w:t xml:space="preserve">T. T. H. Le, R. W. Wardhani, D. S. C. Putranto, U. Jo, and H. Kim, “Toward enhanced attack detection and explanation in intrusion detection system-based IoT environment data,” IEEE Access, vol. 11, pp. 131661–131676, 2023.</w:t>
      </w:r>
    </w:p>
    <w:p>
      <w:pPr>
        <w:spacing w:after="140"/>
        <w:ind w:left="504" w:hanging="504"/>
      </w:pPr>
      <w:r>
        <w:rPr>
          <w:rFonts w:ascii="Times New Roman" w:cs="Times New Roman" w:eastAsia="Times New Roman" w:hAnsi="Times New Roman"/>
          <w:sz w:val="22"/>
          <w:szCs w:val="22"/>
        </w:rPr>
        <w:t xml:space="preserve">[13] </w:t>
      </w:r>
      <w:r>
        <w:rPr>
          <w:rFonts w:ascii="Times New Roman" w:cs="Times New Roman" w:eastAsia="Times New Roman" w:hAnsi="Times New Roman"/>
          <w:sz w:val="22"/>
          <w:szCs w:val="22"/>
        </w:rPr>
        <w:t xml:space="preserve">D. Gaspar, P. Silva, and C. Silva, “Explainable AI for intrusion detection systems: LIME and SHAP applicability on multi-layer perceptron,” IEEE Access, vol. 12, pp. 30164–30175, 2024.</w:t>
      </w:r>
    </w:p>
    <w:p>
      <w:pPr>
        <w:spacing w:after="140"/>
        <w:ind w:left="504" w:hanging="504"/>
      </w:pPr>
      <w:r>
        <w:rPr>
          <w:rFonts w:ascii="Times New Roman" w:cs="Times New Roman" w:eastAsia="Times New Roman" w:hAnsi="Times New Roman"/>
          <w:sz w:val="22"/>
          <w:szCs w:val="22"/>
        </w:rPr>
        <w:t xml:space="preserve">[14] </w:t>
      </w:r>
      <w:r>
        <w:rPr>
          <w:rFonts w:ascii="Times New Roman" w:cs="Times New Roman" w:eastAsia="Times New Roman" w:hAnsi="Times New Roman"/>
          <w:sz w:val="22"/>
          <w:szCs w:val="22"/>
        </w:rPr>
        <w:t xml:space="preserve">M. M. Shtayat, M. K. Hasan, R. Sulaiman, S. Islam, and A. U. R. Khan, “An explainable ensemble deep learning approach for intrusion detection in industrial internet of things,” IEEE Access, vol. 11, pp. 115047–115061, 2023.</w:t>
      </w:r>
    </w:p>
    <w:p>
      <w:pPr>
        <w:spacing w:after="140"/>
        <w:ind w:left="504" w:hanging="504"/>
      </w:pPr>
      <w:r>
        <w:rPr>
          <w:rFonts w:ascii="Times New Roman" w:cs="Times New Roman" w:eastAsia="Times New Roman" w:hAnsi="Times New Roman"/>
          <w:sz w:val="22"/>
          <w:szCs w:val="22"/>
        </w:rPr>
        <w:t xml:space="preserve">[15] </w:t>
      </w:r>
      <w:r>
        <w:rPr>
          <w:rFonts w:ascii="Times New Roman" w:cs="Times New Roman" w:eastAsia="Times New Roman" w:hAnsi="Times New Roman"/>
          <w:sz w:val="22"/>
          <w:szCs w:val="22"/>
        </w:rPr>
        <w:t xml:space="preserve">S. Sivamohan, S. S. Sridhar, and S. Krishnaveni, “TEA-EKHO-IDS: An intrusion detection system for industrial CPS with trustworthy explainable AI and enhanced krill herd optimization,” Peer-to-Peer Networking and Applications, vol. 16, no. 4, pp. 1993–2021, 2023.</w:t>
      </w:r>
    </w:p>
    <w:p>
      <w:pPr>
        <w:spacing w:after="140"/>
        <w:ind w:left="504" w:hanging="504"/>
      </w:pPr>
      <w:r>
        <w:rPr>
          <w:rFonts w:ascii="Times New Roman" w:cs="Times New Roman" w:eastAsia="Times New Roman" w:hAnsi="Times New Roman"/>
          <w:sz w:val="22"/>
          <w:szCs w:val="22"/>
        </w:rPr>
        <w:t xml:space="preserve">[16] </w:t>
      </w:r>
      <w:r>
        <w:rPr>
          <w:rFonts w:ascii="Times New Roman" w:cs="Times New Roman" w:eastAsia="Times New Roman" w:hAnsi="Times New Roman"/>
          <w:sz w:val="22"/>
          <w:szCs w:val="22"/>
        </w:rPr>
        <w:t xml:space="preserve">N. Kostopoulos, D. Kalogeras, D. Pantazatos, M. Grammatikou, and V. Maglaris, “SHAP interpretations of tree and neural network DNS classifiers for analyzing DGA family characteristics,” IEEE Access, vol. 11, pp. 61144–61160, 2023.</w:t>
      </w:r>
    </w:p>
    <w:p>
      <w:pPr>
        <w:spacing w:after="140"/>
        <w:ind w:left="504" w:hanging="504"/>
      </w:pPr>
      <w:r>
        <w:rPr>
          <w:rFonts w:ascii="Times New Roman" w:cs="Times New Roman" w:eastAsia="Times New Roman" w:hAnsi="Times New Roman"/>
          <w:sz w:val="22"/>
          <w:szCs w:val="22"/>
        </w:rPr>
        <w:t xml:space="preserve">[17] </w:t>
      </w:r>
      <w:r>
        <w:rPr>
          <w:rFonts w:ascii="Times New Roman" w:cs="Times New Roman" w:eastAsia="Times New Roman" w:hAnsi="Times New Roman"/>
          <w:sz w:val="22"/>
          <w:szCs w:val="22"/>
        </w:rPr>
        <w:t xml:space="preserve">O. Arreche, T. R. Guntur, J. W. Roberts, and M. Abdallah, “E-XAI: Evaluating black-box explainable AI frameworks for network intrusion detection,” IEEE Access, vol. 12, pp. 23954–23988, 2024.</w:t>
      </w:r>
    </w:p>
    <w:p>
      <w:pPr>
        <w:spacing w:after="140"/>
        <w:ind w:left="504" w:hanging="504"/>
      </w:pPr>
      <w:r>
        <w:rPr>
          <w:rFonts w:ascii="Times New Roman" w:cs="Times New Roman" w:eastAsia="Times New Roman" w:hAnsi="Times New Roman"/>
          <w:sz w:val="22"/>
          <w:szCs w:val="22"/>
        </w:rPr>
        <w:t xml:space="preserve">[18] </w:t>
      </w:r>
      <w:r>
        <w:rPr>
          <w:rFonts w:ascii="Times New Roman" w:cs="Times New Roman" w:eastAsia="Times New Roman" w:hAnsi="Times New Roman"/>
          <w:sz w:val="22"/>
          <w:szCs w:val="22"/>
        </w:rPr>
        <w:t xml:space="preserve">A. Alabbadi and F. Bajaber, “X-FuseRLSTM: A cross-domain explainable intrusion detection framework in IoT using the attention-guided dual-path feature fusion and residual LSTM,” Sensors, vol. 25, no. 12, art. no. 3693,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2026-07-04T18:06:24.130Z</dcterms:created>
  <dcterms:modified xsi:type="dcterms:W3CDTF">2026-07-04T18:06:24.143Z</dcterms:modified>
</cp:coreProperties>
</file>

<file path=docProps/custom.xml><?xml version="1.0" encoding="utf-8"?>
<Properties xmlns="http://schemas.openxmlformats.org/officeDocument/2006/custom-properties" xmlns:vt="http://schemas.openxmlformats.org/officeDocument/2006/docPropsVTypes"/>
</file>