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0E39FC" w14:textId="6A94F3CC" w:rsidR="00CD02D2" w:rsidRDefault="00F237D7" w:rsidP="00F237D7">
      <w:pPr>
        <w:pStyle w:val="Title"/>
      </w:pPr>
      <w:r>
        <w:t>Module 1: Models for Generative AI</w:t>
      </w:r>
    </w:p>
    <w:p w14:paraId="63758633" w14:textId="274A5A94" w:rsidR="00F237D7" w:rsidRPr="00F237D7" w:rsidRDefault="00F237D7" w:rsidP="00F237D7">
      <w:pPr>
        <w:pStyle w:val="Heading1"/>
      </w:pPr>
      <w:r w:rsidRPr="00F237D7">
        <w:t>IBM Product Spotlight:</w:t>
      </w:r>
      <w:r>
        <w:t xml:space="preserve"> </w:t>
      </w:r>
      <w:r w:rsidRPr="00F237D7">
        <w:t>watsonx.governance</w:t>
      </w:r>
    </w:p>
    <w:p w14:paraId="2EAA2DA4" w14:textId="77777777" w:rsidR="00F237D7" w:rsidRPr="00F237D7" w:rsidRDefault="00F237D7" w:rsidP="00F237D7">
      <w:pPr>
        <w:pStyle w:val="Heading2"/>
        <w:rPr>
          <w:rFonts w:eastAsia="Times New Roman"/>
        </w:rPr>
      </w:pPr>
      <w:r w:rsidRPr="00F237D7">
        <w:rPr>
          <w:rFonts w:eastAsia="Times New Roman"/>
        </w:rPr>
        <w:t>Introduction</w:t>
      </w:r>
    </w:p>
    <w:p w14:paraId="51A5C19F" w14:textId="77777777" w:rsidR="00F237D7" w:rsidRPr="00F237D7" w:rsidRDefault="00F237D7" w:rsidP="00F237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237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IBM </w:t>
      </w:r>
      <w:r w:rsidRPr="00F237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watsonx.governance</w:t>
      </w:r>
      <w:r w:rsidRPr="00F237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is a platform designed to manage the entire AI model lifecycle, from development through production, while providing built-in compliance and risk management capabilities. It helps organizations develop, deploy, and maintain AI models responsibly by ensuring transparency, fairness, and regulatory compliance.</w:t>
      </w:r>
    </w:p>
    <w:p w14:paraId="5F01D0D1" w14:textId="77777777" w:rsidR="00F237D7" w:rsidRPr="00F237D7" w:rsidRDefault="00F237D7" w:rsidP="00F237D7">
      <w:pPr>
        <w:pStyle w:val="Heading2"/>
        <w:rPr>
          <w:rFonts w:eastAsia="Times New Roman"/>
        </w:rPr>
      </w:pPr>
      <w:r w:rsidRPr="00F237D7">
        <w:rPr>
          <w:rFonts w:eastAsia="Times New Roman"/>
        </w:rPr>
        <w:t>Key Capabilities of IBM watsonx.governance</w:t>
      </w:r>
    </w:p>
    <w:p w14:paraId="63B4DCE2" w14:textId="77777777" w:rsidR="00F237D7" w:rsidRPr="00F237D7" w:rsidRDefault="00F237D7" w:rsidP="00F237D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237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Monitor AI model performance and fairness.</w:t>
      </w:r>
    </w:p>
    <w:p w14:paraId="2C8AA6B7" w14:textId="77777777" w:rsidR="00F237D7" w:rsidRPr="00F237D7" w:rsidRDefault="00F237D7" w:rsidP="00F237D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237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Manage the AI model lifecycle from development to production.</w:t>
      </w:r>
    </w:p>
    <w:p w14:paraId="5E2A8170" w14:textId="77777777" w:rsidR="00F237D7" w:rsidRPr="00F237D7" w:rsidRDefault="00F237D7" w:rsidP="00F237D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237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Ensure compliance with AI regulations and governance requirements.</w:t>
      </w:r>
    </w:p>
    <w:p w14:paraId="1FB4800E" w14:textId="77777777" w:rsidR="00F237D7" w:rsidRPr="00F237D7" w:rsidRDefault="00F237D7" w:rsidP="00F237D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237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Build trust in AI through transparency and explainability (the ability to understand and interpret how an AI model makes its decisions).</w:t>
      </w:r>
    </w:p>
    <w:p w14:paraId="6AA14ECF" w14:textId="77777777" w:rsidR="00F237D7" w:rsidRPr="00F237D7" w:rsidRDefault="00F237D7" w:rsidP="00F237D7">
      <w:pPr>
        <w:pStyle w:val="Heading2"/>
        <w:rPr>
          <w:rFonts w:eastAsia="Times New Roman"/>
        </w:rPr>
      </w:pPr>
      <w:r w:rsidRPr="00F237D7">
        <w:rPr>
          <w:rFonts w:eastAsia="Times New Roman"/>
        </w:rPr>
        <w:t>Learn More</w:t>
      </w:r>
    </w:p>
    <w:p w14:paraId="49593E1B" w14:textId="77777777" w:rsidR="00F237D7" w:rsidRPr="00F237D7" w:rsidRDefault="00F237D7" w:rsidP="00F237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237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IBM watsonx.governance: </w:t>
      </w:r>
      <w:hyperlink r:id="rId5" w:history="1">
        <w:r w:rsidRPr="00F237D7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http://ibm.biz/genaiprod-wxgov</w:t>
        </w:r>
      </w:hyperlink>
    </w:p>
    <w:p w14:paraId="264FA660" w14:textId="77777777" w:rsidR="00F237D7" w:rsidRPr="00F237D7" w:rsidRDefault="00F237D7" w:rsidP="00F237D7">
      <w:pPr>
        <w:rPr>
          <w:lang w:val="en" w:eastAsia="en"/>
        </w:rPr>
      </w:pPr>
    </w:p>
    <w:sectPr w:rsidR="00F237D7" w:rsidRPr="00F237D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313645"/>
    <w:multiLevelType w:val="multilevel"/>
    <w:tmpl w:val="45682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106C50"/>
    <w:multiLevelType w:val="multilevel"/>
    <w:tmpl w:val="D9869F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384C78CB"/>
    <w:multiLevelType w:val="multilevel"/>
    <w:tmpl w:val="9BE65B8E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41BA488D"/>
    <w:multiLevelType w:val="multilevel"/>
    <w:tmpl w:val="4260AB6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3269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5FB1635F"/>
    <w:multiLevelType w:val="hybridMultilevel"/>
    <w:tmpl w:val="F8EC2D82"/>
    <w:lvl w:ilvl="0" w:tplc="90E635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7659798">
    <w:abstractNumId w:val="2"/>
  </w:num>
  <w:num w:numId="2" w16cid:durableId="99107261">
    <w:abstractNumId w:val="2"/>
  </w:num>
  <w:num w:numId="3" w16cid:durableId="454829576">
    <w:abstractNumId w:val="2"/>
  </w:num>
  <w:num w:numId="4" w16cid:durableId="919875635">
    <w:abstractNumId w:val="2"/>
  </w:num>
  <w:num w:numId="5" w16cid:durableId="1989245865">
    <w:abstractNumId w:val="2"/>
  </w:num>
  <w:num w:numId="6" w16cid:durableId="337856889">
    <w:abstractNumId w:val="2"/>
  </w:num>
  <w:num w:numId="7" w16cid:durableId="486750497">
    <w:abstractNumId w:val="1"/>
  </w:num>
  <w:num w:numId="8" w16cid:durableId="1295481688">
    <w:abstractNumId w:val="2"/>
  </w:num>
  <w:num w:numId="9" w16cid:durableId="878207473">
    <w:abstractNumId w:val="2"/>
  </w:num>
  <w:num w:numId="10" w16cid:durableId="390271873">
    <w:abstractNumId w:val="1"/>
  </w:num>
  <w:num w:numId="11" w16cid:durableId="108548336">
    <w:abstractNumId w:val="2"/>
  </w:num>
  <w:num w:numId="12" w16cid:durableId="289626826">
    <w:abstractNumId w:val="3"/>
  </w:num>
  <w:num w:numId="13" w16cid:durableId="709189428">
    <w:abstractNumId w:val="4"/>
  </w:num>
  <w:num w:numId="14" w16cid:durableId="1828012820">
    <w:abstractNumId w:val="2"/>
  </w:num>
  <w:num w:numId="15" w16cid:durableId="1472016058">
    <w:abstractNumId w:val="2"/>
  </w:num>
  <w:num w:numId="16" w16cid:durableId="2007130954">
    <w:abstractNumId w:val="2"/>
  </w:num>
  <w:num w:numId="17" w16cid:durableId="2124959910">
    <w:abstractNumId w:val="2"/>
  </w:num>
  <w:num w:numId="18" w16cid:durableId="1161965983">
    <w:abstractNumId w:val="2"/>
  </w:num>
  <w:num w:numId="19" w16cid:durableId="417103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50F5"/>
    <w:rsid w:val="00004169"/>
    <w:rsid w:val="000860C1"/>
    <w:rsid w:val="00130998"/>
    <w:rsid w:val="001B5450"/>
    <w:rsid w:val="00207113"/>
    <w:rsid w:val="00240EFC"/>
    <w:rsid w:val="002769F5"/>
    <w:rsid w:val="00330D88"/>
    <w:rsid w:val="00393356"/>
    <w:rsid w:val="0053178F"/>
    <w:rsid w:val="00581921"/>
    <w:rsid w:val="00984A67"/>
    <w:rsid w:val="0099764D"/>
    <w:rsid w:val="00B57B7D"/>
    <w:rsid w:val="00C371F5"/>
    <w:rsid w:val="00C71C3E"/>
    <w:rsid w:val="00CD02D2"/>
    <w:rsid w:val="00D1475B"/>
    <w:rsid w:val="00E76FAB"/>
    <w:rsid w:val="00EE50F5"/>
    <w:rsid w:val="00F237D7"/>
    <w:rsid w:val="00FE5A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E6322A2"/>
  <w15:chartTrackingRefBased/>
  <w15:docId w15:val="{2A5546AF-F5DC-1B46-B2DB-1F7066C506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next w:val="Normal"/>
    <w:link w:val="Heading1Char"/>
    <w:autoRedefine/>
    <w:uiPriority w:val="9"/>
    <w:qFormat/>
    <w:rsid w:val="00207113"/>
    <w:pPr>
      <w:keepNext/>
      <w:keepLines/>
      <w:numPr>
        <w:numId w:val="17"/>
      </w:numPr>
      <w:shd w:val="clear" w:color="auto" w:fill="FFFFFF"/>
      <w:spacing w:after="60" w:line="259" w:lineRule="auto"/>
      <w:ind w:left="431" w:hanging="431"/>
      <w:outlineLvl w:val="0"/>
    </w:pPr>
    <w:rPr>
      <w:rFonts w:asciiTheme="majorBidi" w:eastAsia="Times New Roman" w:hAnsiTheme="majorBidi" w:cs="Times New Roman"/>
      <w:b/>
      <w:color w:val="1F1F1F"/>
      <w:sz w:val="36"/>
      <w:lang w:eastAsia="en-GB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207113"/>
    <w:pPr>
      <w:keepNext/>
      <w:keepLines/>
      <w:numPr>
        <w:ilvl w:val="1"/>
        <w:numId w:val="18"/>
      </w:numPr>
      <w:spacing w:before="40" w:after="0" w:line="283" w:lineRule="auto"/>
      <w:ind w:right="8"/>
      <w:outlineLvl w:val="1"/>
    </w:pPr>
    <w:rPr>
      <w:rFonts w:asciiTheme="majorBidi" w:eastAsiaTheme="majorEastAsia" w:hAnsiTheme="majorBidi" w:cstheme="majorBidi"/>
      <w:b/>
      <w:color w:val="000000" w:themeColor="text1"/>
      <w:sz w:val="28"/>
      <w:szCs w:val="26"/>
      <w:lang w:val="en" w:eastAsia="e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207113"/>
    <w:pPr>
      <w:keepNext/>
      <w:keepLines/>
      <w:numPr>
        <w:ilvl w:val="2"/>
        <w:numId w:val="18"/>
      </w:numPr>
      <w:spacing w:before="40" w:after="0" w:line="283" w:lineRule="auto"/>
      <w:ind w:right="8"/>
      <w:outlineLvl w:val="2"/>
    </w:pPr>
    <w:rPr>
      <w:rFonts w:asciiTheme="majorBidi" w:eastAsiaTheme="majorEastAsia" w:hAnsiTheme="majorBidi" w:cstheme="majorBidi"/>
      <w:b/>
      <w:color w:val="000000" w:themeColor="text1"/>
      <w:szCs w:val="28"/>
      <w:lang w:val="en" w:eastAsia="en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207113"/>
    <w:pPr>
      <w:keepNext/>
      <w:keepLines/>
      <w:numPr>
        <w:ilvl w:val="3"/>
        <w:numId w:val="18"/>
      </w:numPr>
      <w:spacing w:before="80" w:after="40"/>
      <w:outlineLvl w:val="3"/>
    </w:pPr>
    <w:rPr>
      <w:rFonts w:asciiTheme="majorBidi" w:eastAsiaTheme="majorEastAsia" w:hAnsiTheme="majorBidi" w:cstheme="majorBidi"/>
      <w:b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rsid w:val="00207113"/>
    <w:pPr>
      <w:keepNext/>
      <w:keepLines/>
      <w:numPr>
        <w:ilvl w:val="4"/>
        <w:numId w:val="18"/>
      </w:numPr>
      <w:spacing w:before="80" w:after="40"/>
      <w:outlineLvl w:val="4"/>
    </w:pPr>
    <w:rPr>
      <w:rFonts w:asciiTheme="majorBidi" w:eastAsiaTheme="majorEastAsia" w:hAnsiTheme="majorBidi" w:cstheme="majorBidi"/>
      <w:b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50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50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50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50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207113"/>
    <w:rPr>
      <w:rFonts w:asciiTheme="majorBidi" w:eastAsia="Times New Roman" w:hAnsiTheme="majorBidi" w:cs="Times New Roman"/>
      <w:b/>
      <w:color w:val="1F1F1F"/>
      <w:sz w:val="36"/>
      <w:shd w:val="clear" w:color="auto" w:fill="FFFFFF"/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330D88"/>
    <w:rPr>
      <w:rFonts w:asciiTheme="majorBidi" w:eastAsiaTheme="majorEastAsia" w:hAnsiTheme="majorBidi" w:cstheme="majorBidi"/>
      <w:b/>
      <w:color w:val="000000" w:themeColor="text1"/>
      <w:sz w:val="28"/>
      <w:szCs w:val="26"/>
      <w:lang w:val="en" w:eastAsia="en"/>
    </w:rPr>
  </w:style>
  <w:style w:type="character" w:customStyle="1" w:styleId="Heading4Char">
    <w:name w:val="Heading 4 Char"/>
    <w:basedOn w:val="DefaultParagraphFont"/>
    <w:link w:val="Heading4"/>
    <w:uiPriority w:val="9"/>
    <w:rsid w:val="00C371F5"/>
    <w:rPr>
      <w:rFonts w:asciiTheme="majorBidi" w:eastAsiaTheme="majorEastAsia" w:hAnsiTheme="majorBidi" w:cstheme="majorBidi"/>
      <w:b/>
      <w:iCs/>
      <w:color w:val="000000" w:themeColor="text1"/>
    </w:rPr>
  </w:style>
  <w:style w:type="character" w:customStyle="1" w:styleId="Heading3Char">
    <w:name w:val="Heading 3 Char"/>
    <w:basedOn w:val="DefaultParagraphFont"/>
    <w:link w:val="Heading3"/>
    <w:uiPriority w:val="9"/>
    <w:rsid w:val="00330D88"/>
    <w:rPr>
      <w:rFonts w:asciiTheme="majorBidi" w:eastAsiaTheme="majorEastAsia" w:hAnsiTheme="majorBidi" w:cstheme="majorBidi"/>
      <w:b/>
      <w:color w:val="000000" w:themeColor="text1"/>
      <w:szCs w:val="28"/>
      <w:lang w:val="en" w:eastAsia="en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2769F5"/>
    <w:pPr>
      <w:spacing w:after="0" w:line="240" w:lineRule="auto"/>
      <w:contextualSpacing/>
    </w:pPr>
    <w:rPr>
      <w:rFonts w:asciiTheme="majorBidi" w:eastAsiaTheme="majorEastAsia" w:hAnsiTheme="majorBidi" w:cstheme="majorBidi"/>
      <w:b/>
      <w:spacing w:val="-10"/>
      <w:kern w:val="28"/>
      <w:sz w:val="56"/>
      <w:szCs w:val="56"/>
      <w:lang w:val="en" w:eastAsia="en"/>
    </w:rPr>
  </w:style>
  <w:style w:type="character" w:customStyle="1" w:styleId="TitleChar">
    <w:name w:val="Title Char"/>
    <w:basedOn w:val="DefaultParagraphFont"/>
    <w:link w:val="Title"/>
    <w:uiPriority w:val="10"/>
    <w:rsid w:val="002769F5"/>
    <w:rPr>
      <w:rFonts w:asciiTheme="majorBidi" w:eastAsiaTheme="majorEastAsia" w:hAnsiTheme="majorBidi" w:cstheme="majorBidi"/>
      <w:b/>
      <w:spacing w:val="-10"/>
      <w:kern w:val="28"/>
      <w:sz w:val="56"/>
      <w:szCs w:val="56"/>
      <w:lang w:val="en" w:eastAsia="e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71F5"/>
    <w:rPr>
      <w:rFonts w:asciiTheme="majorBidi" w:eastAsiaTheme="majorEastAsia" w:hAnsiTheme="majorBidi" w:cstheme="majorBidi"/>
      <w:b/>
      <w:color w:val="000000" w:themeColor="text1"/>
    </w:rPr>
  </w:style>
  <w:style w:type="table" w:styleId="GridTable1Light">
    <w:name w:val="Grid Table 1 Light"/>
    <w:basedOn w:val="TableNormal"/>
    <w:uiPriority w:val="46"/>
    <w:rsid w:val="0053178F"/>
    <w:pPr>
      <w:spacing w:after="0" w:line="240" w:lineRule="auto"/>
    </w:pPr>
    <w:rPr>
      <w:rFonts w:asciiTheme="majorBidi" w:hAnsiTheme="majorBidi"/>
    </w:rPr>
    <w:tblPr>
      <w:tblStyleRowBandSize w:val="1"/>
      <w:tblStyleColBandSize w:val="1"/>
      <w:jc w:val="center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rPr>
      <w:jc w:val="center"/>
    </w:tr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6Char">
    <w:name w:val="Heading 6 Char"/>
    <w:basedOn w:val="DefaultParagraphFont"/>
    <w:link w:val="Heading6"/>
    <w:uiPriority w:val="9"/>
    <w:semiHidden/>
    <w:rsid w:val="00EE50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50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50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50F5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50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50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50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50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50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50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50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50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50F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237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F237D7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F237D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ibm.biz/genaiprod-wxgov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132</Words>
  <Characters>755</Characters>
  <Application>Microsoft Office Word</Application>
  <DocSecurity>0</DocSecurity>
  <Lines>6</Lines>
  <Paragraphs>1</Paragraphs>
  <ScaleCrop>false</ScaleCrop>
  <Company/>
  <LinksUpToDate>false</LinksUpToDate>
  <CharactersWithSpaces>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Kashif Maqbool</dc:creator>
  <cp:keywords/>
  <dc:description/>
  <cp:lastModifiedBy>Kashif Maqbool</cp:lastModifiedBy>
  <cp:revision>2</cp:revision>
  <dcterms:created xsi:type="dcterms:W3CDTF">2026-07-07T16:57:00Z</dcterms:created>
  <dcterms:modified xsi:type="dcterms:W3CDTF">2026-07-07T17:09:00Z</dcterms:modified>
</cp:coreProperties>
</file>