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left w:val="none"/>
              <w:bottom w:val="none"/>
              <w:right w:val="none"/>
            </w:tcBorders>
            <w:tcMar>
              <w:top w:type="dxa" w:w="80"/>
              <w:left w:type="dxa" w:w="0"/>
              <w:bottom w:type="dxa" w:w="80"/>
              <w:right w:type="dxa" w:w="100"/>
            </w:tcMar>
          </w:tcPr>
          <w:p>
            <w:r>
              <w:rPr>
                <w:rFonts w:ascii="Arial" w:cs="Arial" w:eastAsia="Arial" w:hAnsi="Arial"/>
                <w:b/>
                <w:bCs/>
                <w:color w:val="1B3A6B"/>
                <w:sz w:val="52"/>
                <w:szCs w:val="52"/>
              </w:rPr>
              <w:t xml:space="preserve">Kashika Aggarwal</w:t>
            </w:r>
          </w:p>
          <w:p>
            <w:pPr>
              <w:spacing w:before="60"/>
            </w:pPr>
            <w:r>
              <w:rPr>
                <w:rFonts w:ascii="Arial" w:cs="Arial" w:eastAsia="Arial" w:hAnsi="Arial"/>
                <w:b/>
                <w:bCs/>
                <w:color w:val="B8960C"/>
                <w:sz w:val="20"/>
                <w:szCs w:val="20"/>
              </w:rPr>
              <w:t xml:space="preserve">AI Solutions Engineer  |  AI Prompt Engineer  |  GRC Technology Consultant</w:t>
            </w:r>
          </w:p>
        </w:tc>
        <w:tc>
          <w:tcPr>
            <w:tcW w:type="dxa" w:w="3560"/>
            <w:tcBorders>
              <w:top w:val="none"/>
              <w:left w:val="none"/>
              <w:bottom w:val="none"/>
              <w:right w:val="none"/>
            </w:tcBorders>
            <w:tcMar>
              <w:top w:type="dxa" w:w="80"/>
              <w:left w:type="dxa" w:w="100"/>
              <w:bottom w:type="dxa" w:w="80"/>
              <w:right w:type="dxa" w:w="0"/>
            </w:tcMar>
            <w:vAlign w:val="center"/>
          </w:tcPr>
          <w:p>
            <w:pPr>
              <w:spacing w:after="30" w:before="30"/>
              <w:jc w:val="right"/>
            </w:pPr>
            <w:r>
              <w:rPr>
                <w:rFonts w:ascii="Arial" w:cs="Arial" w:eastAsia="Arial" w:hAnsi="Arial"/>
                <w:color w:val="4A5568"/>
                <w:sz w:val="18"/>
                <w:szCs w:val="18"/>
              </w:rPr>
              <w:t xml:space="preserve">✉  kashika.aggarwal@email.com</w:t>
            </w:r>
          </w:p>
          <w:p>
            <w:pPr>
              <w:spacing w:after="30" w:before="30"/>
              <w:jc w:val="right"/>
            </w:pPr>
            <w:r>
              <w:rPr>
                <w:rFonts w:ascii="Arial" w:cs="Arial" w:eastAsia="Arial" w:hAnsi="Arial"/>
                <w:color w:val="4A5568"/>
                <w:sz w:val="18"/>
                <w:szCs w:val="18"/>
              </w:rPr>
              <w:t xml:space="preserve">in  linkedin.com/in/kashikaaggarwal</w:t>
            </w:r>
          </w:p>
          <w:p>
            <w:pPr>
              <w:spacing w:after="30" w:before="30"/>
              <w:jc w:val="right"/>
            </w:pPr>
            <w:r>
              <w:rPr>
                <w:rFonts w:ascii="Arial" w:cs="Arial" w:eastAsia="Arial" w:hAnsi="Arial"/>
                <w:color w:val="4A5568"/>
                <w:sz w:val="18"/>
                <w:szCs w:val="18"/>
              </w:rPr>
              <w:t xml:space="preserve">⌂  github.com/kashikaaggarwal</w:t>
            </w:r>
          </w:p>
          <w:p>
            <w:pPr>
              <w:spacing w:after="30" w:before="30"/>
              <w:jc w:val="right"/>
            </w:pPr>
            <w:r>
              <w:rPr>
                <w:rFonts w:ascii="Arial" w:cs="Arial" w:eastAsia="Arial" w:hAnsi="Arial"/>
                <w:color w:val="4A5568"/>
                <w:sz w:val="18"/>
                <w:szCs w:val="18"/>
              </w:rPr>
              <w:t xml:space="preserve">☁  kashikaaggarwal.dev</w:t>
            </w:r>
          </w:p>
        </w:tc>
      </w:tr>
    </w:tbl>
    <w:p>
      <w:pPr>
        <w:pBdr>
          <w:bottom w:val="single" w:color="B8960C" w:sz="12" w:space="1"/>
        </w:pBdr>
        <w:spacing w:after="80" w:before="80"/>
      </w:pPr>
    </w:p>
    <w:p>
      <w:pPr>
        <w:pBdr>
          <w:bottom w:val="single" w:color="1B3A6B" w:sz="8" w:space="2"/>
        </w:pBdr>
        <w:spacing w:after="60" w:before="200"/>
      </w:pPr>
      <w:r>
        <w:rPr>
          <w:rFonts w:ascii="Arial" w:cs="Arial" w:eastAsia="Arial" w:hAnsi="Arial"/>
          <w:b/>
          <w:bCs/>
          <w:color w:val="1B3A6B"/>
          <w:spacing w:val="40"/>
          <w:sz w:val="22"/>
          <w:szCs w:val="22"/>
        </w:rPr>
        <w:t xml:space="preserve">PROFESSIONAL SUMMARY</w:t>
      </w:r>
    </w:p>
    <w:p>
      <w:pPr>
        <w:spacing w:after="60" w:before="80"/>
      </w:pPr>
      <w:r>
        <w:rPr>
          <w:rFonts w:ascii="Arial" w:cs="Arial" w:eastAsia="Arial" w:hAnsi="Arial"/>
          <w:color w:val="1A202C"/>
          <w:sz w:val="19"/>
          <w:szCs w:val="19"/>
        </w:rPr>
        <w:t xml:space="preserve">Results-driven professional with 3+ years of progressive experience in Governance, Risk &amp; Compliance (GRC), Quality Assurance, and Technical Training, now strategically positioned at the intersection of AI engineering and technology consulting. Proven track record of leading compliance initiatives, conducting operational and quality audits, and implementing process improvements that measurably reduce risk and enhance organizational efficiency. Adept at translating complex regulatory frameworks into actionable controls and communicating compliance requirements to diverse stakeholders.</w:t>
      </w:r>
    </w:p>
    <w:p>
      <w:pPr>
        <w:spacing w:after="60" w:before="30"/>
      </w:pPr>
      <w:r>
        <w:rPr>
          <w:rFonts w:ascii="Arial" w:cs="Arial" w:eastAsia="Arial" w:hAnsi="Arial"/>
          <w:color w:val="1A202C"/>
          <w:sz w:val="19"/>
          <w:szCs w:val="19"/>
        </w:rPr>
        <w:t xml:space="preserve">Skilled in AI Prompt Engineering, AI-assisted workflows, prompt optimization, and AI automation using leading large language models and AI productivity platforms. Passionate about designing AI-powered solutions that accelerate business productivity, improve decision intelligence, and reduce manual operational overhead. Combines deep compliance expertise with emerging technical capabilities to deliver measurable value as an AI Solutions Engineer, AI Prompt Engineer, or GRC Technology Consultant. Committed continuous learner with a growth mindset and genuine enthusiasm for emerging technologies shaping the future of enterprise operations.</w:t>
      </w:r>
    </w:p>
    <w:p>
      <w:pPr>
        <w:pBdr>
          <w:bottom w:val="single" w:color="1B3A6B" w:sz="8" w:space="2"/>
        </w:pBdr>
        <w:spacing w:after="60" w:before="200"/>
      </w:pPr>
      <w:r>
        <w:rPr>
          <w:rFonts w:ascii="Arial" w:cs="Arial" w:eastAsia="Arial" w:hAnsi="Arial"/>
          <w:b/>
          <w:bCs/>
          <w:color w:val="1B3A6B"/>
          <w:spacing w:val="40"/>
          <w:sz w:val="22"/>
          <w:szCs w:val="22"/>
        </w:rPr>
        <w:t xml:space="preserve">CORE COMPETENCIES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Artificial Intelligence</w:t>
            </w:r>
          </w:p>
        </w:tc>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AI Workflow &amp; Automation</w:t>
            </w:r>
          </w:p>
        </w:tc>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Governance, Risk &amp; Compliance</w:t>
            </w:r>
          </w:p>
        </w:tc>
      </w:tr>
      <w:tr>
        <w:tc>
          <w:tcPr>
            <w:tcW w:type="dxa" w:w="3120"/>
            <w:tcBorders>
              <w:top w:val="none"/>
              <w:left w:val="none"/>
              <w:bottom w:val="none"/>
              <w:right w:val="none"/>
            </w:tcBorders>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1A202C"/>
                <w:sz w:val="18"/>
                <w:szCs w:val="18"/>
              </w:rPr>
              <w:t xml:space="preserve">Prompt Engineering</w:t>
            </w:r>
          </w:p>
          <w:p>
            <w:pPr>
              <w:pStyle w:val="ListParagraph"/>
              <w:numPr>
                <w:ilvl w:val="0"/>
                <w:numId w:val="2"/>
              </w:numPr>
              <w:spacing w:after="20" w:before="20"/>
            </w:pPr>
            <w:r>
              <w:rPr>
                <w:rFonts w:ascii="Arial" w:cs="Arial" w:eastAsia="Arial" w:hAnsi="Arial"/>
                <w:color w:val="1A202C"/>
                <w:sz w:val="18"/>
                <w:szCs w:val="18"/>
              </w:rPr>
              <w:t xml:space="preserve">Large Language Models (LLMs)</w:t>
            </w:r>
          </w:p>
          <w:p>
            <w:pPr>
              <w:pStyle w:val="ListParagraph"/>
              <w:numPr>
                <w:ilvl w:val="0"/>
                <w:numId w:val="2"/>
              </w:numPr>
              <w:spacing w:after="20" w:before="20"/>
            </w:pPr>
            <w:r>
              <w:rPr>
                <w:rFonts w:ascii="Arial" w:cs="Arial" w:eastAsia="Arial" w:hAnsi="Arial"/>
                <w:color w:val="1A202C"/>
                <w:sz w:val="18"/>
                <w:szCs w:val="18"/>
              </w:rPr>
              <w:t xml:space="preserve">AI Workflow Automation</w:t>
            </w:r>
          </w:p>
          <w:p>
            <w:pPr>
              <w:pStyle w:val="ListParagraph"/>
              <w:numPr>
                <w:ilvl w:val="0"/>
                <w:numId w:val="2"/>
              </w:numPr>
              <w:spacing w:after="20" w:before="20"/>
            </w:pPr>
            <w:r>
              <w:rPr>
                <w:rFonts w:ascii="Arial" w:cs="Arial" w:eastAsia="Arial" w:hAnsi="Arial"/>
                <w:color w:val="1A202C"/>
                <w:sz w:val="18"/>
                <w:szCs w:val="18"/>
              </w:rPr>
              <w:t xml:space="preserve">Context Engineering</w:t>
            </w:r>
          </w:p>
          <w:p>
            <w:pPr>
              <w:pStyle w:val="ListParagraph"/>
              <w:numPr>
                <w:ilvl w:val="0"/>
                <w:numId w:val="2"/>
              </w:numPr>
              <w:spacing w:after="20" w:before="20"/>
            </w:pPr>
            <w:r>
              <w:rPr>
                <w:rFonts w:ascii="Arial" w:cs="Arial" w:eastAsia="Arial" w:hAnsi="Arial"/>
                <w:color w:val="1A202C"/>
                <w:sz w:val="18"/>
                <w:szCs w:val="18"/>
              </w:rPr>
              <w:t xml:space="preserve">Prompt Optimization</w:t>
            </w:r>
          </w:p>
          <w:p>
            <w:pPr>
              <w:pStyle w:val="ListParagraph"/>
              <w:numPr>
                <w:ilvl w:val="0"/>
                <w:numId w:val="2"/>
              </w:numPr>
              <w:spacing w:after="20" w:before="20"/>
            </w:pPr>
            <w:r>
              <w:rPr>
                <w:rFonts w:ascii="Arial" w:cs="Arial" w:eastAsia="Arial" w:hAnsi="Arial"/>
                <w:color w:val="1A202C"/>
                <w:sz w:val="18"/>
                <w:szCs w:val="18"/>
              </w:rPr>
              <w:t xml:space="preserve">Generative AI Applications</w:t>
            </w:r>
          </w:p>
          <w:p>
            <w:pPr>
              <w:pStyle w:val="ListParagraph"/>
              <w:numPr>
                <w:ilvl w:val="0"/>
                <w:numId w:val="2"/>
              </w:numPr>
              <w:spacing w:after="20" w:before="20"/>
            </w:pPr>
            <w:r>
              <w:rPr>
                <w:rFonts w:ascii="Arial" w:cs="Arial" w:eastAsia="Arial" w:hAnsi="Arial"/>
                <w:color w:val="1A202C"/>
                <w:sz w:val="18"/>
                <w:szCs w:val="18"/>
              </w:rPr>
              <w:t xml:space="preserve">AI-Assisted Development</w:t>
            </w:r>
          </w:p>
          <w:p>
            <w:pPr>
              <w:pStyle w:val="ListParagraph"/>
              <w:numPr>
                <w:ilvl w:val="0"/>
                <w:numId w:val="2"/>
              </w:numPr>
              <w:spacing w:after="20" w:before="20"/>
            </w:pPr>
            <w:r>
              <w:rPr>
                <w:rFonts w:ascii="Arial" w:cs="Arial" w:eastAsia="Arial" w:hAnsi="Arial"/>
                <w:color w:val="1A202C"/>
                <w:sz w:val="18"/>
                <w:szCs w:val="18"/>
              </w:rPr>
              <w:t xml:space="preserve">AI Research</w:t>
            </w:r>
          </w:p>
        </w:tc>
        <w:tc>
          <w:tcPr>
            <w:tcW w:type="dxa" w:w="3120"/>
            <w:tcBorders>
              <w:top w:val="none"/>
              <w:left w:val="none"/>
              <w:bottom w:val="none"/>
              <w:right w:val="none"/>
            </w:tcBorders>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1A202C"/>
                <w:sz w:val="18"/>
                <w:szCs w:val="18"/>
              </w:rPr>
              <w:t xml:space="preserve">AI Workflow Automation</w:t>
            </w:r>
          </w:p>
          <w:p>
            <w:pPr>
              <w:pStyle w:val="ListParagraph"/>
              <w:numPr>
                <w:ilvl w:val="0"/>
                <w:numId w:val="2"/>
              </w:numPr>
              <w:spacing w:after="20" w:before="20"/>
            </w:pPr>
            <w:r>
              <w:rPr>
                <w:rFonts w:ascii="Arial" w:cs="Arial" w:eastAsia="Arial" w:hAnsi="Arial"/>
                <w:color w:val="1A202C"/>
                <w:sz w:val="18"/>
                <w:szCs w:val="18"/>
              </w:rPr>
              <w:t xml:space="preserve">Prompt Optimization</w:t>
            </w:r>
          </w:p>
          <w:p>
            <w:pPr>
              <w:pStyle w:val="ListParagraph"/>
              <w:numPr>
                <w:ilvl w:val="0"/>
                <w:numId w:val="2"/>
              </w:numPr>
              <w:spacing w:after="20" w:before="20"/>
            </w:pPr>
            <w:r>
              <w:rPr>
                <w:rFonts w:ascii="Arial" w:cs="Arial" w:eastAsia="Arial" w:hAnsi="Arial"/>
                <w:color w:val="1A202C"/>
                <w:sz w:val="18"/>
                <w:szCs w:val="18"/>
              </w:rPr>
              <w:t xml:space="preserve">Context Engineering</w:t>
            </w:r>
          </w:p>
          <w:p>
            <w:pPr>
              <w:pStyle w:val="ListParagraph"/>
              <w:numPr>
                <w:ilvl w:val="0"/>
                <w:numId w:val="2"/>
              </w:numPr>
              <w:spacing w:after="20" w:before="20"/>
            </w:pPr>
            <w:r>
              <w:rPr>
                <w:rFonts w:ascii="Arial" w:cs="Arial" w:eastAsia="Arial" w:hAnsi="Arial"/>
                <w:color w:val="1A202C"/>
                <w:sz w:val="18"/>
                <w:szCs w:val="18"/>
              </w:rPr>
              <w:t xml:space="preserve">Generative AI Applications</w:t>
            </w:r>
          </w:p>
          <w:p>
            <w:pPr>
              <w:pStyle w:val="ListParagraph"/>
              <w:numPr>
                <w:ilvl w:val="0"/>
                <w:numId w:val="2"/>
              </w:numPr>
              <w:spacing w:after="20" w:before="20"/>
            </w:pPr>
            <w:r>
              <w:rPr>
                <w:rFonts w:ascii="Arial" w:cs="Arial" w:eastAsia="Arial" w:hAnsi="Arial"/>
                <w:color w:val="1A202C"/>
                <w:sz w:val="18"/>
                <w:szCs w:val="18"/>
              </w:rPr>
              <w:t xml:space="preserve">AI Research &amp; Evaluation</w:t>
            </w:r>
          </w:p>
          <w:p>
            <w:pPr>
              <w:pStyle w:val="ListParagraph"/>
              <w:numPr>
                <w:ilvl w:val="0"/>
                <w:numId w:val="2"/>
              </w:numPr>
              <w:spacing w:after="20" w:before="20"/>
            </w:pPr>
            <w:r>
              <w:rPr>
                <w:rFonts w:ascii="Arial" w:cs="Arial" w:eastAsia="Arial" w:hAnsi="Arial"/>
                <w:color w:val="1A202C"/>
                <w:sz w:val="18"/>
                <w:szCs w:val="18"/>
              </w:rPr>
              <w:t xml:space="preserve">AI-Assisted Documentation</w:t>
            </w:r>
          </w:p>
          <w:p>
            <w:pPr>
              <w:pStyle w:val="ListParagraph"/>
              <w:numPr>
                <w:ilvl w:val="0"/>
                <w:numId w:val="2"/>
              </w:numPr>
              <w:spacing w:after="20" w:before="20"/>
            </w:pPr>
            <w:r>
              <w:rPr>
                <w:rFonts w:ascii="Arial" w:cs="Arial" w:eastAsia="Arial" w:hAnsi="Arial"/>
                <w:color w:val="1A202C"/>
                <w:sz w:val="18"/>
                <w:szCs w:val="18"/>
              </w:rPr>
              <w:t xml:space="preserve">LLM Output Evaluation</w:t>
            </w:r>
          </w:p>
          <w:p>
            <w:pPr>
              <w:pStyle w:val="ListParagraph"/>
              <w:numPr>
                <w:ilvl w:val="0"/>
                <w:numId w:val="2"/>
              </w:numPr>
              <w:spacing w:after="20" w:before="20"/>
            </w:pPr>
            <w:r>
              <w:rPr>
                <w:rFonts w:ascii="Arial" w:cs="Arial" w:eastAsia="Arial" w:hAnsi="Arial"/>
                <w:color w:val="1A202C"/>
                <w:sz w:val="18"/>
                <w:szCs w:val="18"/>
              </w:rPr>
              <w:t xml:space="preserve">AI Tool Integration</w:t>
            </w:r>
          </w:p>
        </w:tc>
        <w:tc>
          <w:tcPr>
            <w:tcW w:type="dxa" w:w="3120"/>
            <w:tcBorders>
              <w:top w:val="none"/>
              <w:left w:val="none"/>
              <w:bottom w:val="none"/>
              <w:right w:val="none"/>
            </w:tcBorders>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1A202C"/>
                <w:sz w:val="18"/>
                <w:szCs w:val="18"/>
              </w:rPr>
              <w:t xml:space="preserve">Governance Frameworks</w:t>
            </w:r>
          </w:p>
          <w:p>
            <w:pPr>
              <w:pStyle w:val="ListParagraph"/>
              <w:numPr>
                <w:ilvl w:val="0"/>
                <w:numId w:val="2"/>
              </w:numPr>
              <w:spacing w:after="20" w:before="20"/>
            </w:pPr>
            <w:r>
              <w:rPr>
                <w:rFonts w:ascii="Arial" w:cs="Arial" w:eastAsia="Arial" w:hAnsi="Arial"/>
                <w:color w:val="1A202C"/>
                <w:sz w:val="18"/>
                <w:szCs w:val="18"/>
              </w:rPr>
              <w:t xml:space="preserve">Risk Assessment &amp; Mitigation</w:t>
            </w:r>
          </w:p>
          <w:p>
            <w:pPr>
              <w:pStyle w:val="ListParagraph"/>
              <w:numPr>
                <w:ilvl w:val="0"/>
                <w:numId w:val="2"/>
              </w:numPr>
              <w:spacing w:after="20" w:before="20"/>
            </w:pPr>
            <w:r>
              <w:rPr>
                <w:rFonts w:ascii="Arial" w:cs="Arial" w:eastAsia="Arial" w:hAnsi="Arial"/>
                <w:color w:val="1A202C"/>
                <w:sz w:val="18"/>
                <w:szCs w:val="18"/>
              </w:rPr>
              <w:t xml:space="preserve">Internal Audit &amp; Control Testing</w:t>
            </w:r>
          </w:p>
          <w:p>
            <w:pPr>
              <w:pStyle w:val="ListParagraph"/>
              <w:numPr>
                <w:ilvl w:val="0"/>
                <w:numId w:val="2"/>
              </w:numPr>
              <w:spacing w:after="20" w:before="20"/>
            </w:pPr>
            <w:r>
              <w:rPr>
                <w:rFonts w:ascii="Arial" w:cs="Arial" w:eastAsia="Arial" w:hAnsi="Arial"/>
                <w:color w:val="1A202C"/>
                <w:sz w:val="18"/>
                <w:szCs w:val="18"/>
              </w:rPr>
              <w:t xml:space="preserve">Compliance Monitoring</w:t>
            </w:r>
          </w:p>
          <w:p>
            <w:pPr>
              <w:pStyle w:val="ListParagraph"/>
              <w:numPr>
                <w:ilvl w:val="0"/>
                <w:numId w:val="2"/>
              </w:numPr>
              <w:spacing w:after="20" w:before="20"/>
            </w:pPr>
            <w:r>
              <w:rPr>
                <w:rFonts w:ascii="Arial" w:cs="Arial" w:eastAsia="Arial" w:hAnsi="Arial"/>
                <w:color w:val="1A202C"/>
                <w:sz w:val="18"/>
                <w:szCs w:val="18"/>
              </w:rPr>
              <w:t xml:space="preserve">Policy Documentation</w:t>
            </w:r>
          </w:p>
          <w:p>
            <w:pPr>
              <w:pStyle w:val="ListParagraph"/>
              <w:numPr>
                <w:ilvl w:val="0"/>
                <w:numId w:val="2"/>
              </w:numPr>
              <w:spacing w:after="20" w:before="20"/>
            </w:pPr>
            <w:r>
              <w:rPr>
                <w:rFonts w:ascii="Arial" w:cs="Arial" w:eastAsia="Arial" w:hAnsi="Arial"/>
                <w:color w:val="1A202C"/>
                <w:sz w:val="18"/>
                <w:szCs w:val="18"/>
              </w:rPr>
              <w:t xml:space="preserve">Process Improvement</w:t>
            </w:r>
          </w:p>
          <w:p>
            <w:pPr>
              <w:pStyle w:val="ListParagraph"/>
              <w:numPr>
                <w:ilvl w:val="0"/>
                <w:numId w:val="2"/>
              </w:numPr>
              <w:spacing w:after="20" w:before="20"/>
            </w:pPr>
            <w:r>
              <w:rPr>
                <w:rFonts w:ascii="Arial" w:cs="Arial" w:eastAsia="Arial" w:hAnsi="Arial"/>
                <w:color w:val="1A202C"/>
                <w:sz w:val="18"/>
                <w:szCs w:val="18"/>
              </w:rPr>
              <w:t xml:space="preserve">Quality Assurance</w:t>
            </w:r>
          </w:p>
          <w:p>
            <w:pPr>
              <w:pStyle w:val="ListParagraph"/>
              <w:numPr>
                <w:ilvl w:val="0"/>
                <w:numId w:val="2"/>
              </w:numPr>
              <w:spacing w:after="20" w:before="20"/>
            </w:pPr>
            <w:r>
              <w:rPr>
                <w:rFonts w:ascii="Arial" w:cs="Arial" w:eastAsia="Arial" w:hAnsi="Arial"/>
                <w:color w:val="1A202C"/>
                <w:sz w:val="18"/>
                <w:szCs w:val="18"/>
              </w:rPr>
              <w:t xml:space="preserve">Root Cause Analysis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AI Tools</w:t>
            </w:r>
          </w:p>
        </w:tc>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Productivity Platforms</w:t>
            </w:r>
          </w:p>
        </w:tc>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Professional Skills</w:t>
            </w:r>
          </w:p>
        </w:tc>
      </w:tr>
      <w:tr>
        <w:tc>
          <w:tcPr>
            <w:tcW w:type="dxa" w:w="3120"/>
            <w:tcBorders>
              <w:top w:val="none"/>
              <w:left w:val="none"/>
              <w:bottom w:val="none"/>
              <w:right w:val="none"/>
            </w:tcBorders>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1A202C"/>
                <w:sz w:val="18"/>
                <w:szCs w:val="18"/>
              </w:rPr>
              <w:t xml:space="preserve">ChatGPT</w:t>
            </w:r>
          </w:p>
          <w:p>
            <w:pPr>
              <w:pStyle w:val="ListParagraph"/>
              <w:numPr>
                <w:ilvl w:val="0"/>
                <w:numId w:val="2"/>
              </w:numPr>
              <w:spacing w:after="20" w:before="20"/>
            </w:pPr>
            <w:r>
              <w:rPr>
                <w:rFonts w:ascii="Arial" w:cs="Arial" w:eastAsia="Arial" w:hAnsi="Arial"/>
                <w:color w:val="1A202C"/>
                <w:sz w:val="18"/>
                <w:szCs w:val="18"/>
              </w:rPr>
              <w:t xml:space="preserve">Claude (Anthropic)</w:t>
            </w:r>
          </w:p>
          <w:p>
            <w:pPr>
              <w:pStyle w:val="ListParagraph"/>
              <w:numPr>
                <w:ilvl w:val="0"/>
                <w:numId w:val="2"/>
              </w:numPr>
              <w:spacing w:after="20" w:before="20"/>
            </w:pPr>
            <w:r>
              <w:rPr>
                <w:rFonts w:ascii="Arial" w:cs="Arial" w:eastAsia="Arial" w:hAnsi="Arial"/>
                <w:color w:val="1A202C"/>
                <w:sz w:val="18"/>
                <w:szCs w:val="18"/>
              </w:rPr>
              <w:t xml:space="preserve">Google Gemini</w:t>
            </w:r>
          </w:p>
          <w:p>
            <w:pPr>
              <w:pStyle w:val="ListParagraph"/>
              <w:numPr>
                <w:ilvl w:val="0"/>
                <w:numId w:val="2"/>
              </w:numPr>
              <w:spacing w:after="20" w:before="20"/>
            </w:pPr>
            <w:r>
              <w:rPr>
                <w:rFonts w:ascii="Arial" w:cs="Arial" w:eastAsia="Arial" w:hAnsi="Arial"/>
                <w:color w:val="1A202C"/>
                <w:sz w:val="18"/>
                <w:szCs w:val="18"/>
              </w:rPr>
              <w:t xml:space="preserve">Cursor AI</w:t>
            </w:r>
          </w:p>
          <w:p>
            <w:pPr>
              <w:pStyle w:val="ListParagraph"/>
              <w:numPr>
                <w:ilvl w:val="0"/>
                <w:numId w:val="2"/>
              </w:numPr>
              <w:spacing w:after="20" w:before="20"/>
            </w:pPr>
            <w:r>
              <w:rPr>
                <w:rFonts w:ascii="Arial" w:cs="Arial" w:eastAsia="Arial" w:hAnsi="Arial"/>
                <w:color w:val="1A202C"/>
                <w:sz w:val="18"/>
                <w:szCs w:val="18"/>
              </w:rPr>
              <w:t xml:space="preserve">Microsoft Copilot</w:t>
            </w:r>
          </w:p>
          <w:p>
            <w:pPr>
              <w:pStyle w:val="ListParagraph"/>
              <w:numPr>
                <w:ilvl w:val="0"/>
                <w:numId w:val="2"/>
              </w:numPr>
              <w:spacing w:after="20" w:before="20"/>
            </w:pPr>
            <w:r>
              <w:rPr>
                <w:rFonts w:ascii="Arial" w:cs="Arial" w:eastAsia="Arial" w:hAnsi="Arial"/>
                <w:color w:val="1A202C"/>
                <w:sz w:val="18"/>
                <w:szCs w:val="18"/>
              </w:rPr>
              <w:t xml:space="preserve">Notion AI</w:t>
            </w:r>
          </w:p>
          <w:p>
            <w:pPr>
              <w:pStyle w:val="ListParagraph"/>
              <w:numPr>
                <w:ilvl w:val="0"/>
                <w:numId w:val="2"/>
              </w:numPr>
              <w:spacing w:after="20" w:before="20"/>
            </w:pPr>
            <w:r>
              <w:rPr>
                <w:rFonts w:ascii="Arial" w:cs="Arial" w:eastAsia="Arial" w:hAnsi="Arial"/>
                <w:color w:val="1A202C"/>
                <w:sz w:val="18"/>
                <w:szCs w:val="18"/>
              </w:rPr>
              <w:t xml:space="preserve">Perplexity AI</w:t>
            </w:r>
          </w:p>
        </w:tc>
        <w:tc>
          <w:tcPr>
            <w:tcW w:type="dxa" w:w="3120"/>
            <w:tcBorders>
              <w:top w:val="none"/>
              <w:left w:val="none"/>
              <w:bottom w:val="none"/>
              <w:right w:val="none"/>
            </w:tcBorders>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1A202C"/>
                <w:sz w:val="18"/>
                <w:szCs w:val="18"/>
              </w:rPr>
              <w:t xml:space="preserve">Microsoft Office Suite</w:t>
            </w:r>
          </w:p>
          <w:p>
            <w:pPr>
              <w:pStyle w:val="ListParagraph"/>
              <w:numPr>
                <w:ilvl w:val="0"/>
                <w:numId w:val="2"/>
              </w:numPr>
              <w:spacing w:after="20" w:before="20"/>
            </w:pPr>
            <w:r>
              <w:rPr>
                <w:rFonts w:ascii="Arial" w:cs="Arial" w:eastAsia="Arial" w:hAnsi="Arial"/>
                <w:color w:val="1A202C"/>
                <w:sz w:val="18"/>
                <w:szCs w:val="18"/>
              </w:rPr>
              <w:t xml:space="preserve">Google Workspace</w:t>
            </w:r>
          </w:p>
          <w:p>
            <w:pPr>
              <w:pStyle w:val="ListParagraph"/>
              <w:numPr>
                <w:ilvl w:val="0"/>
                <w:numId w:val="2"/>
              </w:numPr>
              <w:spacing w:after="20" w:before="20"/>
            </w:pPr>
            <w:r>
              <w:rPr>
                <w:rFonts w:ascii="Arial" w:cs="Arial" w:eastAsia="Arial" w:hAnsi="Arial"/>
                <w:color w:val="1A202C"/>
                <w:sz w:val="18"/>
                <w:szCs w:val="18"/>
              </w:rPr>
              <w:t xml:space="preserve">Jira &amp; Confluence</w:t>
            </w:r>
          </w:p>
          <w:p>
            <w:pPr>
              <w:pStyle w:val="ListParagraph"/>
              <w:numPr>
                <w:ilvl w:val="0"/>
                <w:numId w:val="2"/>
              </w:numPr>
              <w:spacing w:after="20" w:before="20"/>
            </w:pPr>
            <w:r>
              <w:rPr>
                <w:rFonts w:ascii="Arial" w:cs="Arial" w:eastAsia="Arial" w:hAnsi="Arial"/>
                <w:color w:val="1A202C"/>
                <w:sz w:val="18"/>
                <w:szCs w:val="18"/>
              </w:rPr>
              <w:t xml:space="preserve">Notion</w:t>
            </w:r>
          </w:p>
          <w:p>
            <w:pPr>
              <w:pStyle w:val="ListParagraph"/>
              <w:numPr>
                <w:ilvl w:val="0"/>
                <w:numId w:val="2"/>
              </w:numPr>
              <w:spacing w:after="20" w:before="20"/>
            </w:pPr>
            <w:r>
              <w:rPr>
                <w:rFonts w:ascii="Arial" w:cs="Arial" w:eastAsia="Arial" w:hAnsi="Arial"/>
                <w:color w:val="1A202C"/>
                <w:sz w:val="18"/>
                <w:szCs w:val="18"/>
              </w:rPr>
              <w:t xml:space="preserve">Slack</w:t>
            </w:r>
          </w:p>
          <w:p>
            <w:pPr>
              <w:pStyle w:val="ListParagraph"/>
              <w:numPr>
                <w:ilvl w:val="0"/>
                <w:numId w:val="2"/>
              </w:numPr>
              <w:spacing w:after="20" w:before="20"/>
            </w:pPr>
            <w:r>
              <w:rPr>
                <w:rFonts w:ascii="Arial" w:cs="Arial" w:eastAsia="Arial" w:hAnsi="Arial"/>
                <w:color w:val="1A202C"/>
                <w:sz w:val="18"/>
                <w:szCs w:val="18"/>
              </w:rPr>
              <w:t xml:space="preserve">Documentation &amp; Reporting</w:t>
            </w:r>
          </w:p>
        </w:tc>
        <w:tc>
          <w:tcPr>
            <w:tcW w:type="dxa" w:w="3120"/>
            <w:tcBorders>
              <w:top w:val="none"/>
              <w:left w:val="none"/>
              <w:bottom w:val="none"/>
              <w:right w:val="none"/>
            </w:tcBorders>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1A202C"/>
                <w:sz w:val="18"/>
                <w:szCs w:val="18"/>
              </w:rPr>
              <w:t xml:space="preserve">Leadership &amp; Mentorship</w:t>
            </w:r>
          </w:p>
          <w:p>
            <w:pPr>
              <w:pStyle w:val="ListParagraph"/>
              <w:numPr>
                <w:ilvl w:val="0"/>
                <w:numId w:val="2"/>
              </w:numPr>
              <w:spacing w:after="20" w:before="20"/>
            </w:pPr>
            <w:r>
              <w:rPr>
                <w:rFonts w:ascii="Arial" w:cs="Arial" w:eastAsia="Arial" w:hAnsi="Arial"/>
                <w:color w:val="1A202C"/>
                <w:sz w:val="18"/>
                <w:szCs w:val="18"/>
              </w:rPr>
              <w:t xml:space="preserve">Technical Training</w:t>
            </w:r>
          </w:p>
          <w:p>
            <w:pPr>
              <w:pStyle w:val="ListParagraph"/>
              <w:numPr>
                <w:ilvl w:val="0"/>
                <w:numId w:val="2"/>
              </w:numPr>
              <w:spacing w:after="20" w:before="20"/>
            </w:pPr>
            <w:r>
              <w:rPr>
                <w:rFonts w:ascii="Arial" w:cs="Arial" w:eastAsia="Arial" w:hAnsi="Arial"/>
                <w:color w:val="1A202C"/>
                <w:sz w:val="18"/>
                <w:szCs w:val="18"/>
              </w:rPr>
              <w:t xml:space="preserve">Stakeholder Management</w:t>
            </w:r>
          </w:p>
          <w:p>
            <w:pPr>
              <w:pStyle w:val="ListParagraph"/>
              <w:numPr>
                <w:ilvl w:val="0"/>
                <w:numId w:val="2"/>
              </w:numPr>
              <w:spacing w:after="20" w:before="20"/>
            </w:pPr>
            <w:r>
              <w:rPr>
                <w:rFonts w:ascii="Arial" w:cs="Arial" w:eastAsia="Arial" w:hAnsi="Arial"/>
                <w:color w:val="1A202C"/>
                <w:sz w:val="18"/>
                <w:szCs w:val="18"/>
              </w:rPr>
              <w:t xml:space="preserve">Analytical &amp; Critical Thinking</w:t>
            </w:r>
          </w:p>
          <w:p>
            <w:pPr>
              <w:pStyle w:val="ListParagraph"/>
              <w:numPr>
                <w:ilvl w:val="0"/>
                <w:numId w:val="2"/>
              </w:numPr>
              <w:spacing w:after="20" w:before="20"/>
            </w:pPr>
            <w:r>
              <w:rPr>
                <w:rFonts w:ascii="Arial" w:cs="Arial" w:eastAsia="Arial" w:hAnsi="Arial"/>
                <w:color w:val="1A202C"/>
                <w:sz w:val="18"/>
                <w:szCs w:val="18"/>
              </w:rPr>
              <w:t xml:space="preserve">Cross-Functional Collaboration</w:t>
            </w:r>
          </w:p>
          <w:p>
            <w:pPr>
              <w:pStyle w:val="ListParagraph"/>
              <w:numPr>
                <w:ilvl w:val="0"/>
                <w:numId w:val="2"/>
              </w:numPr>
              <w:spacing w:after="20" w:before="20"/>
            </w:pPr>
            <w:r>
              <w:rPr>
                <w:rFonts w:ascii="Arial" w:cs="Arial" w:eastAsia="Arial" w:hAnsi="Arial"/>
                <w:color w:val="1A202C"/>
                <w:sz w:val="18"/>
                <w:szCs w:val="18"/>
              </w:rPr>
              <w:t xml:space="preserve">Communication &amp; Adaptability</w:t>
            </w:r>
          </w:p>
        </w:tc>
      </w:tr>
    </w:tbl>
    <w:p>
      <w:pPr>
        <w:spacing w:before="80"/>
      </w:pPr>
    </w:p>
    <w:p>
      <w:pPr>
        <w:pBdr>
          <w:bottom w:val="single" w:color="1B3A6B" w:sz="8" w:space="2"/>
        </w:pBdr>
        <w:spacing w:after="60" w:before="200"/>
      </w:pPr>
      <w:r>
        <w:rPr>
          <w:rFonts w:ascii="Arial" w:cs="Arial" w:eastAsia="Arial" w:hAnsi="Arial"/>
          <w:b/>
          <w:bCs/>
          <w:color w:val="1B3A6B"/>
          <w:spacing w:val="40"/>
          <w:sz w:val="22"/>
          <w:szCs w:val="22"/>
        </w:rPr>
        <w:t xml:space="preserve">PROFESSIONAL EXPERIENCE</w:t>
      </w:r>
    </w:p>
    <w:p>
      <w:pPr>
        <w:tabs>
          <w:tab w:val="right" w:pos="9360"/>
        </w:tabs>
        <w:spacing w:after="30" w:before="160"/>
      </w:pPr>
      <w:r>
        <w:rPr>
          <w:rFonts w:ascii="Arial" w:cs="Arial" w:eastAsia="Arial" w:hAnsi="Arial"/>
          <w:b/>
          <w:bCs/>
          <w:color w:val="1B3A6B"/>
          <w:sz w:val="21"/>
          <w:szCs w:val="21"/>
        </w:rPr>
        <w:t xml:space="preserve">GRC Technical Trainer</w:t>
      </w:r>
      <w:r>
        <w:rPr>
          <w:rFonts w:ascii="Arial" w:cs="Arial" w:eastAsia="Arial" w:hAnsi="Arial"/>
          <w:color w:val="4A5568"/>
          <w:sz w:val="20"/>
          <w:szCs w:val="20"/>
        </w:rPr>
        <w:t xml:space="preserve">  |  </w:t>
      </w:r>
      <w:r>
        <w:rPr>
          <w:rFonts w:ascii="Arial" w:cs="Arial" w:eastAsia="Arial" w:hAnsi="Arial"/>
          <w:b w:val="false"/>
          <w:bCs w:val="false"/>
          <w:color w:val="2C5282"/>
          <w:sz w:val="20"/>
          <w:szCs w:val="20"/>
        </w:rPr>
        <w:t xml:space="preserve">ThinkCloudly  |  Remote</w:t>
      </w:r>
      <w:r>
        <w:rPr>
          <w:rFonts w:ascii="Arial" w:cs="Arial" w:eastAsia="Arial" w:hAnsi="Arial"/>
          <w:sz w:val="20"/>
          <w:szCs w:val="20"/>
        </w:rPr>
        <w:t xml:space="preserve">	</w:t>
      </w:r>
      <w:r>
        <w:rPr>
          <w:rFonts w:ascii="Arial" w:cs="Arial" w:eastAsia="Arial" w:hAnsi="Arial"/>
          <w:i/>
          <w:iCs/>
          <w:color w:val="4A5568"/>
          <w:sz w:val="19"/>
          <w:szCs w:val="19"/>
        </w:rPr>
        <w:t xml:space="preserve">2026 – Present</w:t>
      </w:r>
    </w:p>
    <w:p>
      <w:pPr>
        <w:pStyle w:val="ListParagraph"/>
        <w:numPr>
          <w:ilvl w:val="0"/>
          <w:numId w:val="3"/>
        </w:numPr>
        <w:spacing w:after="30" w:before="30"/>
      </w:pPr>
      <w:r>
        <w:rPr>
          <w:rFonts w:ascii="Arial" w:cs="Arial" w:eastAsia="Arial" w:hAnsi="Arial"/>
          <w:color w:val="1A202C"/>
          <w:sz w:val="19"/>
          <w:szCs w:val="19"/>
        </w:rPr>
        <w:t xml:space="preserve">Designing and delivering structured Governance, Risk &amp; Compliance (GRC) training programs for professionals across skill levels, covering frameworks including ISO 31000, NIST CSF 2.0, COBIT 2019, and ISO/IEC 27001.</w:t>
      </w:r>
    </w:p>
    <w:p>
      <w:pPr>
        <w:pStyle w:val="ListParagraph"/>
        <w:numPr>
          <w:ilvl w:val="0"/>
          <w:numId w:val="3"/>
        </w:numPr>
        <w:spacing w:after="30" w:before="30"/>
      </w:pPr>
      <w:r>
        <w:rPr>
          <w:rFonts w:ascii="Arial" w:cs="Arial" w:eastAsia="Arial" w:hAnsi="Arial"/>
          <w:color w:val="1A202C"/>
          <w:sz w:val="19"/>
          <w:szCs w:val="19"/>
        </w:rPr>
        <w:t xml:space="preserve">Developing comprehensive e-learning content, case studies, and assessment toolkits that simplify complex compliance and risk concepts into actionable, learner-friendly modules for remote cohorts.</w:t>
      </w:r>
    </w:p>
    <w:p>
      <w:pPr>
        <w:pStyle w:val="ListParagraph"/>
        <w:numPr>
          <w:ilvl w:val="0"/>
          <w:numId w:val="3"/>
        </w:numPr>
        <w:spacing w:after="30" w:before="30"/>
      </w:pPr>
      <w:r>
        <w:rPr>
          <w:rFonts w:ascii="Arial" w:cs="Arial" w:eastAsia="Arial" w:hAnsi="Arial"/>
          <w:color w:val="1A202C"/>
          <w:sz w:val="19"/>
          <w:szCs w:val="19"/>
        </w:rPr>
        <w:t xml:space="preserve">Providing one-on-one mentoring and structured coaching to learners, supporting their progression from foundational GRC knowledge to audit-ready, independent compliance practitioners.</w:t>
      </w:r>
    </w:p>
    <w:p>
      <w:pPr>
        <w:pStyle w:val="ListParagraph"/>
        <w:numPr>
          <w:ilvl w:val="0"/>
          <w:numId w:val="3"/>
        </w:numPr>
        <w:spacing w:after="30" w:before="30"/>
      </w:pPr>
      <w:r>
        <w:rPr>
          <w:rFonts w:ascii="Arial" w:cs="Arial" w:eastAsia="Arial" w:hAnsi="Arial"/>
          <w:color w:val="1A202C"/>
          <w:sz w:val="19"/>
          <w:szCs w:val="19"/>
        </w:rPr>
        <w:t xml:space="preserve">Conducting practical live demonstrations of risk assessment workflows, control testing techniques, and compliance monitoring methodologies to bridge theory and real-world application.</w:t>
      </w:r>
    </w:p>
    <w:p>
      <w:pPr>
        <w:pStyle w:val="ListParagraph"/>
        <w:numPr>
          <w:ilvl w:val="0"/>
          <w:numId w:val="3"/>
        </w:numPr>
        <w:spacing w:after="30" w:before="30"/>
      </w:pPr>
      <w:r>
        <w:rPr>
          <w:rFonts w:ascii="Arial" w:cs="Arial" w:eastAsia="Arial" w:hAnsi="Arial"/>
          <w:color w:val="1A202C"/>
          <w:sz w:val="19"/>
          <w:szCs w:val="19"/>
        </w:rPr>
        <w:t xml:space="preserve">Continuously iterating on curriculum design based on learner feedback and evolving industry standards, ensuring training content remains current, relevant, and aligned to employer expectations.</w:t>
      </w:r>
    </w:p>
    <w:p>
      <w:pPr>
        <w:tabs>
          <w:tab w:val="right" w:pos="9360"/>
        </w:tabs>
        <w:spacing w:after="30" w:before="160"/>
      </w:pPr>
      <w:r>
        <w:rPr>
          <w:rFonts w:ascii="Arial" w:cs="Arial" w:eastAsia="Arial" w:hAnsi="Arial"/>
          <w:b/>
          <w:bCs/>
          <w:color w:val="1B3A6B"/>
          <w:sz w:val="21"/>
          <w:szCs w:val="21"/>
        </w:rPr>
        <w:t xml:space="preserve">Lead Team Lead – Risk &amp; Compliance</w:t>
      </w:r>
      <w:r>
        <w:rPr>
          <w:rFonts w:ascii="Arial" w:cs="Arial" w:eastAsia="Arial" w:hAnsi="Arial"/>
          <w:color w:val="4A5568"/>
          <w:sz w:val="20"/>
          <w:szCs w:val="20"/>
        </w:rPr>
        <w:t xml:space="preserve">  |  </w:t>
      </w:r>
      <w:r>
        <w:rPr>
          <w:rFonts w:ascii="Arial" w:cs="Arial" w:eastAsia="Arial" w:hAnsi="Arial"/>
          <w:b w:val="false"/>
          <w:bCs w:val="false"/>
          <w:color w:val="2C5282"/>
          <w:sz w:val="20"/>
          <w:szCs w:val="20"/>
        </w:rPr>
        <w:t xml:space="preserve">IGT Solutions Pvt. Ltd.  |  Gurugram, India</w:t>
      </w:r>
      <w:r>
        <w:rPr>
          <w:rFonts w:ascii="Arial" w:cs="Arial" w:eastAsia="Arial" w:hAnsi="Arial"/>
          <w:sz w:val="20"/>
          <w:szCs w:val="20"/>
        </w:rPr>
        <w:t xml:space="preserve">	</w:t>
      </w:r>
      <w:r>
        <w:rPr>
          <w:rFonts w:ascii="Arial" w:cs="Arial" w:eastAsia="Arial" w:hAnsi="Arial"/>
          <w:i/>
          <w:iCs/>
          <w:color w:val="4A5568"/>
          <w:sz w:val="19"/>
          <w:szCs w:val="19"/>
        </w:rPr>
        <w:t xml:space="preserve">2022 – 2024</w:t>
      </w:r>
    </w:p>
    <w:p>
      <w:pPr>
        <w:pStyle w:val="ListParagraph"/>
        <w:numPr>
          <w:ilvl w:val="0"/>
          <w:numId w:val="3"/>
        </w:numPr>
        <w:spacing w:after="30" w:before="30"/>
      </w:pPr>
      <w:r>
        <w:rPr>
          <w:rFonts w:ascii="Arial" w:cs="Arial" w:eastAsia="Arial" w:hAnsi="Arial"/>
          <w:color w:val="1A202C"/>
          <w:sz w:val="19"/>
          <w:szCs w:val="19"/>
        </w:rPr>
        <w:t xml:space="preserve">Spearheaded compliance reviews and end-to-end operational audits across multiple business units, identifying 30+ control gaps and recommending corrective action plans adopted by senior leadership.</w:t>
      </w:r>
    </w:p>
    <w:p>
      <w:pPr>
        <w:pStyle w:val="ListParagraph"/>
        <w:numPr>
          <w:ilvl w:val="0"/>
          <w:numId w:val="3"/>
        </w:numPr>
        <w:spacing w:after="30" w:before="30"/>
      </w:pPr>
      <w:r>
        <w:rPr>
          <w:rFonts w:ascii="Arial" w:cs="Arial" w:eastAsia="Arial" w:hAnsi="Arial"/>
          <w:color w:val="1A202C"/>
          <w:sz w:val="19"/>
          <w:szCs w:val="19"/>
        </w:rPr>
        <w:t xml:space="preserve">Reduced compliance risk exposure by 25% through systematic gap analysis, root cause identification, and implementation of targeted preventive controls aligned to organizational policy frameworks.</w:t>
      </w:r>
    </w:p>
    <w:p>
      <w:pPr>
        <w:pStyle w:val="ListParagraph"/>
        <w:numPr>
          <w:ilvl w:val="0"/>
          <w:numId w:val="3"/>
        </w:numPr>
        <w:spacing w:after="30" w:before="30"/>
      </w:pPr>
      <w:r>
        <w:rPr>
          <w:rFonts w:ascii="Arial" w:cs="Arial" w:eastAsia="Arial" w:hAnsi="Arial"/>
          <w:color w:val="1A202C"/>
          <w:sz w:val="19"/>
          <w:szCs w:val="19"/>
        </w:rPr>
        <w:t xml:space="preserve">Authored and maintained comprehensive audit reports, compliance dashboards, and governance documentation that improved transparency and stakeholder confidence across regulatory reviews.</w:t>
      </w:r>
    </w:p>
    <w:p>
      <w:pPr>
        <w:pStyle w:val="ListParagraph"/>
        <w:numPr>
          <w:ilvl w:val="0"/>
          <w:numId w:val="3"/>
        </w:numPr>
        <w:spacing w:after="30" w:before="30"/>
      </w:pPr>
      <w:r>
        <w:rPr>
          <w:rFonts w:ascii="Arial" w:cs="Arial" w:eastAsia="Arial" w:hAnsi="Arial"/>
          <w:color w:val="1A202C"/>
          <w:sz w:val="19"/>
          <w:szCs w:val="19"/>
        </w:rPr>
        <w:t xml:space="preserve">Monitored operational risk indicators and compliance metrics on an ongoing basis, enabling proactive escalation of emerging risks and timely remediation before regulatory impact.</w:t>
      </w:r>
    </w:p>
    <w:p>
      <w:pPr>
        <w:pStyle w:val="ListParagraph"/>
        <w:numPr>
          <w:ilvl w:val="0"/>
          <w:numId w:val="3"/>
        </w:numPr>
        <w:spacing w:after="30" w:before="30"/>
      </w:pPr>
      <w:r>
        <w:rPr>
          <w:rFonts w:ascii="Arial" w:cs="Arial" w:eastAsia="Arial" w:hAnsi="Arial"/>
          <w:color w:val="1A202C"/>
          <w:sz w:val="19"/>
          <w:szCs w:val="19"/>
        </w:rPr>
        <w:t xml:space="preserve">Collaborated with cross-functional teams including Legal, Operations, and IT to embed compliance requirements into day-to-day workflows and standard operating procedures.</w:t>
      </w:r>
    </w:p>
    <w:p>
      <w:pPr>
        <w:pStyle w:val="ListParagraph"/>
        <w:numPr>
          <w:ilvl w:val="0"/>
          <w:numId w:val="3"/>
        </w:numPr>
        <w:spacing w:after="30" w:before="30"/>
      </w:pPr>
      <w:r>
        <w:rPr>
          <w:rFonts w:ascii="Arial" w:cs="Arial" w:eastAsia="Arial" w:hAnsi="Arial"/>
          <w:color w:val="1A202C"/>
          <w:sz w:val="19"/>
          <w:szCs w:val="19"/>
        </w:rPr>
        <w:t xml:space="preserve">Supported governance initiatives by designing policy templates, conducting risk workshops, and facilitating quarterly compliance reviews with department heads and executive stakeholders.</w:t>
      </w:r>
    </w:p>
    <w:p>
      <w:pPr>
        <w:tabs>
          <w:tab w:val="right" w:pos="9360"/>
        </w:tabs>
        <w:spacing w:after="30" w:before="160"/>
      </w:pPr>
      <w:r>
        <w:rPr>
          <w:rFonts w:ascii="Arial" w:cs="Arial" w:eastAsia="Arial" w:hAnsi="Arial"/>
          <w:b/>
          <w:bCs/>
          <w:color w:val="1B3A6B"/>
          <w:sz w:val="21"/>
          <w:szCs w:val="21"/>
        </w:rPr>
        <w:t xml:space="preserve">Quality Analyst</w:t>
      </w:r>
      <w:r>
        <w:rPr>
          <w:rFonts w:ascii="Arial" w:cs="Arial" w:eastAsia="Arial" w:hAnsi="Arial"/>
          <w:color w:val="4A5568"/>
          <w:sz w:val="20"/>
          <w:szCs w:val="20"/>
        </w:rPr>
        <w:t xml:space="preserve">  |  </w:t>
      </w:r>
      <w:r>
        <w:rPr>
          <w:rFonts w:ascii="Arial" w:cs="Arial" w:eastAsia="Arial" w:hAnsi="Arial"/>
          <w:b w:val="false"/>
          <w:bCs w:val="false"/>
          <w:color w:val="2C5282"/>
          <w:sz w:val="20"/>
          <w:szCs w:val="20"/>
        </w:rPr>
        <w:t xml:space="preserve">IGT Solutions Pvt. Ltd.  |  Gurugram, India</w:t>
      </w:r>
      <w:r>
        <w:rPr>
          <w:rFonts w:ascii="Arial" w:cs="Arial" w:eastAsia="Arial" w:hAnsi="Arial"/>
          <w:sz w:val="20"/>
          <w:szCs w:val="20"/>
        </w:rPr>
        <w:t xml:space="preserve">	</w:t>
      </w:r>
      <w:r>
        <w:rPr>
          <w:rFonts w:ascii="Arial" w:cs="Arial" w:eastAsia="Arial" w:hAnsi="Arial"/>
          <w:i/>
          <w:iCs/>
          <w:color w:val="4A5568"/>
          <w:sz w:val="19"/>
          <w:szCs w:val="19"/>
        </w:rPr>
        <w:t xml:space="preserve">2021 – 2022</w:t>
      </w:r>
    </w:p>
    <w:p>
      <w:pPr>
        <w:pStyle w:val="ListParagraph"/>
        <w:numPr>
          <w:ilvl w:val="0"/>
          <w:numId w:val="3"/>
        </w:numPr>
        <w:spacing w:after="30" w:before="30"/>
      </w:pPr>
      <w:r>
        <w:rPr>
          <w:rFonts w:ascii="Arial" w:cs="Arial" w:eastAsia="Arial" w:hAnsi="Arial"/>
          <w:color w:val="1A202C"/>
          <w:sz w:val="19"/>
          <w:szCs w:val="19"/>
        </w:rPr>
        <w:t xml:space="preserve">Performed comprehensive quality audits across operational processes, achieving a 20% reduction in transaction error rates through structured quality improvement plans and corrective feedback cycles.</w:t>
      </w:r>
    </w:p>
    <w:p>
      <w:pPr>
        <w:pStyle w:val="ListParagraph"/>
        <w:numPr>
          <w:ilvl w:val="0"/>
          <w:numId w:val="3"/>
        </w:numPr>
        <w:spacing w:after="30" w:before="30"/>
      </w:pPr>
      <w:r>
        <w:rPr>
          <w:rFonts w:ascii="Arial" w:cs="Arial" w:eastAsia="Arial" w:hAnsi="Arial"/>
          <w:color w:val="1A202C"/>
          <w:sz w:val="19"/>
          <w:szCs w:val="19"/>
        </w:rPr>
        <w:t xml:space="preserve">Designed and maintained quality monitoring frameworks, dashboards, and reporting tools that provided leadership with real-time visibility into operational performance and customer experience metrics.</w:t>
      </w:r>
    </w:p>
    <w:p>
      <w:pPr>
        <w:pStyle w:val="ListParagraph"/>
        <w:numPr>
          <w:ilvl w:val="0"/>
          <w:numId w:val="3"/>
        </w:numPr>
        <w:spacing w:after="30" w:before="30"/>
      </w:pPr>
      <w:r>
        <w:rPr>
          <w:rFonts w:ascii="Arial" w:cs="Arial" w:eastAsia="Arial" w:hAnsi="Arial"/>
          <w:color w:val="1A202C"/>
          <w:sz w:val="19"/>
          <w:szCs w:val="19"/>
        </w:rPr>
        <w:t xml:space="preserve">Conducted in-depth root cause analyses (RCA) on escalated quality failures, producing actionable insights that informed process redesign and prevented recurrence of critical defects.</w:t>
      </w:r>
    </w:p>
    <w:p>
      <w:pPr>
        <w:pStyle w:val="ListParagraph"/>
        <w:numPr>
          <w:ilvl w:val="0"/>
          <w:numId w:val="3"/>
        </w:numPr>
        <w:spacing w:after="30" w:before="30"/>
      </w:pPr>
      <w:r>
        <w:rPr>
          <w:rFonts w:ascii="Arial" w:cs="Arial" w:eastAsia="Arial" w:hAnsi="Arial"/>
          <w:color w:val="1A202C"/>
          <w:sz w:val="19"/>
          <w:szCs w:val="19"/>
        </w:rPr>
        <w:t xml:space="preserve">Led quality calibration sessions and cross-team collaborations to align performance standards, driving measurable improvements in consistency and first-contact resolution rates.</w:t>
      </w:r>
    </w:p>
    <w:p>
      <w:pPr>
        <w:pStyle w:val="ListParagraph"/>
        <w:numPr>
          <w:ilvl w:val="0"/>
          <w:numId w:val="3"/>
        </w:numPr>
        <w:spacing w:after="30" w:before="30"/>
      </w:pPr>
      <w:r>
        <w:rPr>
          <w:rFonts w:ascii="Arial" w:cs="Arial" w:eastAsia="Arial" w:hAnsi="Arial"/>
          <w:color w:val="1A202C"/>
          <w:sz w:val="19"/>
          <w:szCs w:val="19"/>
        </w:rPr>
        <w:t xml:space="preserve">Championed customer-centric quality initiatives that directly improved CSAT scores and reduced escalation volumes, contributing to a measurable uplift in overall service delivery standards.</w:t>
      </w:r>
    </w:p>
    <w:p>
      <w:pPr>
        <w:pBdr>
          <w:bottom w:val="single" w:color="1B3A6B" w:sz="8" w:space="2"/>
        </w:pBdr>
        <w:spacing w:after="60" w:before="200"/>
      </w:pPr>
      <w:r>
        <w:rPr>
          <w:rFonts w:ascii="Arial" w:cs="Arial" w:eastAsia="Arial" w:hAnsi="Arial"/>
          <w:b/>
          <w:bCs/>
          <w:color w:val="1B3A6B"/>
          <w:spacing w:val="40"/>
          <w:sz w:val="22"/>
          <w:szCs w:val="22"/>
        </w:rPr>
        <w:t xml:space="preserve">KEY PROJECTS</w:t>
      </w:r>
    </w:p>
    <w:p>
      <w:pPr>
        <w:spacing w:after="30" w:before="120"/>
      </w:pPr>
      <w:r>
        <w:rPr>
          <w:rFonts w:ascii="Arial" w:cs="Arial" w:eastAsia="Arial" w:hAnsi="Arial"/>
          <w:b/>
          <w:bCs/>
          <w:color w:val="1B3A6B"/>
          <w:sz w:val="20"/>
          <w:szCs w:val="20"/>
        </w:rPr>
        <w:t xml:space="preserve">Professional Portfolio Website</w:t>
      </w:r>
      <w:r>
        <w:rPr>
          <w:rFonts w:ascii="Arial" w:cs="Arial" w:eastAsia="Arial" w:hAnsi="Arial"/>
          <w:i/>
          <w:iCs/>
          <w:color w:val="4A5568"/>
          <w:sz w:val="18"/>
          <w:szCs w:val="18"/>
        </w:rPr>
        <w:t xml:space="preserve">   |   AI-Assisted Design &amp; Content Development, Cursor AI, Notion AI</w:t>
      </w:r>
    </w:p>
    <w:p>
      <w:pPr>
        <w:pStyle w:val="ListParagraph"/>
        <w:numPr>
          <w:ilvl w:val="0"/>
          <w:numId w:val="3"/>
        </w:numPr>
        <w:spacing w:after="30" w:before="30"/>
      </w:pPr>
      <w:r>
        <w:rPr>
          <w:rFonts w:ascii="Arial" w:cs="Arial" w:eastAsia="Arial" w:hAnsi="Arial"/>
          <w:color w:val="1A202C"/>
          <w:sz w:val="19"/>
          <w:szCs w:val="19"/>
        </w:rPr>
        <w:t xml:space="preserve">Conceptualized and structured a professional portfolio website from end to end, leveraging AI tools to plan information architecture, generate polished content, and iterate on design layout for optimal recruiter experience.</w:t>
      </w:r>
    </w:p>
    <w:p>
      <w:pPr>
        <w:pStyle w:val="ListParagraph"/>
        <w:numPr>
          <w:ilvl w:val="0"/>
          <w:numId w:val="3"/>
        </w:numPr>
        <w:spacing w:after="30" w:before="30"/>
      </w:pPr>
      <w:r>
        <w:rPr>
          <w:rFonts w:ascii="Arial" w:cs="Arial" w:eastAsia="Arial" w:hAnsi="Arial"/>
          <w:color w:val="1A202C"/>
          <w:sz w:val="19"/>
          <w:szCs w:val="19"/>
        </w:rPr>
        <w:t xml:space="preserve">Used AI-assisted workflows to produce all written content — project descriptions, professional summaries, and skills narratives — ensuring consistent, executive-level tone and messaging across the site.</w:t>
      </w:r>
    </w:p>
    <w:p>
      <w:pPr>
        <w:pStyle w:val="ListParagraph"/>
        <w:numPr>
          <w:ilvl w:val="0"/>
          <w:numId w:val="3"/>
        </w:numPr>
        <w:spacing w:after="30" w:before="30"/>
      </w:pPr>
      <w:r>
        <w:rPr>
          <w:rFonts w:ascii="Arial" w:cs="Arial" w:eastAsia="Arial" w:hAnsi="Arial"/>
          <w:color w:val="1A202C"/>
          <w:sz w:val="19"/>
          <w:szCs w:val="19"/>
        </w:rPr>
        <w:t xml:space="preserve">Demonstrated applied AI productivity skills by compressing a multi-week content project into a streamlined process using AI co-creation, prompt engineering, and structured output review cycles.</w:t>
      </w:r>
    </w:p>
    <w:p>
      <w:pPr>
        <w:spacing w:after="30" w:before="120"/>
      </w:pPr>
      <w:r>
        <w:rPr>
          <w:rFonts w:ascii="Arial" w:cs="Arial" w:eastAsia="Arial" w:hAnsi="Arial"/>
          <w:b/>
          <w:bCs/>
          <w:color w:val="1B3A6B"/>
          <w:sz w:val="20"/>
          <w:szCs w:val="20"/>
        </w:rPr>
        <w:t xml:space="preserve">AI Prompt Engineering Portfolio</w:t>
      </w:r>
      <w:r>
        <w:rPr>
          <w:rFonts w:ascii="Arial" w:cs="Arial" w:eastAsia="Arial" w:hAnsi="Arial"/>
          <w:i/>
          <w:iCs/>
          <w:color w:val="4A5568"/>
          <w:sz w:val="18"/>
          <w:szCs w:val="18"/>
        </w:rPr>
        <w:t xml:space="preserve">   |   ChatGPT, Claude, Gemini, Cursor AI</w:t>
      </w:r>
    </w:p>
    <w:p>
      <w:pPr>
        <w:pStyle w:val="ListParagraph"/>
        <w:numPr>
          <w:ilvl w:val="0"/>
          <w:numId w:val="3"/>
        </w:numPr>
        <w:spacing w:after="30" w:before="30"/>
      </w:pPr>
      <w:r>
        <w:rPr>
          <w:rFonts w:ascii="Arial" w:cs="Arial" w:eastAsia="Arial" w:hAnsi="Arial"/>
          <w:color w:val="1A202C"/>
          <w:sz w:val="19"/>
          <w:szCs w:val="19"/>
        </w:rPr>
        <w:t xml:space="preserve">Developed a comprehensive, structured portfolio of 50+ optimized prompts spanning business automation, software development assistance, technical documentation generation, content creation, and professional communication.</w:t>
      </w:r>
    </w:p>
    <w:p>
      <w:pPr>
        <w:pStyle w:val="ListParagraph"/>
        <w:numPr>
          <w:ilvl w:val="0"/>
          <w:numId w:val="3"/>
        </w:numPr>
        <w:spacing w:after="30" w:before="30"/>
      </w:pPr>
      <w:r>
        <w:rPr>
          <w:rFonts w:ascii="Arial" w:cs="Arial" w:eastAsia="Arial" w:hAnsi="Arial"/>
          <w:color w:val="1A202C"/>
          <w:sz w:val="19"/>
          <w:szCs w:val="19"/>
        </w:rPr>
        <w:t xml:space="preserve">Demonstrated measurable output quality improvements through systematic prompt iteration, context engineering techniques, and output evaluation across multiple LLM platforms including Claude, ChatGPT, and Gemini.</w:t>
      </w:r>
    </w:p>
    <w:p>
      <w:pPr>
        <w:pStyle w:val="ListParagraph"/>
        <w:numPr>
          <w:ilvl w:val="0"/>
          <w:numId w:val="3"/>
        </w:numPr>
        <w:spacing w:after="30" w:before="30"/>
      </w:pPr>
      <w:r>
        <w:rPr>
          <w:rFonts w:ascii="Arial" w:cs="Arial" w:eastAsia="Arial" w:hAnsi="Arial"/>
          <w:color w:val="1A202C"/>
          <w:sz w:val="19"/>
          <w:szCs w:val="19"/>
        </w:rPr>
        <w:t xml:space="preserve">Applied prompt engineering best practices including chain-of-thought reasoning, role assignment, few-shot examples, and constraint specification to maximize LLM output accuracy and relevance.</w:t>
      </w:r>
    </w:p>
    <w:p>
      <w:pPr>
        <w:spacing w:after="30" w:before="120"/>
      </w:pPr>
      <w:r>
        <w:rPr>
          <w:rFonts w:ascii="Arial" w:cs="Arial" w:eastAsia="Arial" w:hAnsi="Arial"/>
          <w:b/>
          <w:bCs/>
          <w:color w:val="1B3A6B"/>
          <w:sz w:val="20"/>
          <w:szCs w:val="20"/>
        </w:rPr>
        <w:t xml:space="preserve">AI Productivity Workflow Automation</w:t>
      </w:r>
      <w:r>
        <w:rPr>
          <w:rFonts w:ascii="Arial" w:cs="Arial" w:eastAsia="Arial" w:hAnsi="Arial"/>
          <w:i/>
          <w:iCs/>
          <w:color w:val="4A5568"/>
          <w:sz w:val="18"/>
          <w:szCs w:val="18"/>
        </w:rPr>
        <w:t xml:space="preserve">   |   ChatGPT, Claude, Gemini, Cursor AI, Notion AI</w:t>
      </w:r>
    </w:p>
    <w:p>
      <w:pPr>
        <w:pStyle w:val="ListParagraph"/>
        <w:numPr>
          <w:ilvl w:val="0"/>
          <w:numId w:val="3"/>
        </w:numPr>
        <w:spacing w:after="30" w:before="30"/>
      </w:pPr>
      <w:r>
        <w:rPr>
          <w:rFonts w:ascii="Arial" w:cs="Arial" w:eastAsia="Arial" w:hAnsi="Arial"/>
          <w:color w:val="1A202C"/>
          <w:sz w:val="19"/>
          <w:szCs w:val="19"/>
        </w:rPr>
        <w:t xml:space="preserve">Architected and implemented AI-assisted productivity workflows integrating multiple LLM platforms to automate documentation generation, coding assistance, research synthesis, and professional communication drafting.</w:t>
      </w:r>
    </w:p>
    <w:p>
      <w:pPr>
        <w:pStyle w:val="ListParagraph"/>
        <w:numPr>
          <w:ilvl w:val="0"/>
          <w:numId w:val="3"/>
        </w:numPr>
        <w:spacing w:after="30" w:before="30"/>
      </w:pPr>
      <w:r>
        <w:rPr>
          <w:rFonts w:ascii="Arial" w:cs="Arial" w:eastAsia="Arial" w:hAnsi="Arial"/>
          <w:color w:val="1A202C"/>
          <w:sz w:val="19"/>
          <w:szCs w:val="19"/>
        </w:rPr>
        <w:t xml:space="preserve">Reduced manual documentation time by an estimated 60% across professional workflows through systematic AI-augmented pipelines, demonstrating tangible productivity ROI from AI tool adoption.</w:t>
      </w:r>
    </w:p>
    <w:p>
      <w:pPr>
        <w:pBdr>
          <w:bottom w:val="single" w:color="1B3A6B" w:sz="8" w:space="2"/>
        </w:pBdr>
        <w:spacing w:after="60" w:before="200"/>
      </w:pPr>
      <w:r>
        <w:rPr>
          <w:rFonts w:ascii="Arial" w:cs="Arial" w:eastAsia="Arial" w:hAnsi="Arial"/>
          <w:b/>
          <w:bCs/>
          <w:color w:val="1B3A6B"/>
          <w:spacing w:val="40"/>
          <w:sz w:val="22"/>
          <w:szCs w:val="22"/>
        </w:rPr>
        <w:t xml:space="preserve">CERTIFICATIONS &amp; PROFESSIONAL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60"/>
              <w:left w:type="dxa" w:w="0"/>
              <w:bottom w:type="dxa" w:w="60"/>
              <w:right w:type="dxa" w:w="100"/>
            </w:tcMar>
          </w:tcPr>
          <w:p>
            <w:pPr>
              <w:spacing w:after="30" w:before="60"/>
            </w:pPr>
            <w:r>
              <w:rPr>
                <w:rFonts w:ascii="Arial" w:cs="Arial" w:eastAsia="Arial" w:hAnsi="Arial"/>
                <w:b/>
                <w:bCs/>
                <w:color w:val="1A202C"/>
                <w:sz w:val="19"/>
                <w:szCs w:val="19"/>
              </w:rPr>
              <w:t xml:space="preserve">AI Prompt Engineering Certification</w:t>
            </w:r>
            <w:r>
              <w:rPr>
                <w:rFonts w:ascii="Arial" w:cs="Arial" w:eastAsia="Arial" w:hAnsi="Arial"/>
                <w:color w:val="4A5568"/>
                <w:sz w:val="18"/>
                <w:szCs w:val="18"/>
              </w:rPr>
              <w:t xml:space="preserve">  |  2024</w:t>
            </w:r>
          </w:p>
          <w:p>
            <w:pPr>
              <w:spacing w:after="30" w:before="30"/>
            </w:pPr>
            <w:r>
              <w:rPr>
                <w:rFonts w:ascii="Arial" w:cs="Arial" w:eastAsia="Arial" w:hAnsi="Arial"/>
                <w:b/>
                <w:bCs/>
                <w:color w:val="1A202C"/>
                <w:sz w:val="19"/>
                <w:szCs w:val="19"/>
              </w:rPr>
              <w:t xml:space="preserve">Generative AI Fundamentals</w:t>
            </w:r>
            <w:r>
              <w:rPr>
                <w:rFonts w:ascii="Arial" w:cs="Arial" w:eastAsia="Arial" w:hAnsi="Arial"/>
                <w:color w:val="4A5568"/>
                <w:sz w:val="18"/>
                <w:szCs w:val="18"/>
              </w:rPr>
              <w:t xml:space="preserve">  |  2024</w:t>
            </w:r>
          </w:p>
          <w:p>
            <w:pPr>
              <w:spacing w:after="30" w:before="30"/>
            </w:pPr>
            <w:r>
              <w:rPr>
                <w:rFonts w:ascii="Arial" w:cs="Arial" w:eastAsia="Arial" w:hAnsi="Arial"/>
                <w:b/>
                <w:bCs/>
                <w:color w:val="1A202C"/>
                <w:sz w:val="19"/>
                <w:szCs w:val="19"/>
              </w:rPr>
              <w:t xml:space="preserve">Governance, Risk &amp; Compliance (GRC)</w:t>
            </w:r>
          </w:p>
          <w:p>
            <w:pPr>
              <w:spacing w:after="30" w:before="30"/>
            </w:pPr>
            <w:r>
              <w:rPr>
                <w:rFonts w:ascii="Arial" w:cs="Arial" w:eastAsia="Arial" w:hAnsi="Arial"/>
                <w:b/>
                <w:bCs/>
                <w:color w:val="1A202C"/>
                <w:sz w:val="19"/>
                <w:szCs w:val="19"/>
              </w:rPr>
              <w:t xml:space="preserve">Strategic HR Management</w:t>
            </w:r>
          </w:p>
        </w:tc>
        <w:tc>
          <w:tcPr>
            <w:tcW w:type="dxa" w:w="4680"/>
            <w:tcBorders>
              <w:top w:val="none"/>
              <w:left w:val="none"/>
              <w:bottom w:val="none"/>
              <w:right w:val="none"/>
            </w:tcBorders>
            <w:tcMar>
              <w:top w:type="dxa" w:w="60"/>
              <w:left w:type="dxa" w:w="100"/>
              <w:bottom w:type="dxa" w:w="60"/>
              <w:right w:type="dxa" w:w="0"/>
            </w:tcMar>
          </w:tcPr>
          <w:p>
            <w:pPr>
              <w:spacing w:after="30" w:before="60"/>
            </w:pPr>
            <w:r>
              <w:rPr>
                <w:rFonts w:ascii="Arial" w:cs="Arial" w:eastAsia="Arial" w:hAnsi="Arial"/>
                <w:b/>
                <w:bCs/>
                <w:color w:val="1A202C"/>
                <w:sz w:val="19"/>
                <w:szCs w:val="19"/>
              </w:rPr>
              <w:t xml:space="preserve">Talent Management Certification</w:t>
            </w:r>
          </w:p>
          <w:p>
            <w:pPr>
              <w:spacing w:after="30" w:before="30"/>
            </w:pPr>
            <w:r>
              <w:rPr>
                <w:rFonts w:ascii="Arial" w:cs="Arial" w:eastAsia="Arial" w:hAnsi="Arial"/>
                <w:b/>
                <w:bCs/>
                <w:color w:val="1A202C"/>
                <w:sz w:val="19"/>
                <w:szCs w:val="19"/>
              </w:rPr>
              <w:t xml:space="preserve">Payroll &amp; Statutory Compliance</w:t>
            </w:r>
          </w:p>
          <w:p>
            <w:pPr>
              <w:spacing w:after="30" w:before="30"/>
            </w:pPr>
            <w:r>
              <w:rPr>
                <w:rFonts w:ascii="Arial" w:cs="Arial" w:eastAsia="Arial" w:hAnsi="Arial"/>
                <w:b/>
                <w:bCs/>
                <w:color w:val="1A202C"/>
                <w:sz w:val="19"/>
                <w:szCs w:val="19"/>
              </w:rPr>
              <w:t xml:space="preserve">IATA Foundation Certification</w:t>
            </w:r>
          </w:p>
          <w:p>
            <w:pPr>
              <w:spacing w:after="30" w:before="30"/>
            </w:pPr>
            <w:r>
              <w:rPr>
                <w:rFonts w:ascii="Arial" w:cs="Arial" w:eastAsia="Arial" w:hAnsi="Arial"/>
                <w:b/>
                <w:bCs/>
                <w:color w:val="1A202C"/>
                <w:sz w:val="19"/>
                <w:szCs w:val="19"/>
              </w:rPr>
              <w:t xml:space="preserve">Hospitality Management Diploma</w:t>
            </w:r>
          </w:p>
        </w:tc>
      </w:tr>
    </w:tbl>
    <w:p>
      <w:pPr>
        <w:pBdr>
          <w:bottom w:val="single" w:color="1B3A6B" w:sz="8" w:space="2"/>
        </w:pBdr>
        <w:spacing w:after="60" w:before="200"/>
      </w:pPr>
      <w:r>
        <w:rPr>
          <w:rFonts w:ascii="Arial" w:cs="Arial" w:eastAsia="Arial" w:hAnsi="Arial"/>
          <w:b/>
          <w:bCs/>
          <w:color w:val="1B3A6B"/>
          <w:spacing w:val="40"/>
          <w:sz w:val="22"/>
          <w:szCs w:val="22"/>
        </w:rPr>
        <w:t xml:space="preserve">EDUCATION</w:t>
      </w:r>
    </w:p>
    <w:p>
      <w:pPr>
        <w:tabs>
          <w:tab w:val="right" w:pos="9360"/>
        </w:tabs>
        <w:spacing w:after="20" w:before="100"/>
      </w:pPr>
      <w:r>
        <w:rPr>
          <w:rFonts w:ascii="Arial" w:cs="Arial" w:eastAsia="Arial" w:hAnsi="Arial"/>
          <w:b/>
          <w:bCs/>
          <w:color w:val="1B3A6B"/>
          <w:sz w:val="20"/>
          <w:szCs w:val="20"/>
        </w:rPr>
        <w:t xml:space="preserve">Bachelor of Arts in Tourism Management</w:t>
      </w:r>
      <w:r>
        <w:rPr>
          <w:sz w:val="19"/>
          <w:szCs w:val="19"/>
        </w:rPr>
        <w:t xml:space="preserve">	</w:t>
      </w:r>
      <w:r>
        <w:rPr>
          <w:rFonts w:ascii="Arial" w:cs="Arial" w:eastAsia="Arial" w:hAnsi="Arial"/>
          <w:i/>
          <w:iCs/>
          <w:color w:val="4A5568"/>
          <w:sz w:val="19"/>
          <w:szCs w:val="19"/>
        </w:rPr>
        <w:t xml:space="preserve">2024</w:t>
      </w:r>
    </w:p>
    <w:p>
      <w:pPr>
        <w:spacing w:after="80" w:before="0"/>
      </w:pPr>
      <w:r>
        <w:rPr>
          <w:rFonts w:ascii="Arial" w:cs="Arial" w:eastAsia="Arial" w:hAnsi="Arial"/>
          <w:color w:val="4A5568"/>
          <w:sz w:val="19"/>
          <w:szCs w:val="19"/>
        </w:rPr>
        <w:t xml:space="preserve">Indira Gandhi National Open University (IGNOU)  |  India</w:t>
      </w:r>
    </w:p>
    <w:p>
      <w:pPr>
        <w:tabs>
          <w:tab w:val="right" w:pos="9360"/>
        </w:tabs>
        <w:spacing w:after="20" w:before="60"/>
      </w:pPr>
      <w:r>
        <w:rPr>
          <w:rFonts w:ascii="Arial" w:cs="Arial" w:eastAsia="Arial" w:hAnsi="Arial"/>
          <w:b/>
          <w:bCs/>
          <w:color w:val="1B3A6B"/>
          <w:sz w:val="20"/>
          <w:szCs w:val="20"/>
        </w:rPr>
        <w:t xml:space="preserve">Diploma in Hospitality Management</w:t>
      </w:r>
      <w:r>
        <w:rPr>
          <w:sz w:val="19"/>
          <w:szCs w:val="19"/>
        </w:rPr>
        <w:t xml:space="preserve">	</w:t>
      </w:r>
      <w:r>
        <w:rPr>
          <w:rFonts w:ascii="Arial" w:cs="Arial" w:eastAsia="Arial" w:hAnsi="Arial"/>
          <w:i/>
          <w:iCs/>
          <w:color w:val="4A5568"/>
          <w:sz w:val="19"/>
          <w:szCs w:val="19"/>
        </w:rPr>
        <w:t xml:space="preserve">2019</w:t>
      </w:r>
    </w:p>
    <w:p>
      <w:pPr>
        <w:spacing w:after="80" w:before="0"/>
      </w:pPr>
      <w:r>
        <w:rPr>
          <w:rFonts w:ascii="Arial" w:cs="Arial" w:eastAsia="Arial" w:hAnsi="Arial"/>
          <w:color w:val="4A5568"/>
          <w:sz w:val="19"/>
          <w:szCs w:val="19"/>
        </w:rPr>
        <w:t xml:space="preserve">Sprott Shaw College  |  Vancouver, Canada</w:t>
      </w:r>
    </w:p>
    <w:p>
      <w:pPr>
        <w:pBdr>
          <w:bottom w:val="single" w:color="1B3A6B" w:sz="8" w:space="2"/>
        </w:pBdr>
        <w:spacing w:after="60" w:before="200"/>
      </w:pPr>
      <w:r>
        <w:rPr>
          <w:rFonts w:ascii="Arial" w:cs="Arial" w:eastAsia="Arial" w:hAnsi="Arial"/>
          <w:b/>
          <w:bCs/>
          <w:color w:val="1B3A6B"/>
          <w:spacing w:val="40"/>
          <w:sz w:val="22"/>
          <w:szCs w:val="22"/>
        </w:rPr>
        <w:t xml:space="preserve">AWARDS &amp; ACHIEVEMENTS</w:t>
      </w:r>
    </w:p>
    <w:p>
      <w:pPr>
        <w:pStyle w:val="ListParagraph"/>
        <w:numPr>
          <w:ilvl w:val="0"/>
          <w:numId w:val="3"/>
        </w:numPr>
        <w:spacing w:after="30" w:before="30"/>
      </w:pPr>
      <w:r>
        <w:rPr>
          <w:rFonts w:ascii="Arial" w:cs="Arial" w:eastAsia="Arial" w:hAnsi="Arial"/>
          <w:color w:val="1A202C"/>
          <w:sz w:val="19"/>
          <w:szCs w:val="19"/>
        </w:rPr>
        <w:t xml:space="preserve">Successfully transitioned from GRC and Compliance professional to AI Engineering and AI Prompt Engineering, building a tangible portfolio of AI projects and automation workflows within 12 months.</w:t>
      </w:r>
    </w:p>
    <w:p>
      <w:pPr>
        <w:pStyle w:val="ListParagraph"/>
        <w:numPr>
          <w:ilvl w:val="0"/>
          <w:numId w:val="3"/>
        </w:numPr>
        <w:spacing w:after="30" w:before="30"/>
      </w:pPr>
      <w:r>
        <w:rPr>
          <w:rFonts w:ascii="Arial" w:cs="Arial" w:eastAsia="Arial" w:hAnsi="Arial"/>
          <w:color w:val="1A202C"/>
          <w:sz w:val="19"/>
          <w:szCs w:val="19"/>
        </w:rPr>
        <w:t xml:space="preserve">Developed three distinct AI-powered projects demonstrating applied prompt engineering, workflow automation, and AI-assisted content and documentation capabilities.</w:t>
      </w:r>
    </w:p>
    <w:p>
      <w:pPr>
        <w:pStyle w:val="ListParagraph"/>
        <w:numPr>
          <w:ilvl w:val="0"/>
          <w:numId w:val="3"/>
        </w:numPr>
        <w:spacing w:after="30" w:before="30"/>
      </w:pPr>
      <w:r>
        <w:rPr>
          <w:rFonts w:ascii="Arial" w:cs="Arial" w:eastAsia="Arial" w:hAnsi="Arial"/>
          <w:color w:val="1A202C"/>
          <w:sz w:val="19"/>
          <w:szCs w:val="19"/>
        </w:rPr>
        <w:t xml:space="preserve">Established a professional online portfolio showcasing GRC expertise and AI capabilities, creating a credible presence for roles spanning compliance consulting and AI solutions engineering.</w:t>
      </w:r>
    </w:p>
    <w:p>
      <w:pPr>
        <w:pStyle w:val="ListParagraph"/>
        <w:numPr>
          <w:ilvl w:val="0"/>
          <w:numId w:val="3"/>
        </w:numPr>
        <w:spacing w:after="30" w:before="30"/>
      </w:pPr>
      <w:r>
        <w:rPr>
          <w:rFonts w:ascii="Arial" w:cs="Arial" w:eastAsia="Arial" w:hAnsi="Arial"/>
          <w:color w:val="1A202C"/>
          <w:sz w:val="19"/>
          <w:szCs w:val="19"/>
        </w:rPr>
        <w:t xml:space="preserve">Recognized for leadership contributions in compliance training, delivering GRC upskilling programs that directly improved team audit readiness and organizational compliance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0"/>
              <w:bottom w:type="dxa" w:w="60"/>
              <w:right w:type="dxa" w:w="100"/>
            </w:tcMar>
          </w:tcPr>
          <w:p>
            <w:pPr>
              <w:pBdr>
                <w:bottom w:val="single" w:color="1B3A6B" w:sz="8" w:space="2"/>
              </w:pBdr>
              <w:spacing w:after="60" w:before="120"/>
            </w:pPr>
            <w:r>
              <w:rPr>
                <w:rFonts w:ascii="Arial" w:cs="Arial" w:eastAsia="Arial" w:hAnsi="Arial"/>
                <w:b/>
                <w:bCs/>
                <w:color w:val="1B3A6B"/>
                <w:spacing w:val="40"/>
                <w:sz w:val="22"/>
                <w:szCs w:val="22"/>
              </w:rPr>
              <w:t xml:space="preserve">LANGUAGES</w:t>
            </w:r>
          </w:p>
          <w:p>
            <w:pPr>
              <w:spacing w:before="60"/>
            </w:pPr>
            <w:r>
              <w:rPr>
                <w:rFonts w:ascii="Arial" w:cs="Arial" w:eastAsia="Arial" w:hAnsi="Arial"/>
                <w:color w:val="1A202C"/>
                <w:sz w:val="19"/>
                <w:szCs w:val="19"/>
              </w:rPr>
              <w:t xml:space="preserve">English  —  Fluent (Professional)</w:t>
            </w:r>
          </w:p>
          <w:p>
            <w:pPr>
              <w:spacing w:before="40"/>
            </w:pPr>
            <w:r>
              <w:rPr>
                <w:rFonts w:ascii="Arial" w:cs="Arial" w:eastAsia="Arial" w:hAnsi="Arial"/>
                <w:color w:val="1A202C"/>
                <w:sz w:val="19"/>
                <w:szCs w:val="19"/>
              </w:rPr>
              <w:t xml:space="preserve">Hindi  —  Native</w:t>
            </w:r>
          </w:p>
        </w:tc>
        <w:tc>
          <w:tcPr>
            <w:tcW w:type="dxa" w:w="4680"/>
            <w:tcBorders>
              <w:top w:val="none"/>
              <w:left w:val="none"/>
              <w:bottom w:val="none"/>
              <w:right w:val="none"/>
            </w:tcBorders>
            <w:tcMar>
              <w:top w:type="dxa" w:w="80"/>
              <w:left w:type="dxa" w:w="100"/>
              <w:bottom w:type="dxa" w:w="60"/>
              <w:right w:type="dxa" w:w="0"/>
            </w:tcMar>
          </w:tcPr>
          <w:p>
            <w:pPr>
              <w:pBdr>
                <w:bottom w:val="single" w:color="1B3A6B" w:sz="8" w:space="2"/>
              </w:pBdr>
              <w:spacing w:after="60" w:before="120"/>
            </w:pPr>
            <w:r>
              <w:rPr>
                <w:rFonts w:ascii="Arial" w:cs="Arial" w:eastAsia="Arial" w:hAnsi="Arial"/>
                <w:b/>
                <w:bCs/>
                <w:color w:val="1B3A6B"/>
                <w:spacing w:val="40"/>
                <w:sz w:val="22"/>
                <w:szCs w:val="22"/>
              </w:rPr>
              <w:t xml:space="preserve">PROFESSIONAL INTERESTS</w:t>
            </w:r>
          </w:p>
          <w:p>
            <w:pPr>
              <w:spacing w:before="60"/>
            </w:pPr>
            <w:r>
              <w:rPr>
                <w:rFonts w:ascii="Arial" w:cs="Arial" w:eastAsia="Arial" w:hAnsi="Arial"/>
                <w:color w:val="1A202C"/>
                <w:sz w:val="18"/>
                <w:szCs w:val="18"/>
              </w:rPr>
              <w:t xml:space="preserve">Artificial Intelligence  |  Software Engineering  |  Automation  |  Risk Management  |  Emerging Technologies  |  Web Development  |  AI Product Development  |  Continuous Learning</w:t>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240" w:hanging="1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2026-06-28T10:47:37.154Z</dcterms:created>
  <dcterms:modified xsi:type="dcterms:W3CDTF">2026-06-28T10:47:37.155Z</dcterms:modified>
</cp:coreProperties>
</file>

<file path=docProps/custom.xml><?xml version="1.0" encoding="utf-8"?>
<Properties xmlns="http://schemas.openxmlformats.org/officeDocument/2006/custom-properties" xmlns:vt="http://schemas.openxmlformats.org/officeDocument/2006/docPropsVTypes"/>
</file>