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4fpygutfsx1e" w:id="0"/>
      <w:bookmarkEnd w:id="0"/>
      <w:r w:rsidDel="00000000" w:rsidR="00000000" w:rsidRPr="00000000">
        <w:rPr>
          <w:rtl w:val="0"/>
        </w:rPr>
        <w:t xml:space="preserve">Week 3 Task: Exploratory Data Analysis and Visualization Plan</w:t>
      </w:r>
    </w:p>
    <w:p w:rsidR="00000000" w:rsidDel="00000000" w:rsidP="00000000" w:rsidRDefault="00000000" w:rsidRPr="00000000" w14:paraId="00000002">
      <w:pPr>
        <w:pStyle w:val="Heading1"/>
        <w:rPr/>
      </w:pPr>
      <w:bookmarkStart w:colFirst="0" w:colLast="0" w:name="_3rjofaw7wv6f" w:id="1"/>
      <w:bookmarkEnd w:id="1"/>
      <w:r w:rsidDel="00000000" w:rsidR="00000000" w:rsidRPr="00000000">
        <w:rPr>
          <w:rtl w:val="0"/>
        </w:rPr>
        <w:t xml:space="preserve">Executive Summary</w:t>
      </w:r>
    </w:p>
    <w:p w:rsidR="00000000" w:rsidDel="00000000" w:rsidP="00000000" w:rsidRDefault="00000000" w:rsidRPr="00000000" w14:paraId="00000003">
      <w:pPr>
        <w:rPr/>
      </w:pPr>
      <w:r w:rsidDel="00000000" w:rsidR="00000000" w:rsidRPr="00000000">
        <w:rPr>
          <w:rtl w:val="0"/>
        </w:rPr>
        <w:t xml:space="preserve">This document outlines a rigorous, structured methodology for conducting Exploratory Data Analysis (EDA) and data visualization using Python. The objective is to investigate data characteristics, identify structural anomalies and distributions, uncover underlying patterns and correlations, and formulate actionable hypotheses before deploying machine learning models or advanced business intelligence pipelines.</w:t>
      </w:r>
    </w:p>
    <w:p w:rsidR="00000000" w:rsidDel="00000000" w:rsidP="00000000" w:rsidRDefault="00000000" w:rsidRPr="00000000" w14:paraId="00000004">
      <w:pPr>
        <w:pStyle w:val="Heading1"/>
        <w:rPr/>
      </w:pPr>
      <w:bookmarkStart w:colFirst="0" w:colLast="0" w:name="_a0oar1kwbmyw" w:id="2"/>
      <w:bookmarkEnd w:id="2"/>
      <w:r w:rsidDel="00000000" w:rsidR="00000000" w:rsidRPr="00000000">
        <w:rPr>
          <w:rtl w:val="0"/>
        </w:rPr>
        <w:t xml:space="preserve">1. Project Context &amp; Guiding Analytics Questions</w:t>
      </w:r>
    </w:p>
    <w:p w:rsidR="00000000" w:rsidDel="00000000" w:rsidP="00000000" w:rsidRDefault="00000000" w:rsidRPr="00000000" w14:paraId="00000005">
      <w:pPr>
        <w:rPr/>
      </w:pPr>
      <w:r w:rsidDel="00000000" w:rsidR="00000000" w:rsidRPr="00000000">
        <w:rPr>
          <w:rtl w:val="0"/>
        </w:rPr>
        <w:t xml:space="preserve">To align the exploratory workflow directly with analytical and business goals, the EDA process is driven by the following core questions: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numPr>
          <w:ilvl w:val="0"/>
          <w:numId w:val="1"/>
        </w:numPr>
        <w:ind w:left="720" w:hanging="360"/>
      </w:pPr>
      <w:r w:rsidDel="00000000" w:rsidR="00000000" w:rsidRPr="00000000">
        <w:rPr>
          <w:b w:val="1"/>
          <w:bCs w:val="1"/>
          <w:rtl w:val="0"/>
        </w:rPr>
        <w:t xml:space="preserve">Data Integrity &amp; Quality:</w:t>
      </w:r>
      <w:r w:rsidDel="00000000" w:rsidR="00000000" w:rsidRPr="00000000">
        <w:rPr>
          <w:rtl w:val="0"/>
        </w:rPr>
        <w:t xml:space="preserve"> What is the profile of missing values, duplicate records, and structural errors across features?</w:t>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Distribution &amp; Symmetry:</w:t>
      </w:r>
      <w:r w:rsidDel="00000000" w:rsidR="00000000" w:rsidRPr="00000000">
        <w:rPr>
          <w:rtl w:val="0"/>
        </w:rPr>
        <w:t xml:space="preserve"> How are central metrics distributed across numeric variables, and do severe skewness or multi-modality necessitate transformation?</w:t>
      </w:r>
    </w:p>
    <w:p w:rsidR="00000000" w:rsidDel="00000000" w:rsidP="00000000" w:rsidRDefault="00000000" w:rsidRPr="00000000" w14:paraId="00000009">
      <w:pPr>
        <w:numPr>
          <w:ilvl w:val="0"/>
          <w:numId w:val="1"/>
        </w:numPr>
        <w:ind w:left="720" w:hanging="360"/>
      </w:pPr>
      <w:r w:rsidDel="00000000" w:rsidR="00000000" w:rsidRPr="00000000">
        <w:rPr>
          <w:b w:val="1"/>
          <w:bCs w:val="1"/>
          <w:rtl w:val="0"/>
        </w:rPr>
        <w:t xml:space="preserve">Multicollinearity &amp; Dependencies:</w:t>
      </w:r>
      <w:r w:rsidDel="00000000" w:rsidR="00000000" w:rsidRPr="00000000">
        <w:rPr>
          <w:rtl w:val="0"/>
        </w:rPr>
        <w:t xml:space="preserve"> Which features exhibit strong linear or non-linear correlations with each other and the target variable?</w:t>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Subgroup Dynamics &amp; Categorical Variance:</w:t>
      </w:r>
      <w:r w:rsidDel="00000000" w:rsidR="00000000" w:rsidRPr="00000000">
        <w:rPr>
          <w:rtl w:val="0"/>
        </w:rPr>
        <w:t xml:space="preserve"> How do operational and performance metrics vary across categorical segments (e.g., region, tier, customer segment)?</w:t>
      </w:r>
    </w:p>
    <w:p w:rsidR="00000000" w:rsidDel="00000000" w:rsidP="00000000" w:rsidRDefault="00000000" w:rsidRPr="00000000" w14:paraId="0000000B">
      <w:pPr>
        <w:numPr>
          <w:ilvl w:val="0"/>
          <w:numId w:val="1"/>
        </w:numPr>
        <w:ind w:left="720" w:hanging="360"/>
      </w:pPr>
      <w:r w:rsidDel="00000000" w:rsidR="00000000" w:rsidRPr="00000000">
        <w:rPr>
          <w:b w:val="1"/>
          <w:bCs w:val="1"/>
          <w:rtl w:val="0"/>
        </w:rPr>
        <w:t xml:space="preserve">Outlier Impact &amp; Boundaries:</w:t>
      </w:r>
      <w:r w:rsidDel="00000000" w:rsidR="00000000" w:rsidRPr="00000000">
        <w:rPr>
          <w:rtl w:val="0"/>
        </w:rPr>
        <w:t xml:space="preserve"> Are extreme observations data-entry anomalies, regime shifts, or high-value signals requiring specialized modeling treatments?</w:t>
      </w:r>
    </w:p>
    <w:p w:rsidR="00000000" w:rsidDel="00000000" w:rsidP="00000000" w:rsidRDefault="00000000" w:rsidRPr="00000000" w14:paraId="0000000C">
      <w:pPr>
        <w:pStyle w:val="Heading1"/>
        <w:rPr/>
      </w:pPr>
      <w:bookmarkStart w:colFirst="0" w:colLast="0" w:name="_b4ifro5chuim" w:id="3"/>
      <w:bookmarkEnd w:id="3"/>
      <w:r w:rsidDel="00000000" w:rsidR="00000000" w:rsidRPr="00000000">
        <w:rPr>
          <w:rtl w:val="0"/>
        </w:rPr>
        <w:t xml:space="preserve">2. Statistical Summarization Strategy</w:t>
      </w:r>
    </w:p>
    <w:p w:rsidR="00000000" w:rsidDel="00000000" w:rsidP="00000000" w:rsidRDefault="00000000" w:rsidRPr="00000000" w14:paraId="0000000D">
      <w:pPr>
        <w:rPr/>
      </w:pPr>
      <w:r w:rsidDel="00000000" w:rsidR="00000000" w:rsidRPr="00000000">
        <w:rPr>
          <w:rtl w:val="0"/>
        </w:rPr>
        <w:t xml:space="preserve">Before generating visual artifacts, a mathematical baseline is established through parametric and non-parametric summarization:</w:t>
      </w:r>
    </w:p>
    <w:p w:rsidR="00000000" w:rsidDel="00000000" w:rsidP="00000000" w:rsidRDefault="00000000" w:rsidRPr="00000000" w14:paraId="0000000E">
      <w:pPr>
        <w:pStyle w:val="Heading2"/>
        <w:rPr/>
      </w:pPr>
      <w:bookmarkStart w:colFirst="0" w:colLast="0" w:name="_gf878ig6mpu5" w:id="4"/>
      <w:bookmarkEnd w:id="4"/>
      <w:r w:rsidDel="00000000" w:rsidR="00000000" w:rsidRPr="00000000">
        <w:rPr>
          <w:rtl w:val="0"/>
        </w:rPr>
        <w:t xml:space="preserve">Central Tendency &amp; Dispersion</w:t>
      </w:r>
    </w:p>
    <w:p w:rsidR="00000000" w:rsidDel="00000000" w:rsidP="00000000" w:rsidRDefault="00000000" w:rsidRPr="00000000" w14:paraId="0000000F">
      <w:pPr>
        <w:rPr/>
      </w:pPr>
      <w:r w:rsidDel="00000000" w:rsidR="00000000" w:rsidRPr="00000000">
        <w:rPr>
          <w:rtl w:val="0"/>
        </w:rPr>
        <w:t xml:space="preserve">Parametric metrics (Mean, Standard Deviation, Variance) are paired with non-parametric metrics (Median, Interquartile Range / IQR) to detect distributional distortion. Skewness coefficients (Fisher-Pearson) quantify asymmetry, while Kurtosis evaluates tail weight and outlier propensity.</w:t>
      </w:r>
    </w:p>
    <w:p w:rsidR="00000000" w:rsidDel="00000000" w:rsidP="00000000" w:rsidRDefault="00000000" w:rsidRPr="00000000" w14:paraId="00000010">
      <w:pPr>
        <w:pStyle w:val="Heading2"/>
        <w:rPr/>
      </w:pPr>
      <w:bookmarkStart w:colFirst="0" w:colLast="0" w:name="_1i9sygi6bgen" w:id="5"/>
      <w:bookmarkEnd w:id="5"/>
      <w:r w:rsidDel="00000000" w:rsidR="00000000" w:rsidRPr="00000000">
        <w:rPr>
          <w:rtl w:val="0"/>
        </w:rPr>
        <w:t xml:space="preserve">Categorical Profiling</w:t>
      </w:r>
    </w:p>
    <w:p w:rsidR="00000000" w:rsidDel="00000000" w:rsidP="00000000" w:rsidRDefault="00000000" w:rsidRPr="00000000" w14:paraId="00000011">
      <w:pPr>
        <w:rPr/>
      </w:pPr>
      <w:r w:rsidDel="00000000" w:rsidR="00000000" w:rsidRPr="00000000">
        <w:rPr>
          <w:rtl w:val="0"/>
        </w:rPr>
        <w:t xml:space="preserve">Evaluation of mode, unique frequency ratios, cardinality levels, and Shannon entropy to determine concentration risks and appropriate encoding schemes.</w:t>
      </w:r>
    </w:p>
    <w:p w:rsidR="00000000" w:rsidDel="00000000" w:rsidP="00000000" w:rsidRDefault="00000000" w:rsidRPr="00000000" w14:paraId="00000012">
      <w:pPr>
        <w:pStyle w:val="Heading2"/>
        <w:rPr/>
      </w:pPr>
      <w:bookmarkStart w:colFirst="0" w:colLast="0" w:name="_z5428yrahlyz" w:id="6"/>
      <w:bookmarkEnd w:id="6"/>
      <w:r w:rsidDel="00000000" w:rsidR="00000000" w:rsidRPr="00000000">
        <w:rPr>
          <w:rtl w:val="0"/>
        </w:rPr>
        <w:t xml:space="preserve">Data Quality &amp; Anomaly Profiling</w:t>
      </w:r>
    </w:p>
    <w:p w:rsidR="00000000" w:rsidDel="00000000" w:rsidP="00000000" w:rsidRDefault="00000000" w:rsidRPr="00000000" w14:paraId="00000013">
      <w:pPr>
        <w:rPr/>
      </w:pPr>
      <w:r w:rsidDel="00000000" w:rsidR="00000000" w:rsidRPr="00000000">
        <w:rPr>
          <w:rtl w:val="0"/>
        </w:rPr>
        <w:t xml:space="preserve">Systematic tracking of missing data percentages per feature, categorized into MCAR (Missing Completely at Random), MAR (Missing at Random), or MNAR (Missing Not at Random). Zero-variance and near-zero-variance features are flagged to eliminate non-informative parameters early.</w:t>
      </w:r>
    </w:p>
    <w:p w:rsidR="00000000" w:rsidDel="00000000" w:rsidP="00000000" w:rsidRDefault="00000000" w:rsidRPr="00000000" w14:paraId="00000014">
      <w:pPr>
        <w:pStyle w:val="Heading1"/>
        <w:rPr/>
      </w:pPr>
      <w:bookmarkStart w:colFirst="0" w:colLast="0" w:name="_nwkdhirvus6z" w:id="7"/>
      <w:bookmarkEnd w:id="7"/>
      <w:r w:rsidDel="00000000" w:rsidR="00000000" w:rsidRPr="00000000">
        <w:rPr>
          <w:rtl w:val="0"/>
        </w:rPr>
        <w:t xml:space="preserve">3. Visualization Architecture &amp; Plot Selection Framework</w:t>
      </w:r>
    </w:p>
    <w:p w:rsidR="00000000" w:rsidDel="00000000" w:rsidP="00000000" w:rsidRDefault="00000000" w:rsidRPr="00000000" w14:paraId="00000015">
      <w:pPr>
        <w:rPr/>
      </w:pPr>
      <w:r w:rsidDel="00000000" w:rsidR="00000000" w:rsidRPr="00000000">
        <w:rPr>
          <w:rtl w:val="0"/>
        </w:rPr>
        <w:t xml:space="preserve">The visualization framework matches variable types directly to targeted statistical visualizations: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40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gridCol w:w="3500"/>
        <w:tblGridChange w:id="0">
          <w:tblGrid>
            <w:gridCol w:w="3500"/>
            <w:gridCol w:w="3500"/>
            <w:gridCol w:w="3500"/>
            <w:gridCol w:w="3500"/>
          </w:tblGrid>
        </w:tblGridChange>
      </w:tblGrid>
      <w:tr>
        <w:trPr>
          <w:cantSplit w:val="0"/>
          <w:tblHeader w:val="1"/>
        </w:trPr>
        <w:tc>
          <w:tcPr/>
          <w:p w:rsidR="00000000" w:rsidDel="00000000" w:rsidP="00000000" w:rsidRDefault="00000000" w:rsidRPr="00000000" w14:paraId="00000017">
            <w:pPr>
              <w:rPr/>
            </w:pPr>
            <w:r w:rsidDel="00000000" w:rsidR="00000000" w:rsidRPr="00000000">
              <w:rPr>
                <w:rtl w:val="0"/>
              </w:rPr>
              <w:t xml:space="preserve">Analysis Target</w:t>
            </w:r>
          </w:p>
        </w:tc>
        <w:tc>
          <w:tcPr/>
          <w:p w:rsidR="00000000" w:rsidDel="00000000" w:rsidP="00000000" w:rsidRDefault="00000000" w:rsidRPr="00000000" w14:paraId="00000018">
            <w:pPr>
              <w:rPr/>
            </w:pPr>
            <w:r w:rsidDel="00000000" w:rsidR="00000000" w:rsidRPr="00000000">
              <w:rPr>
                <w:rtl w:val="0"/>
              </w:rPr>
              <w:t xml:space="preserve">Recommended Plot Type</w:t>
            </w:r>
          </w:p>
        </w:tc>
        <w:tc>
          <w:tcPr/>
          <w:p w:rsidR="00000000" w:rsidDel="00000000" w:rsidP="00000000" w:rsidRDefault="00000000" w:rsidRPr="00000000" w14:paraId="00000019">
            <w:pPr>
              <w:rPr/>
            </w:pPr>
            <w:r w:rsidDel="00000000" w:rsidR="00000000" w:rsidRPr="00000000">
              <w:rPr>
                <w:rtl w:val="0"/>
              </w:rPr>
              <w:t xml:space="preserve">Implementation</w:t>
            </w:r>
          </w:p>
        </w:tc>
        <w:tc>
          <w:tcPr/>
          <w:p w:rsidR="00000000" w:rsidDel="00000000" w:rsidP="00000000" w:rsidRDefault="00000000" w:rsidRPr="00000000" w14:paraId="0000001A">
            <w:pPr>
              <w:rPr/>
            </w:pPr>
            <w:r w:rsidDel="00000000" w:rsidR="00000000" w:rsidRPr="00000000">
              <w:rPr>
                <w:rtl w:val="0"/>
              </w:rPr>
              <w:t xml:space="preserve">Analytical Purpose</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Univariate Continuous Distribution</w:t>
            </w:r>
          </w:p>
        </w:tc>
        <w:tc>
          <w:tcPr/>
          <w:p w:rsidR="00000000" w:rsidDel="00000000" w:rsidP="00000000" w:rsidRDefault="00000000" w:rsidRPr="00000000" w14:paraId="0000001C">
            <w:pPr>
              <w:rPr/>
            </w:pPr>
            <w:r w:rsidDel="00000000" w:rsidR="00000000" w:rsidRPr="00000000">
              <w:rPr>
                <w:rtl w:val="0"/>
              </w:rPr>
              <w:t xml:space="preserve">Histogram with KDE</w:t>
            </w:r>
          </w:p>
        </w:tc>
        <w:tc>
          <w:tcPr/>
          <w:p w:rsidR="00000000" w:rsidDel="00000000" w:rsidP="00000000" w:rsidRDefault="00000000" w:rsidRPr="00000000" w14:paraId="0000001D">
            <w:pPr>
              <w:rPr/>
            </w:pPr>
            <w:r w:rsidDel="00000000" w:rsidR="00000000" w:rsidRPr="00000000">
              <w:rPr>
                <w:rFonts w:ascii="Roboto Mono" w:cs="Roboto Mono" w:eastAsia="Roboto Mono" w:hAnsi="Roboto Mono"/>
                <w:color w:val="188038"/>
                <w:rtl w:val="0"/>
              </w:rPr>
              <w:t xml:space="preserve">seaborn.histplot</w:t>
            </w:r>
            <w:r w:rsidDel="00000000" w:rsidR="00000000" w:rsidRPr="00000000">
              <w:rPr>
                <w:rtl w:val="0"/>
              </w:rPr>
            </w:r>
          </w:p>
        </w:tc>
        <w:tc>
          <w:tcPr/>
          <w:p w:rsidR="00000000" w:rsidDel="00000000" w:rsidP="00000000" w:rsidRDefault="00000000" w:rsidRPr="00000000" w14:paraId="0000001E">
            <w:pPr>
              <w:rPr/>
            </w:pPr>
            <w:r w:rsidDel="00000000" w:rsidR="00000000" w:rsidRPr="00000000">
              <w:rPr>
                <w:rtl w:val="0"/>
              </w:rPr>
              <w:t xml:space="preserve">Evaluates unimodality, bimodality, spread, and normality assumptions.</w:t>
            </w:r>
          </w:p>
        </w:tc>
      </w:tr>
      <w:tr>
        <w:trPr>
          <w:cantSplit w:val="0"/>
          <w:tblHeader w:val="0"/>
        </w:trPr>
        <w:tc>
          <w:tcPr/>
          <w:p w:rsidR="00000000" w:rsidDel="00000000" w:rsidP="00000000" w:rsidRDefault="00000000" w:rsidRPr="00000000" w14:paraId="0000001F">
            <w:pPr>
              <w:rPr/>
            </w:pPr>
            <w:r w:rsidDel="00000000" w:rsidR="00000000" w:rsidRPr="00000000">
              <w:rPr>
                <w:rtl w:val="0"/>
              </w:rPr>
              <w:t xml:space="preserve">Outlier Detection &amp; Five-Number Summary</w:t>
            </w:r>
          </w:p>
        </w:tc>
        <w:tc>
          <w:tcPr/>
          <w:p w:rsidR="00000000" w:rsidDel="00000000" w:rsidP="00000000" w:rsidRDefault="00000000" w:rsidRPr="00000000" w14:paraId="00000020">
            <w:pPr>
              <w:rPr/>
            </w:pPr>
            <w:r w:rsidDel="00000000" w:rsidR="00000000" w:rsidRPr="00000000">
              <w:rPr>
                <w:rtl w:val="0"/>
              </w:rPr>
              <w:t xml:space="preserve">Box Plot / Violin Plot</w:t>
            </w:r>
          </w:p>
        </w:tc>
        <w:tc>
          <w:tcPr/>
          <w:p w:rsidR="00000000" w:rsidDel="00000000" w:rsidP="00000000" w:rsidRDefault="00000000" w:rsidRPr="00000000" w14:paraId="00000021">
            <w:pPr>
              <w:rPr/>
            </w:pPr>
            <w:r w:rsidDel="00000000" w:rsidR="00000000" w:rsidRPr="00000000">
              <w:rPr>
                <w:rFonts w:ascii="Roboto Mono" w:cs="Roboto Mono" w:eastAsia="Roboto Mono" w:hAnsi="Roboto Mono"/>
                <w:color w:val="188038"/>
                <w:rtl w:val="0"/>
              </w:rPr>
              <w:t xml:space="preserve">seaborn.boxplot</w:t>
            </w:r>
            <w:r w:rsidDel="00000000" w:rsidR="00000000" w:rsidRPr="00000000">
              <w:rPr>
                <w:rtl w:val="0"/>
              </w:rPr>
            </w:r>
          </w:p>
        </w:tc>
        <w:tc>
          <w:tcPr/>
          <w:p w:rsidR="00000000" w:rsidDel="00000000" w:rsidP="00000000" w:rsidRDefault="00000000" w:rsidRPr="00000000" w14:paraId="00000022">
            <w:pPr>
              <w:rPr/>
            </w:pPr>
            <w:r w:rsidDel="00000000" w:rsidR="00000000" w:rsidRPr="00000000">
              <w:rPr>
                <w:rtl w:val="0"/>
              </w:rPr>
              <w:t xml:space="preserve">Highlights median, interquartile boundaries, and extreme outliers beyond 1.5 * IQR.</w:t>
            </w:r>
          </w:p>
        </w:tc>
      </w:tr>
      <w:tr>
        <w:trPr>
          <w:cantSplit w:val="0"/>
          <w:tblHeader w:val="0"/>
        </w:trPr>
        <w:tc>
          <w:tcPr/>
          <w:p w:rsidR="00000000" w:rsidDel="00000000" w:rsidP="00000000" w:rsidRDefault="00000000" w:rsidRPr="00000000" w14:paraId="00000023">
            <w:pPr>
              <w:rPr/>
            </w:pPr>
            <w:r w:rsidDel="00000000" w:rsidR="00000000" w:rsidRPr="00000000">
              <w:rPr>
                <w:rtl w:val="0"/>
              </w:rPr>
              <w:t xml:space="preserve">Categorical Frequencies &amp; Imbalance</w:t>
            </w:r>
          </w:p>
        </w:tc>
        <w:tc>
          <w:tcPr/>
          <w:p w:rsidR="00000000" w:rsidDel="00000000" w:rsidP="00000000" w:rsidRDefault="00000000" w:rsidRPr="00000000" w14:paraId="00000024">
            <w:pPr>
              <w:rPr/>
            </w:pPr>
            <w:r w:rsidDel="00000000" w:rsidR="00000000" w:rsidRPr="00000000">
              <w:rPr>
                <w:rtl w:val="0"/>
              </w:rPr>
              <w:t xml:space="preserve">Horizontal Bar Plot</w:t>
            </w:r>
          </w:p>
        </w:tc>
        <w:tc>
          <w:tcPr/>
          <w:p w:rsidR="00000000" w:rsidDel="00000000" w:rsidP="00000000" w:rsidRDefault="00000000" w:rsidRPr="00000000" w14:paraId="00000025">
            <w:pPr>
              <w:rPr/>
            </w:pPr>
            <w:r w:rsidDel="00000000" w:rsidR="00000000" w:rsidRPr="00000000">
              <w:rPr>
                <w:rFonts w:ascii="Roboto Mono" w:cs="Roboto Mono" w:eastAsia="Roboto Mono" w:hAnsi="Roboto Mono"/>
                <w:color w:val="188038"/>
                <w:rtl w:val="0"/>
              </w:rPr>
              <w:t xml:space="preserve">seaborn.countplot</w:t>
            </w:r>
            <w:r w:rsidDel="00000000" w:rsidR="00000000" w:rsidRPr="00000000">
              <w:rPr>
                <w:rtl w:val="0"/>
              </w:rPr>
            </w:r>
          </w:p>
        </w:tc>
        <w:tc>
          <w:tcPr/>
          <w:p w:rsidR="00000000" w:rsidDel="00000000" w:rsidP="00000000" w:rsidRDefault="00000000" w:rsidRPr="00000000" w14:paraId="00000026">
            <w:pPr>
              <w:rPr/>
            </w:pPr>
            <w:r w:rsidDel="00000000" w:rsidR="00000000" w:rsidRPr="00000000">
              <w:rPr>
                <w:rtl w:val="0"/>
              </w:rPr>
              <w:t xml:space="preserve">Assesses class distributions and representation without truncated category labels.</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Bivariate Continuous Relationships</w:t>
            </w:r>
          </w:p>
        </w:tc>
        <w:tc>
          <w:tcPr/>
          <w:p w:rsidR="00000000" w:rsidDel="00000000" w:rsidP="00000000" w:rsidRDefault="00000000" w:rsidRPr="00000000" w14:paraId="00000028">
            <w:pPr>
              <w:rPr/>
            </w:pPr>
            <w:r w:rsidDel="00000000" w:rsidR="00000000" w:rsidRPr="00000000">
              <w:rPr>
                <w:rtl w:val="0"/>
              </w:rPr>
              <w:t xml:space="preserve">Scatter Plot + OLS Trendline</w:t>
            </w:r>
          </w:p>
        </w:tc>
        <w:tc>
          <w:tcPr/>
          <w:p w:rsidR="00000000" w:rsidDel="00000000" w:rsidP="00000000" w:rsidRDefault="00000000" w:rsidRPr="00000000" w14:paraId="00000029">
            <w:pPr>
              <w:rPr/>
            </w:pPr>
            <w:r w:rsidDel="00000000" w:rsidR="00000000" w:rsidRPr="00000000">
              <w:rPr>
                <w:rFonts w:ascii="Roboto Mono" w:cs="Roboto Mono" w:eastAsia="Roboto Mono" w:hAnsi="Roboto Mono"/>
                <w:color w:val="188038"/>
                <w:rtl w:val="0"/>
              </w:rPr>
              <w:t xml:space="preserve">seaborn.regplot</w:t>
            </w:r>
            <w:r w:rsidDel="00000000" w:rsidR="00000000" w:rsidRPr="00000000">
              <w:rPr>
                <w:rtl w:val="0"/>
              </w:rPr>
            </w:r>
          </w:p>
        </w:tc>
        <w:tc>
          <w:tcPr/>
          <w:p w:rsidR="00000000" w:rsidDel="00000000" w:rsidP="00000000" w:rsidRDefault="00000000" w:rsidRPr="00000000" w14:paraId="0000002A">
            <w:pPr>
              <w:rPr/>
            </w:pPr>
            <w:r w:rsidDel="00000000" w:rsidR="00000000" w:rsidRPr="00000000">
              <w:rPr>
                <w:rtl w:val="0"/>
              </w:rPr>
              <w:t xml:space="preserve">Identifies linear/non-linear dependencies, homoscedasticity, and clustering patterns.</w:t>
            </w:r>
          </w:p>
        </w:tc>
      </w:tr>
      <w:tr>
        <w:trPr>
          <w:cantSplit w:val="0"/>
          <w:tblHeader w:val="0"/>
        </w:trPr>
        <w:tc>
          <w:tcPr/>
          <w:p w:rsidR="00000000" w:rsidDel="00000000" w:rsidP="00000000" w:rsidRDefault="00000000" w:rsidRPr="00000000" w14:paraId="0000002B">
            <w:pPr>
              <w:rPr/>
            </w:pPr>
            <w:r w:rsidDel="00000000" w:rsidR="00000000" w:rsidRPr="00000000">
              <w:rPr>
                <w:rtl w:val="0"/>
              </w:rPr>
              <w:t xml:space="preserve">Categorical vs. Continuous Comparisons</w:t>
            </w:r>
          </w:p>
        </w:tc>
        <w:tc>
          <w:tcPr/>
          <w:p w:rsidR="00000000" w:rsidDel="00000000" w:rsidP="00000000" w:rsidRDefault="00000000" w:rsidRPr="00000000" w14:paraId="0000002C">
            <w:pPr>
              <w:rPr/>
            </w:pPr>
            <w:r w:rsidDel="00000000" w:rsidR="00000000" w:rsidRPr="00000000">
              <w:rPr>
                <w:rtl w:val="0"/>
              </w:rPr>
              <w:t xml:space="preserve">Grouped Box Plot</w:t>
            </w:r>
          </w:p>
        </w:tc>
        <w:tc>
          <w:tcPr/>
          <w:p w:rsidR="00000000" w:rsidDel="00000000" w:rsidP="00000000" w:rsidRDefault="00000000" w:rsidRPr="00000000" w14:paraId="0000002D">
            <w:pPr>
              <w:rPr/>
            </w:pPr>
            <w:r w:rsidDel="00000000" w:rsidR="00000000" w:rsidRPr="00000000">
              <w:rPr>
                <w:rFonts w:ascii="Roboto Mono" w:cs="Roboto Mono" w:eastAsia="Roboto Mono" w:hAnsi="Roboto Mono"/>
                <w:color w:val="188038"/>
                <w:rtl w:val="0"/>
              </w:rPr>
              <w:t xml:space="preserve">seaborn.catplot</w:t>
            </w:r>
            <w:r w:rsidDel="00000000" w:rsidR="00000000" w:rsidRPr="00000000">
              <w:rPr>
                <w:rtl w:val="0"/>
              </w:rPr>
            </w:r>
          </w:p>
        </w:tc>
        <w:tc>
          <w:tcPr/>
          <w:p w:rsidR="00000000" w:rsidDel="00000000" w:rsidP="00000000" w:rsidRDefault="00000000" w:rsidRPr="00000000" w14:paraId="0000002E">
            <w:pPr>
              <w:rPr/>
            </w:pPr>
            <w:r w:rsidDel="00000000" w:rsidR="00000000" w:rsidRPr="00000000">
              <w:rPr>
                <w:rtl w:val="0"/>
              </w:rPr>
              <w:t xml:space="preserve">Compares central tendencies and dispersion metrics across sub-populations.</w:t>
            </w:r>
          </w:p>
        </w:tc>
      </w:tr>
      <w:tr>
        <w:trPr>
          <w:cantSplit w:val="0"/>
          <w:tblHeader w:val="0"/>
        </w:trPr>
        <w:tc>
          <w:tcPr/>
          <w:p w:rsidR="00000000" w:rsidDel="00000000" w:rsidP="00000000" w:rsidRDefault="00000000" w:rsidRPr="00000000" w14:paraId="0000002F">
            <w:pPr>
              <w:rPr/>
            </w:pPr>
            <w:r w:rsidDel="00000000" w:rsidR="00000000" w:rsidRPr="00000000">
              <w:rPr>
                <w:rtl w:val="0"/>
              </w:rPr>
              <w:t xml:space="preserve">Multicollinearity Screening</w:t>
            </w:r>
          </w:p>
        </w:tc>
        <w:tc>
          <w:tcPr/>
          <w:p w:rsidR="00000000" w:rsidDel="00000000" w:rsidP="00000000" w:rsidRDefault="00000000" w:rsidRPr="00000000" w14:paraId="00000030">
            <w:pPr>
              <w:rPr/>
            </w:pPr>
            <w:r w:rsidDel="00000000" w:rsidR="00000000" w:rsidRPr="00000000">
              <w:rPr>
                <w:rtl w:val="0"/>
              </w:rPr>
              <w:t xml:space="preserve">Annotated Heatmap</w:t>
            </w:r>
          </w:p>
        </w:tc>
        <w:tc>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seaborn.heatmap</w:t>
            </w:r>
            <w:r w:rsidDel="00000000" w:rsidR="00000000" w:rsidRPr="00000000">
              <w:rPr>
                <w:rtl w:val="0"/>
              </w:rPr>
            </w:r>
          </w:p>
        </w:tc>
        <w:tc>
          <w:tcPr/>
          <w:p w:rsidR="00000000" w:rsidDel="00000000" w:rsidP="00000000" w:rsidRDefault="00000000" w:rsidRPr="00000000" w14:paraId="00000032">
            <w:pPr>
              <w:rPr/>
            </w:pPr>
            <w:r w:rsidDel="00000000" w:rsidR="00000000" w:rsidRPr="00000000">
              <w:rPr>
                <w:rtl w:val="0"/>
              </w:rPr>
              <w:t xml:space="preserve">Evaluates Pearson/Spearman correlation coefficients to flag redundant features.</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Temporal Trends &amp; Seasonality</w:t>
            </w:r>
          </w:p>
        </w:tc>
        <w:tc>
          <w:tcPr/>
          <w:p w:rsidR="00000000" w:rsidDel="00000000" w:rsidP="00000000" w:rsidRDefault="00000000" w:rsidRPr="00000000" w14:paraId="00000034">
            <w:pPr>
              <w:rPr/>
            </w:pPr>
            <w:r w:rsidDel="00000000" w:rsidR="00000000" w:rsidRPr="00000000">
              <w:rPr>
                <w:rtl w:val="0"/>
              </w:rPr>
              <w:t xml:space="preserve">Line Chart with Confidence Bands</w:t>
            </w:r>
          </w:p>
        </w:tc>
        <w:tc>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seaborn.lineplot</w:t>
            </w:r>
            <w:r w:rsidDel="00000000" w:rsidR="00000000" w:rsidRPr="00000000">
              <w:rPr>
                <w:rtl w:val="0"/>
              </w:rPr>
            </w:r>
          </w:p>
        </w:tc>
        <w:tc>
          <w:tcPr/>
          <w:p w:rsidR="00000000" w:rsidDel="00000000" w:rsidP="00000000" w:rsidRDefault="00000000" w:rsidRPr="00000000" w14:paraId="00000036">
            <w:pPr>
              <w:rPr/>
            </w:pPr>
            <w:r w:rsidDel="00000000" w:rsidR="00000000" w:rsidRPr="00000000">
              <w:rPr>
                <w:rtl w:val="0"/>
              </w:rPr>
              <w:t xml:space="preserve">Uncovers seasonality, recurring cycles, and moving average trajectories.</w:t>
            </w:r>
          </w:p>
        </w:tc>
      </w:tr>
    </w:tbl>
    <w:p w:rsidR="00000000" w:rsidDel="00000000" w:rsidP="00000000" w:rsidRDefault="00000000" w:rsidRPr="00000000" w14:paraId="00000037">
      <w:pPr>
        <w:pStyle w:val="Heading1"/>
        <w:rPr/>
      </w:pPr>
      <w:bookmarkStart w:colFirst="0" w:colLast="0" w:name="_3lo8bj3ts99r" w:id="8"/>
      <w:bookmarkEnd w:id="8"/>
      <w:r w:rsidDel="00000000" w:rsidR="00000000" w:rsidRPr="00000000">
        <w:rPr>
          <w:rtl w:val="0"/>
        </w:rPr>
        <w:t xml:space="preserve">4. Visual Design, Aesthetics &amp; Interactivity Framework</w:t>
      </w:r>
    </w:p>
    <w:p w:rsidR="00000000" w:rsidDel="00000000" w:rsidP="00000000" w:rsidRDefault="00000000" w:rsidRPr="00000000" w14:paraId="00000038">
      <w:pPr>
        <w:rPr/>
      </w:pPr>
      <w:r w:rsidDel="00000000" w:rsidR="00000000" w:rsidRPr="00000000">
        <w:rPr>
          <w:rtl w:val="0"/>
        </w:rPr>
        <w:t xml:space="preserve">To ensure maximum clarity, interpretability, and compliance with data visualization standards:</w:t>
      </w:r>
    </w:p>
    <w:p w:rsidR="00000000" w:rsidDel="00000000" w:rsidP="00000000" w:rsidRDefault="00000000" w:rsidRPr="00000000" w14:paraId="00000039">
      <w:pPr>
        <w:pStyle w:val="Heading2"/>
        <w:rPr/>
      </w:pPr>
      <w:bookmarkStart w:colFirst="0" w:colLast="0" w:name="_ln5cymm0jw29" w:id="9"/>
      <w:bookmarkEnd w:id="9"/>
      <w:r w:rsidDel="00000000" w:rsidR="00000000" w:rsidRPr="00000000">
        <w:rPr>
          <w:rtl w:val="0"/>
        </w:rPr>
        <w:t xml:space="preserve">Color Palette Strategy</w:t>
      </w:r>
    </w:p>
    <w:p w:rsidR="00000000" w:rsidDel="00000000" w:rsidP="00000000" w:rsidRDefault="00000000" w:rsidRPr="00000000" w14:paraId="0000003A">
      <w:pPr>
        <w:numPr>
          <w:ilvl w:val="0"/>
          <w:numId w:val="2"/>
        </w:numPr>
        <w:ind w:left="720" w:hanging="360"/>
      </w:pPr>
      <w:r w:rsidDel="00000000" w:rsidR="00000000" w:rsidRPr="00000000">
        <w:rPr>
          <w:b w:val="1"/>
          <w:bCs w:val="1"/>
          <w:rtl w:val="0"/>
        </w:rPr>
        <w:t xml:space="preserve">Sequential Palettes</w:t>
      </w:r>
      <w:r w:rsidDel="00000000" w:rsidR="00000000" w:rsidRPr="00000000">
        <w:rPr>
          <w:rtl w:val="0"/>
        </w:rPr>
        <w:t xml:space="preserve"> (e.g., viridis, Blues): Used for ordered, numeric scales.</w:t>
      </w:r>
    </w:p>
    <w:p w:rsidR="00000000" w:rsidDel="00000000" w:rsidP="00000000" w:rsidRDefault="00000000" w:rsidRPr="00000000" w14:paraId="0000003B">
      <w:pPr>
        <w:numPr>
          <w:ilvl w:val="0"/>
          <w:numId w:val="2"/>
        </w:numPr>
        <w:ind w:left="720" w:hanging="360"/>
      </w:pPr>
      <w:r w:rsidDel="00000000" w:rsidR="00000000" w:rsidRPr="00000000">
        <w:rPr>
          <w:b w:val="1"/>
          <w:bCs w:val="1"/>
          <w:rtl w:val="0"/>
        </w:rPr>
        <w:t xml:space="preserve">Diverging Palettes</w:t>
      </w:r>
      <w:r w:rsidDel="00000000" w:rsidR="00000000" w:rsidRPr="00000000">
        <w:rPr>
          <w:rtl w:val="0"/>
        </w:rPr>
        <w:t xml:space="preserve"> (e.g., coolwarm, vlag): Used for zero-centered metrics like correlation matrices (-1 to +1).</w:t>
      </w:r>
    </w:p>
    <w:p w:rsidR="00000000" w:rsidDel="00000000" w:rsidP="00000000" w:rsidRDefault="00000000" w:rsidRPr="00000000" w14:paraId="0000003C">
      <w:pPr>
        <w:numPr>
          <w:ilvl w:val="0"/>
          <w:numId w:val="2"/>
        </w:numPr>
        <w:ind w:left="720" w:hanging="360"/>
      </w:pPr>
      <w:r w:rsidDel="00000000" w:rsidR="00000000" w:rsidRPr="00000000">
        <w:rPr>
          <w:b w:val="1"/>
          <w:bCs w:val="1"/>
          <w:rtl w:val="0"/>
        </w:rPr>
        <w:t xml:space="preserve">Qualitative Palettes</w:t>
      </w:r>
      <w:r w:rsidDel="00000000" w:rsidR="00000000" w:rsidRPr="00000000">
        <w:rPr>
          <w:rtl w:val="0"/>
        </w:rPr>
        <w:t xml:space="preserve"> (e.g., Set2, tab10): Restricted to categorical variables to avoid implying false order.</w:t>
      </w:r>
    </w:p>
    <w:p w:rsidR="00000000" w:rsidDel="00000000" w:rsidP="00000000" w:rsidRDefault="00000000" w:rsidRPr="00000000" w14:paraId="0000003D">
      <w:pPr>
        <w:pStyle w:val="Heading2"/>
        <w:rPr/>
      </w:pPr>
      <w:bookmarkStart w:colFirst="0" w:colLast="0" w:name="_atq5jq325jco" w:id="10"/>
      <w:bookmarkEnd w:id="10"/>
      <w:r w:rsidDel="00000000" w:rsidR="00000000" w:rsidRPr="00000000">
        <w:rPr>
          <w:rtl w:val="0"/>
        </w:rPr>
        <w:t xml:space="preserve">Accessibility &amp; Cognitive Load</w:t>
      </w:r>
    </w:p>
    <w:p w:rsidR="00000000" w:rsidDel="00000000" w:rsidP="00000000" w:rsidRDefault="00000000" w:rsidRPr="00000000" w14:paraId="0000003E">
      <w:pPr>
        <w:rPr/>
      </w:pPr>
      <w:r w:rsidDel="00000000" w:rsidR="00000000" w:rsidRPr="00000000">
        <w:rPr>
          <w:rtl w:val="0"/>
        </w:rPr>
        <w:t xml:space="preserve">WCAG-compliant high-contrast styling is prioritized, strictly avoiding red-green dependencies for color-blind accessibility. Contextual axis labels include exact measurement units (e.g., "Revenue (USD)" instead of raw column codes). Design adheres to Edward Tufte's data-to-ink ratio with subtle background grid lines (alpha=0.3) and no distracting 3D elements.</w:t>
      </w:r>
    </w:p>
    <w:p w:rsidR="00000000" w:rsidDel="00000000" w:rsidP="00000000" w:rsidRDefault="00000000" w:rsidRPr="00000000" w14:paraId="0000003F">
      <w:pPr>
        <w:pStyle w:val="Heading2"/>
        <w:rPr/>
      </w:pPr>
      <w:bookmarkStart w:colFirst="0" w:colLast="0" w:name="_tmcgqgg2q3q0" w:id="11"/>
      <w:bookmarkEnd w:id="11"/>
      <w:r w:rsidDel="00000000" w:rsidR="00000000" w:rsidRPr="00000000">
        <w:rPr>
          <w:rtl w:val="0"/>
        </w:rPr>
        <w:t xml:space="preserve">Interactivity Protocol</w:t>
      </w:r>
    </w:p>
    <w:p w:rsidR="00000000" w:rsidDel="00000000" w:rsidP="00000000" w:rsidRDefault="00000000" w:rsidRPr="00000000" w14:paraId="00000040">
      <w:pPr>
        <w:rPr/>
      </w:pPr>
      <w:r w:rsidDel="00000000" w:rsidR="00000000" w:rsidRPr="00000000">
        <w:rPr>
          <w:rtl w:val="0"/>
        </w:rPr>
        <w:t xml:space="preserve">Matplotlib and Seaborn are utilized for publication-quality, static report figures. Interactive exploration using Plotly Express (plotly.express) is incorporated where dynamic zoom, multi-dimensional filtering, and hover tooltips provide deeper analytical value.</w:t>
      </w:r>
    </w:p>
    <w:p w:rsidR="00000000" w:rsidDel="00000000" w:rsidP="00000000" w:rsidRDefault="00000000" w:rsidRPr="00000000" w14:paraId="00000041">
      <w:pPr>
        <w:pStyle w:val="Heading1"/>
        <w:rPr/>
      </w:pPr>
      <w:bookmarkStart w:colFirst="0" w:colLast="0" w:name="_ji9hpiucq8qx" w:id="12"/>
      <w:bookmarkEnd w:id="12"/>
      <w:r w:rsidDel="00000000" w:rsidR="00000000" w:rsidRPr="00000000">
        <w:rPr>
          <w:rtl w:val="0"/>
        </w:rPr>
        <w:t xml:space="preserve">5. Modular Python Code Architecture</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Block 1: Environment Initialization &amp; Configuration</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import matplotlib.pyplot as plt</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import numpy as np</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import pandas as pd</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import seaborn as sns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sns.set_theme(style="ticks", palette="muted")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plt.rcParams["figure.figsize"] = (10, 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plt.rcParams["axes.titlesize"] = 14</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plt.rcParams["axes.labelsize"] = 12</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Block 2: Data Ingestion &amp; Statistical Audit</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df = pd.read_csv("dataset.csv")</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print("Dataset Dimensions:", df.shape)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print("\n--- Schema &amp; Missing Counts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df.info()</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print("\n--- Extended Five-Number Summary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summary_stats = df.describe(percentiles=[0.05, 0.25, 0.50, 0.75, 0.95]).T</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summary_stats["IQR"] = summary_stats["75%"] - summary_stats["25%"]</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summary_stats["Skewness"] = df.skew(numeric_only=True)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print(summary_stats[["mean", "std", "50%", "IQR", "Skewness"]])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 Block 3: Automated Univariate &amp; Outlier Plots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num_cols = df.select_dtypes(include=[np.number]).columns</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fig, axes = plt.subplots(len(num_cols), 2, figsize=(14, 4 * len(num_cols)))</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for i, col in enumerate(num_cols):</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sns.histplot(df[col], kde=True, ax=axes[i, 0], color="#2b5c8f")</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axes[i, 0].set_title(f"Distribution: {col}")</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sns.boxplot(x=df[col], ax=axes[i, 1], color="#e07a5f")</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axes[i, 1].set_title(f"Outlier Spread: {col}")</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plt.tight_layout()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plt.savefig("univariate_analysis.png", dpi=300)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plt.close()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 Block 4: Multivariate Correlation Heatmap</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plt.figure(figsize=(10, 8))</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t xml:space="preserve">corr_matrix = df.corr(numeric_only=True)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mask = np.triu(np.ones_like(corr_matrix, dtype=bool))</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sns.heatmap(</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    corr_matrix,</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mask=mask,</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    annot=True,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    fmt=".2f",</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cmap="coolwarm",</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vmin=-1,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    vmax=1,</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linewidths=0.5,</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    cbar_kws={"label": "Pearson Correlation Coefficient"}</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plt.title("Feature Multicollinearity Matrix")</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plt.tight_layout()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plt.savefig("correlation_heatmap.png", dpi=300)</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plt.close()</w:t>
      </w:r>
    </w:p>
    <w:p w:rsidR="00000000" w:rsidDel="00000000" w:rsidP="00000000" w:rsidRDefault="00000000" w:rsidRPr="00000000" w14:paraId="000000B3">
      <w:pPr>
        <w:pStyle w:val="Heading1"/>
        <w:rPr/>
      </w:pPr>
      <w:bookmarkStart w:colFirst="0" w:colLast="0" w:name="_3555tdskypg3" w:id="13"/>
      <w:bookmarkEnd w:id="13"/>
      <w:r w:rsidDel="00000000" w:rsidR="00000000" w:rsidRPr="00000000">
        <w:rPr>
          <w:rtl w:val="0"/>
        </w:rPr>
        <w:t xml:space="preserve">6. Mock Analysis Plan: Anticipated Findings &amp; Strategic Hypotheses</w:t>
      </w:r>
    </w:p>
    <w:tbl>
      <w:tblPr>
        <w:tblStyle w:val="Table2"/>
        <w:tblW w:w="10500.0" w:type="dxa"/>
        <w:jc w:val="left"/>
        <w:tblBorders>
          <w:top w:color="e2e8f0" w:space="0" w:sz="8" w:val="single"/>
          <w:left w:color="000000" w:space="0" w:sz="0" w:val="nil"/>
          <w:bottom w:color="e2e8f0" w:space="0" w:sz="8" w:val="single"/>
          <w:right w:color="000000" w:space="0" w:sz="0" w:val="nil"/>
          <w:insideH w:color="f1f5f9" w:space="0" w:sz="8" w:val="single"/>
          <w:insideV w:color="000000" w:space="0" w:sz="0" w:val="nil"/>
        </w:tblBorders>
        <w:tblLayout w:type="fixed"/>
        <w:tblLook w:val="062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0B4">
            <w:pPr>
              <w:rPr/>
            </w:pPr>
            <w:r w:rsidDel="00000000" w:rsidR="00000000" w:rsidRPr="00000000">
              <w:rPr>
                <w:rtl w:val="0"/>
              </w:rPr>
              <w:t xml:space="preserve">Observation</w:t>
            </w:r>
          </w:p>
        </w:tc>
        <w:tc>
          <w:tcPr/>
          <w:p w:rsidR="00000000" w:rsidDel="00000000" w:rsidP="00000000" w:rsidRDefault="00000000" w:rsidRPr="00000000" w14:paraId="000000B5">
            <w:pPr>
              <w:rPr/>
            </w:pPr>
            <w:r w:rsidDel="00000000" w:rsidR="00000000" w:rsidRPr="00000000">
              <w:rPr>
                <w:rtl w:val="0"/>
              </w:rPr>
              <w:t xml:space="preserve">Analytical Diagnosis</w:t>
            </w:r>
          </w:p>
        </w:tc>
        <w:tc>
          <w:tcPr/>
          <w:p w:rsidR="00000000" w:rsidDel="00000000" w:rsidP="00000000" w:rsidRDefault="00000000" w:rsidRPr="00000000" w14:paraId="000000B6">
            <w:pPr>
              <w:rPr/>
            </w:pPr>
            <w:r w:rsidDel="00000000" w:rsidR="00000000" w:rsidRPr="00000000">
              <w:rPr>
                <w:rtl w:val="0"/>
              </w:rPr>
              <w:t xml:space="preserve">Hypothesis / Action Plan</w:t>
            </w:r>
          </w:p>
        </w:tc>
      </w:tr>
      <w:tr>
        <w:trPr>
          <w:cantSplit w:val="0"/>
          <w:tblHeader w:val="0"/>
        </w:trPr>
        <w:tc>
          <w:tcPr/>
          <w:p w:rsidR="00000000" w:rsidDel="00000000" w:rsidP="00000000" w:rsidRDefault="00000000" w:rsidRPr="00000000" w14:paraId="000000B7">
            <w:pPr>
              <w:rPr/>
            </w:pPr>
            <w:r w:rsidDel="00000000" w:rsidR="00000000" w:rsidRPr="00000000">
              <w:rPr>
                <w:b w:val="1"/>
                <w:bCs w:val="1"/>
                <w:rtl w:val="0"/>
              </w:rPr>
              <w:t xml:space="preserve">High Positive Skewness</w:t>
            </w:r>
            <w:r w:rsidDel="00000000" w:rsidR="00000000" w:rsidRPr="00000000">
              <w:rPr>
                <w:rtl w:val="0"/>
              </w:rPr>
              <w:t xml:space="preserve"> in Target Variable (Skew &gt; 1.5)</w:t>
            </w:r>
          </w:p>
        </w:tc>
        <w:tc>
          <w:tcPr/>
          <w:p w:rsidR="00000000" w:rsidDel="00000000" w:rsidP="00000000" w:rsidRDefault="00000000" w:rsidRPr="00000000" w14:paraId="000000B8">
            <w:pPr>
              <w:rPr/>
            </w:pPr>
            <w:r w:rsidDel="00000000" w:rsidR="00000000" w:rsidRPr="00000000">
              <w:rPr>
                <w:rtl w:val="0"/>
              </w:rPr>
              <w:t xml:space="preserve">Heavy right tail typical of revenue/transaction volume data.</w:t>
            </w:r>
          </w:p>
        </w:tc>
        <w:tc>
          <w:tcPr/>
          <w:p w:rsidR="00000000" w:rsidDel="00000000" w:rsidP="00000000" w:rsidRDefault="00000000" w:rsidRPr="00000000" w14:paraId="000000B9">
            <w:pPr>
              <w:rPr/>
            </w:pPr>
            <w:r w:rsidDel="00000000" w:rsidR="00000000" w:rsidRPr="00000000">
              <w:rPr>
                <w:rtl w:val="0"/>
              </w:rPr>
              <w:t xml:space="preserve">Apply logarithmic or Box-Cox transformation to satisfy linear model assumptions.</w:t>
            </w:r>
          </w:p>
        </w:tc>
      </w:tr>
      <w:tr>
        <w:trPr>
          <w:cantSplit w:val="0"/>
          <w:tblHeader w:val="0"/>
        </w:trPr>
        <w:tc>
          <w:tcPr/>
          <w:p w:rsidR="00000000" w:rsidDel="00000000" w:rsidP="00000000" w:rsidRDefault="00000000" w:rsidRPr="00000000" w14:paraId="000000BA">
            <w:pPr>
              <w:rPr/>
            </w:pPr>
            <w:r w:rsidDel="00000000" w:rsidR="00000000" w:rsidRPr="00000000">
              <w:rPr>
                <w:b w:val="1"/>
                <w:bCs w:val="1"/>
                <w:rtl w:val="0"/>
              </w:rPr>
              <w:t xml:space="preserve">Severe Predictor Outliers</w:t>
            </w:r>
            <w:r w:rsidDel="00000000" w:rsidR="00000000" w:rsidRPr="00000000">
              <w:rPr>
                <w:rtl w:val="0"/>
              </w:rPr>
              <w:t xml:space="preserve"> (&gt; 3 * IQR)</w:t>
            </w:r>
          </w:p>
        </w:tc>
        <w:tc>
          <w:tcPr/>
          <w:p w:rsidR="00000000" w:rsidDel="00000000" w:rsidP="00000000" w:rsidRDefault="00000000" w:rsidRPr="00000000" w14:paraId="000000BB">
            <w:pPr>
              <w:rPr/>
            </w:pPr>
            <w:r w:rsidDel="00000000" w:rsidR="00000000" w:rsidRPr="00000000">
              <w:rPr>
                <w:rtl w:val="0"/>
              </w:rPr>
              <w:t xml:space="preserve">Rare extreme operational events or transactional logging discrepancies.</w:t>
            </w:r>
          </w:p>
        </w:tc>
        <w:tc>
          <w:tcPr/>
          <w:p w:rsidR="00000000" w:rsidDel="00000000" w:rsidP="00000000" w:rsidRDefault="00000000" w:rsidRPr="00000000" w14:paraId="000000BC">
            <w:pPr>
              <w:rPr/>
            </w:pPr>
            <w:r w:rsidDel="00000000" w:rsidR="00000000" w:rsidRPr="00000000">
              <w:rPr>
                <w:rtl w:val="0"/>
              </w:rPr>
              <w:t xml:space="preserve">Validate source integrity; apply RobustScaler or tree-based algorithms invariant to extreme values.</w:t>
            </w:r>
          </w:p>
        </w:tc>
      </w:tr>
      <w:tr>
        <w:trPr>
          <w:cantSplit w:val="0"/>
          <w:tblHeader w:val="0"/>
        </w:trPr>
        <w:tc>
          <w:tcPr/>
          <w:p w:rsidR="00000000" w:rsidDel="00000000" w:rsidP="00000000" w:rsidRDefault="00000000" w:rsidRPr="00000000" w14:paraId="000000BD">
            <w:pPr>
              <w:rPr/>
            </w:pPr>
            <w:r w:rsidDel="00000000" w:rsidR="00000000" w:rsidRPr="00000000">
              <w:rPr>
                <w:b w:val="1"/>
                <w:bCs w:val="1"/>
                <w:rtl w:val="0"/>
              </w:rPr>
              <w:t xml:space="preserve">Strong Collinearity</w:t>
            </w:r>
            <w:r w:rsidDel="00000000" w:rsidR="00000000" w:rsidRPr="00000000">
              <w:rPr>
                <w:rtl w:val="0"/>
              </w:rPr>
              <w:t xml:space="preserve"> Between Features (r &gt; 0.85)</w:t>
            </w:r>
          </w:p>
        </w:tc>
        <w:tc>
          <w:tcPr/>
          <w:p w:rsidR="00000000" w:rsidDel="00000000" w:rsidP="00000000" w:rsidRDefault="00000000" w:rsidRPr="00000000" w14:paraId="000000BE">
            <w:pPr>
              <w:rPr/>
            </w:pPr>
            <w:r w:rsidDel="00000000" w:rsidR="00000000" w:rsidRPr="00000000">
              <w:rPr>
                <w:rtl w:val="0"/>
              </w:rPr>
              <w:t xml:space="preserve">Redundant information sharing across correlated input variables.</w:t>
            </w:r>
          </w:p>
        </w:tc>
        <w:tc>
          <w:tcPr/>
          <w:p w:rsidR="00000000" w:rsidDel="00000000" w:rsidP="00000000" w:rsidRDefault="00000000" w:rsidRPr="00000000" w14:paraId="000000BF">
            <w:pPr>
              <w:rPr/>
            </w:pPr>
            <w:r w:rsidDel="00000000" w:rsidR="00000000" w:rsidRPr="00000000">
              <w:rPr>
                <w:rtl w:val="0"/>
              </w:rPr>
              <w:t xml:space="preserve">Mitigate variance inflation by eliminating one feature or performing Dimensionality Reduction (PCA).</w:t>
            </w:r>
          </w:p>
        </w:tc>
      </w:tr>
      <w:tr>
        <w:trPr>
          <w:cantSplit w:val="0"/>
          <w:tblHeader w:val="0"/>
        </w:trPr>
        <w:tc>
          <w:tcPr/>
          <w:p w:rsidR="00000000" w:rsidDel="00000000" w:rsidP="00000000" w:rsidRDefault="00000000" w:rsidRPr="00000000" w14:paraId="000000C0">
            <w:pPr>
              <w:rPr/>
            </w:pPr>
            <w:r w:rsidDel="00000000" w:rsidR="00000000" w:rsidRPr="00000000">
              <w:rPr>
                <w:b w:val="1"/>
                <w:bCs w:val="1"/>
                <w:rtl w:val="0"/>
              </w:rPr>
              <w:t xml:space="preserve">Multi-Modal Distribution</w:t>
            </w:r>
            <w:r w:rsidDel="00000000" w:rsidR="00000000" w:rsidRPr="00000000">
              <w:rPr>
                <w:rtl w:val="0"/>
              </w:rPr>
              <w:t xml:space="preserve"> Across Categories</w:t>
            </w:r>
          </w:p>
        </w:tc>
        <w:tc>
          <w:tcPr/>
          <w:p w:rsidR="00000000" w:rsidDel="00000000" w:rsidP="00000000" w:rsidRDefault="00000000" w:rsidRPr="00000000" w14:paraId="000000C1">
            <w:pPr>
              <w:rPr/>
            </w:pPr>
            <w:r w:rsidDel="00000000" w:rsidR="00000000" w:rsidRPr="00000000">
              <w:rPr>
                <w:rtl w:val="0"/>
              </w:rPr>
              <w:t xml:space="preserve">Target behavior clusters distinctly by customer tier or geographical branch.</w:t>
            </w:r>
          </w:p>
        </w:tc>
        <w:tc>
          <w:tcPr/>
          <w:p w:rsidR="00000000" w:rsidDel="00000000" w:rsidP="00000000" w:rsidRDefault="00000000" w:rsidRPr="00000000" w14:paraId="000000C2">
            <w:pPr>
              <w:rPr/>
            </w:pPr>
            <w:r w:rsidDel="00000000" w:rsidR="00000000" w:rsidRPr="00000000">
              <w:rPr>
                <w:rtl w:val="0"/>
              </w:rPr>
              <w:t xml:space="preserve">Segment models by category or introduce explicit interaction terms.</w:t>
            </w:r>
          </w:p>
        </w:tc>
      </w:tr>
    </w:tbl>
    <w:p w:rsidR="00000000" w:rsidDel="00000000" w:rsidP="00000000" w:rsidRDefault="00000000" w:rsidRPr="00000000" w14:paraId="000000C3">
      <w:pPr>
        <w:pStyle w:val="Heading1"/>
        <w:rPr/>
      </w:pPr>
      <w:bookmarkStart w:colFirst="0" w:colLast="0" w:name="_nb1687v5kv9w" w:id="14"/>
      <w:bookmarkEnd w:id="14"/>
      <w:r w:rsidDel="00000000" w:rsidR="00000000" w:rsidRPr="00000000">
        <w:rPr>
          <w:rtl w:val="0"/>
        </w:rPr>
        <w:t xml:space="preserve">7. Execution Timeline (30–35 Hour Window)</w:t>
      </w:r>
    </w:p>
    <w:p w:rsidR="00000000" w:rsidDel="00000000" w:rsidP="00000000" w:rsidRDefault="00000000" w:rsidRPr="00000000" w14:paraId="000000C4">
      <w:pPr>
        <w:rPr/>
      </w:pPr>
      <w:r w:rsidDel="00000000" w:rsidR="00000000" w:rsidRPr="00000000">
        <w:rPr>
          <w:rtl w:val="0"/>
        </w:rPr>
        <w:t xml:space="preserve">[Hours 01–06] Phase 1: Ingestion, Quality Audit &amp; Statistical Profiling</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[Hours 07–14] Phase 2: Univariate Exploration &amp; Distribution Checks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[Hours 15–23] Phase 3: Bivariate &amp; Multivariate Relationship Discovery</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[Hours 24–29] Phase 4: Aesthetic Refinement &amp; Interactive Visuals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[Hours 30–34] Phase 5: Synthesis, Hypotheses Documentation &amp; Final Review</w:t>
      </w:r>
    </w:p>
    <w:p w:rsidR="00000000" w:rsidDel="00000000" w:rsidP="00000000" w:rsidRDefault="00000000" w:rsidRPr="00000000" w14:paraId="000000CD">
      <w:pPr>
        <w:pStyle w:val="Heading2"/>
        <w:rPr/>
      </w:pPr>
      <w:bookmarkStart w:colFirst="0" w:colLast="0" w:name="_9gdv8ql1f9d2" w:id="15"/>
      <w:bookmarkEnd w:id="15"/>
      <w:r w:rsidDel="00000000" w:rsidR="00000000" w:rsidRPr="00000000">
        <w:rPr>
          <w:rtl w:val="0"/>
        </w:rPr>
        <w:t xml:space="preserve">Milestone Breakdowns</w:t>
      </w:r>
    </w:p>
    <w:p w:rsidR="00000000" w:rsidDel="00000000" w:rsidP="00000000" w:rsidRDefault="00000000" w:rsidRPr="00000000" w14:paraId="000000CE">
      <w:pPr>
        <w:numPr>
          <w:ilvl w:val="0"/>
          <w:numId w:val="3"/>
        </w:numPr>
        <w:ind w:left="720" w:hanging="360"/>
      </w:pPr>
      <w:r w:rsidDel="00000000" w:rsidR="00000000" w:rsidRPr="00000000">
        <w:rPr>
          <w:b w:val="1"/>
          <w:bCs w:val="1"/>
          <w:rtl w:val="0"/>
        </w:rPr>
        <w:t xml:space="preserve">Phase 1 (Hours 1–6):</w:t>
      </w:r>
      <w:r w:rsidDel="00000000" w:rsidR="00000000" w:rsidRPr="00000000">
        <w:rPr>
          <w:rtl w:val="0"/>
        </w:rPr>
        <w:t xml:space="preserve"> Schema verification, missingness profiling, calculating baseline descriptive statistics.</w:t>
      </w:r>
    </w:p>
    <w:p w:rsidR="00000000" w:rsidDel="00000000" w:rsidP="00000000" w:rsidRDefault="00000000" w:rsidRPr="00000000" w14:paraId="000000CF">
      <w:pPr>
        <w:numPr>
          <w:ilvl w:val="0"/>
          <w:numId w:val="3"/>
        </w:numPr>
        <w:ind w:left="720" w:hanging="360"/>
      </w:pPr>
      <w:r w:rsidDel="00000000" w:rsidR="00000000" w:rsidRPr="00000000">
        <w:rPr>
          <w:b w:val="1"/>
          <w:bCs w:val="1"/>
          <w:rtl w:val="0"/>
        </w:rPr>
        <w:t xml:space="preserve">Phase 2 (Hours 7–14):</w:t>
      </w:r>
      <w:r w:rsidDel="00000000" w:rsidR="00000000" w:rsidRPr="00000000">
        <w:rPr>
          <w:rtl w:val="0"/>
        </w:rPr>
        <w:t xml:space="preserve"> Scripting automated histograms, KDE plots, outlier identification, and class imbalance checks.</w:t>
      </w:r>
    </w:p>
    <w:p w:rsidR="00000000" w:rsidDel="00000000" w:rsidP="00000000" w:rsidRDefault="00000000" w:rsidRPr="00000000" w14:paraId="000000D0">
      <w:pPr>
        <w:numPr>
          <w:ilvl w:val="0"/>
          <w:numId w:val="3"/>
        </w:numPr>
        <w:ind w:left="720" w:hanging="360"/>
      </w:pPr>
      <w:r w:rsidDel="00000000" w:rsidR="00000000" w:rsidRPr="00000000">
        <w:rPr>
          <w:b w:val="1"/>
          <w:bCs w:val="1"/>
          <w:rtl w:val="0"/>
        </w:rPr>
        <w:t xml:space="preserve">Phase 3 (Hours 15–23):</w:t>
      </w:r>
      <w:r w:rsidDel="00000000" w:rsidR="00000000" w:rsidRPr="00000000">
        <w:rPr>
          <w:rtl w:val="0"/>
        </w:rPr>
        <w:t xml:space="preserve"> Correlation heatmaps, scatter plot matrices with regression lines, and cross-tabulation visual analyses.</w:t>
      </w:r>
    </w:p>
    <w:p w:rsidR="00000000" w:rsidDel="00000000" w:rsidP="00000000" w:rsidRDefault="00000000" w:rsidRPr="00000000" w14:paraId="000000D1">
      <w:pPr>
        <w:numPr>
          <w:ilvl w:val="0"/>
          <w:numId w:val="3"/>
        </w:numPr>
        <w:ind w:left="720" w:hanging="360"/>
      </w:pPr>
      <w:r w:rsidDel="00000000" w:rsidR="00000000" w:rsidRPr="00000000">
        <w:rPr>
          <w:b w:val="1"/>
          <w:bCs w:val="1"/>
          <w:rtl w:val="0"/>
        </w:rPr>
        <w:t xml:space="preserve">Phase 4 (Hours 24–29):</w:t>
      </w:r>
      <w:r w:rsidDel="00000000" w:rsidR="00000000" w:rsidRPr="00000000">
        <w:rPr>
          <w:rtl w:val="0"/>
        </w:rPr>
        <w:t xml:space="preserve"> Applying accessible color palettes, decluttering charts, and setting up interactive Plotly plots.</w:t>
      </w:r>
    </w:p>
    <w:p w:rsidR="00000000" w:rsidDel="00000000" w:rsidP="00000000" w:rsidRDefault="00000000" w:rsidRPr="00000000" w14:paraId="000000D2">
      <w:pPr>
        <w:numPr>
          <w:ilvl w:val="0"/>
          <w:numId w:val="3"/>
        </w:numPr>
        <w:ind w:left="720" w:hanging="360"/>
      </w:pPr>
      <w:r w:rsidDel="00000000" w:rsidR="00000000" w:rsidRPr="00000000">
        <w:rPr>
          <w:b w:val="1"/>
          <w:bCs w:val="1"/>
          <w:rtl w:val="0"/>
        </w:rPr>
        <w:t xml:space="preserve">Phase 5 (Hours 30–34):</w:t>
      </w:r>
      <w:r w:rsidDel="00000000" w:rsidR="00000000" w:rsidRPr="00000000">
        <w:rPr>
          <w:rtl w:val="0"/>
        </w:rPr>
        <w:t xml:space="preserve"> Consolidating analytical takeaways, validating business hypotheses, and producing final deliverables.</w:t>
      </w:r>
    </w:p>
    <w:p w:rsidR="00000000" w:rsidDel="00000000" w:rsidP="00000000" w:rsidRDefault="00000000" w:rsidRPr="00000000" w14:paraId="000000D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color w:val="334155"/>
        <w:sz w:val="22"/>
        <w:szCs w:val="22"/>
        <w:lang w:val="en"/>
      </w:rPr>
    </w:rPrDefault>
    <w:pPrDefault>
      <w:pPr>
        <w:spacing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288" w:lineRule="auto"/>
    </w:pPr>
    <w:rPr>
      <w:rFonts w:ascii="Inter" w:cs="Inter" w:eastAsia="Inter" w:hAnsi="Inter"/>
      <w:b w:val="1"/>
      <w:bCs w:val="1"/>
      <w:i w:val="0"/>
      <w:iCs w:val="0"/>
      <w:color w:val="1e293b"/>
      <w:sz w:val="30"/>
      <w:szCs w:val="30"/>
    </w:rPr>
  </w:style>
  <w:style w:type="paragraph" w:styleId="Heading2">
    <w:name w:val="heading 2"/>
    <w:basedOn w:val="Normal"/>
    <w:next w:val="Normal"/>
    <w:pPr>
      <w:keepNext w:val="1"/>
      <w:keepLines w:val="1"/>
      <w:pageBreakBefore w:val="0"/>
      <w:spacing w:after="80" w:before="360" w:line="288" w:lineRule="auto"/>
    </w:pPr>
    <w:rPr>
      <w:rFonts w:ascii="Inter" w:cs="Inter" w:eastAsia="Inter" w:hAnsi="Inter"/>
      <w:b w:val="1"/>
      <w:bCs w:val="1"/>
      <w:i w:val="0"/>
      <w:iCs w:val="0"/>
      <w:color w:val="334155"/>
      <w:sz w:val="26"/>
      <w:szCs w:val="26"/>
    </w:rPr>
  </w:style>
  <w:style w:type="paragraph" w:styleId="Heading3">
    <w:name w:val="heading 3"/>
    <w:basedOn w:val="Normal"/>
    <w:next w:val="Normal"/>
    <w:pPr>
      <w:keepNext w:val="1"/>
      <w:keepLines w:val="1"/>
      <w:pageBreakBefore w:val="0"/>
      <w:spacing w:after="80" w:before="280" w:line="288" w:lineRule="auto"/>
    </w:pPr>
    <w:rPr>
      <w:rFonts w:ascii="Inter" w:cs="Inter" w:eastAsia="Inter" w:hAnsi="Inter"/>
      <w:b w:val="1"/>
      <w:bCs w:val="1"/>
      <w:i w:val="0"/>
      <w:iCs w:val="0"/>
      <w:color w:val="475569"/>
      <w:sz w:val="22"/>
      <w:szCs w:val="2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240" w:lineRule="auto"/>
    </w:pPr>
    <w:rPr>
      <w:rFonts w:ascii="Inter" w:cs="Inter" w:eastAsia="Inter" w:hAnsi="Inter"/>
      <w:b w:val="1"/>
      <w:bCs w:val="1"/>
      <w:i w:val="0"/>
      <w:iCs w:val="0"/>
      <w:color w:val="0f172a"/>
      <w:sz w:val="44"/>
      <w:szCs w:val="44"/>
    </w:rPr>
  </w:style>
  <w:style w:type="paragraph" w:styleId="Subtitle">
    <w:name w:val="Subtitle"/>
    <w:basedOn w:val="Normal"/>
    <w:next w:val="Normal"/>
    <w:pPr>
      <w:keepNext w:val="1"/>
      <w:keepLines w:val="1"/>
      <w:pageBreakBefore w:val="0"/>
      <w:spacing w:after="80" w:before="360" w:line="300" w:lineRule="auto"/>
    </w:pPr>
    <w:rPr>
      <w:rFonts w:ascii="Inter" w:cs="Inter" w:eastAsia="Inter" w:hAnsi="Inter"/>
      <w:b w:val="0"/>
      <w:bCs w:val="0"/>
      <w:i w:val="0"/>
      <w:iCs w:val="0"/>
      <w:color w:val="64748b"/>
      <w:sz w:val="26"/>
      <w:szCs w:val="26"/>
    </w:rPr>
  </w:style>
  <w:style w:type="table" w:styleId="Table1">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2"/>
        <w:szCs w:val="22"/>
      </w:rPr>
      <w:tcPr>
        <w:shd w:fill="f8fafc" w:val="clear"/>
        <w:vAlign w:val="center"/>
      </w:tcPr>
    </w:tblStylePr>
  </w:style>
  <w:style w:type="table" w:styleId="Table2">
    <w:basedOn w:val="TableNormal"/>
    <w:tblPr>
      <w:tblStyleRowBandSize w:val="1"/>
      <w:tblStyleColBandSize w:val="1"/>
      <w:tblCellMar>
        <w:top w:w="120.0" w:type="dxa"/>
        <w:left w:w="160.0" w:type="dxa"/>
        <w:bottom w:w="120.0" w:type="dxa"/>
        <w:right w:w="160.0" w:type="dxa"/>
      </w:tblCellMar>
    </w:tblPr>
    <w:tcPr>
      <w:shd w:fill="ffffff" w:val="clear"/>
      <w:vAlign w:val="top"/>
    </w:tcPr>
    <w:tblStylePr w:type="firstRow">
      <w:rPr>
        <w:rFonts w:ascii="Inter" w:cs="Inter" w:eastAsia="Inter" w:hAnsi="Inter"/>
        <w:b w:val="1"/>
        <w:bCs w:val="1"/>
        <w:i w:val="0"/>
        <w:iCs w:val="0"/>
        <w:color w:val="1e293b"/>
        <w:sz w:val="22"/>
        <w:szCs w:val="22"/>
      </w:rPr>
      <w:tcPr>
        <w:shd w:fill="f8fafc" w:val="clear"/>
        <w:vAlign w:val="center"/>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