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SERVICES AGREEMENT</w:t>
      </w:r>
    </w:p>
    <w:p>
      <w:r>
        <w:t>This Services Agreement is entered into between Acme Corp ("Client") and Brightline Ltd ("Vendor").</w:t>
      </w:r>
    </w:p>
    <w:p>
      <w:pPr>
        <w:pStyle w:val="Heading2"/>
      </w:pPr>
      <w:r>
        <w:t>1. Governing Law</w:t>
      </w:r>
    </w:p>
    <w:p>
      <w:r>
        <w:t>This Agreement shall be governed by and construed in accordance with the laws of the State of New York, without regard to its conflict of laws principles.</w:t>
      </w:r>
    </w:p>
    <w:p>
      <w:pPr>
        <w:pStyle w:val="Heading2"/>
      </w:pPr>
      <w:r>
        <w:t>2. Indemnification</w:t>
      </w:r>
    </w:p>
    <w:p>
      <w:r>
        <w:t>The Vendor shall indemnify, defend and hold harmless the Client and its affiliates from and against any and all claims, losses, damages, liabilities and expenses, including reasonable attorneys' fees, without any cap or limitation, arising out of or relating to the Vendor's performance of the Services.</w:t>
      </w:r>
    </w:p>
    <w:p>
      <w:pPr>
        <w:pStyle w:val="Heading2"/>
      </w:pPr>
      <w:r>
        <w:t>3. General Provisions</w:t>
      </w:r>
    </w:p>
    <w:p>
      <w:r>
        <w:t>This Section shall apply to all matters arising under or in connection with this Agreement, including without limitation any dealings, communications, transactions, or other interactions between the parties that may occur from time to time during the term hereof, whether such matters are addressed elsewhere in this Agreement or not, and the parties acknowledge and agree that the provisions set forth in this Section are intended to operate in addition to, and not in lieu of, any other rights or remedies available at law or in equity, and further agree that no delay or failure to exercise any right hereunder shall operate as a waiver of such right or any other right, and that this Section shall survive termination or expiration of this Agreement for any reason whatsoever, and shall remain binding upon the parties and their respective successors and permitted assigns. Furthermore, each party represents and warrants that it has full power and authority to enter into this Agreement, that this Agreement has been duly authorized by all necessary corporate or organizational action, and that this Agreement constitutes a legal, valid and binding obligation of such party, enforceable against it in accordance with its terms, subject to applicable bankruptcy, insolvency and other similar laws affecting creditors rights generally, and further subject to general principles of equity, regardless of whether enforcement is sought in a proceeding at law or in equity. Notwithstanding the foregoing, the Vendor shall indemnify, defend and hold harmless the Client from and against any and all claims, damages, losses and expenses, without limitation, arising from Vendor's breach of this Agreement.</w:t>
      </w:r>
    </w:p>
    <w:p>
      <w:pPr>
        <w:pStyle w:val="Heading2"/>
      </w:pPr>
      <w:r>
        <w:t>4. Termination</w:t>
      </w:r>
    </w:p>
    <w:p>
      <w:r>
        <w:t>Either party may terminate this Agreement for convenience upon thirty (30) days' prior written notice to the other party.</w:t>
      </w:r>
    </w:p>
    <w:p>
      <w:r>
        <w:t>Page 4 of 12 ||| scanned image ~~ low quality ~~ please refer to the original hard copy</w:t>
      </w:r>
    </w:p>
    <w:p>
      <w:r>
        <w:t>Hi Sam, attaching the latest draft as discussed on our call. Lunch on Thursday still works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