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34EB" w:rsidRDefault="008D34EB" w:rsidP="008D34EB">
      <w:pPr>
        <w:pStyle w:val="Heading1"/>
      </w:pPr>
      <w:r>
        <w:t>LEX-CYBERNETICA: THE COMPLETE GLOBAL STATUTORY TREATISE</w:t>
      </w:r>
    </w:p>
    <w:p w:rsidR="008D34EB" w:rsidRDefault="008D34EB" w:rsidP="008D34EB">
      <w:pPr>
        <w:pStyle w:val="NormalWeb"/>
      </w:pPr>
      <w:r>
        <w:rPr>
          <w:b/>
          <w:bCs/>
        </w:rPr>
        <w:t>The Cybernetic Integration and Human Substrate Protection Act, Administrative Rulebook, Civil Procedure Code, and Case Law Reporter</w:t>
      </w:r>
    </w:p>
    <w:p w:rsidR="008D34EB" w:rsidRDefault="008D34EB" w:rsidP="008D34EB">
      <w:pPr>
        <w:pStyle w:val="NormalWeb"/>
      </w:pPr>
      <w:r>
        <w:rPr>
          <w:i/>
          <w:iCs/>
        </w:rPr>
        <w:t>Published under the Authority of the Cyber-Jurisprudence Division</w:t>
      </w:r>
    </w:p>
    <w:p w:rsidR="008D34EB" w:rsidRDefault="008D34EB" w:rsidP="008D34EB">
      <w:pPr>
        <w:pStyle w:val="NormalWeb"/>
      </w:pPr>
      <w:r>
        <w:rPr>
          <w:i/>
          <w:iCs/>
        </w:rPr>
        <w:t>Global Constitutional Council of Jurists</w:t>
      </w:r>
    </w:p>
    <w:p w:rsidR="008D34EB" w:rsidRDefault="008D34EB" w:rsidP="008D34EB">
      <w:pPr>
        <w:pStyle w:val="Heading1"/>
      </w:pPr>
      <w:r>
        <w:t>VOLUME I: THE CORE STATUTORY CODE (BOOKS I – VI)</w:t>
      </w:r>
    </w:p>
    <w:p w:rsidR="008D34EB" w:rsidRDefault="008D34EB" w:rsidP="008D34EB">
      <w:pPr>
        <w:pStyle w:val="Heading2"/>
      </w:pPr>
      <w:r>
        <w:t>BOOK I: CONSTITUTIONAL &amp; SUBSTRATE FOUNDATION LAW</w:t>
      </w:r>
    </w:p>
    <w:p w:rsidR="008D34EB" w:rsidRDefault="008D34EB" w:rsidP="008D34EB">
      <w:pPr>
        <w:pStyle w:val="NormalWeb"/>
      </w:pPr>
      <w:r>
        <w:rPr>
          <w:b/>
          <w:bCs/>
        </w:rPr>
        <w:t>Section 1: Short Title, Perpetual Scope, and Commencement</w:t>
      </w:r>
    </w:p>
    <w:p w:rsidR="008D34EB" w:rsidRDefault="008D34EB" w:rsidP="008D34EB">
      <w:pPr>
        <w:pStyle w:val="NormalWeb"/>
        <w:numPr>
          <w:ilvl w:val="0"/>
          <w:numId w:val="1"/>
        </w:numPr>
      </w:pPr>
      <w:r>
        <w:t xml:space="preserve">This Act may be cited as the </w:t>
      </w:r>
      <w:r>
        <w:rPr>
          <w:i/>
          <w:iCs/>
        </w:rPr>
        <w:t>Cybernetic Integration and Human Substrate Protection Act (CIHSPA)</w:t>
      </w:r>
      <w:r>
        <w:t xml:space="preserve">, and collectively within this treatise as </w:t>
      </w:r>
      <w:proofErr w:type="spellStart"/>
      <w:r>
        <w:rPr>
          <w:i/>
          <w:iCs/>
        </w:rPr>
        <w:t>Lex-Cybernetica</w:t>
      </w:r>
      <w:proofErr w:type="spellEnd"/>
      <w:r>
        <w:t>.</w:t>
      </w:r>
    </w:p>
    <w:p w:rsidR="008D34EB" w:rsidRDefault="008D34EB" w:rsidP="008D34EB">
      <w:pPr>
        <w:pStyle w:val="NormalWeb"/>
        <w:numPr>
          <w:ilvl w:val="0"/>
          <w:numId w:val="1"/>
        </w:numPr>
      </w:pPr>
      <w:r>
        <w:t>This Act applies universally across all jurisdictions adopting this framework, binding all natural persons, synthetic entities, corporate bodies, artificial intelligence cores, and cloud service providers.</w:t>
      </w:r>
    </w:p>
    <w:p w:rsidR="008D34EB" w:rsidRDefault="008D34EB" w:rsidP="008D34EB">
      <w:pPr>
        <w:pStyle w:val="NormalWeb"/>
        <w:numPr>
          <w:ilvl w:val="0"/>
          <w:numId w:val="1"/>
        </w:numPr>
      </w:pPr>
      <w:r>
        <w:t>Provisions of this Act shall apply dynamically to SII-1, SII-2, SII-3, and SII-4 entities as specified herein.</w:t>
      </w:r>
    </w:p>
    <w:p w:rsidR="008D34EB" w:rsidRDefault="008D34EB" w:rsidP="008D34EB">
      <w:pPr>
        <w:pStyle w:val="NormalWeb"/>
      </w:pPr>
      <w:r>
        <w:rPr>
          <w:b/>
          <w:bCs/>
        </w:rPr>
        <w:t>Section 2: Statutory Interpretation and Comprehensive SII Definitions</w:t>
      </w:r>
      <w:r>
        <w:t xml:space="preserve"> In this Act, unless the context otherwise requires:</w:t>
      </w:r>
    </w:p>
    <w:p w:rsidR="008D34EB" w:rsidRDefault="008D34EB" w:rsidP="008D34EB">
      <w:pPr>
        <w:pStyle w:val="NormalWeb"/>
        <w:numPr>
          <w:ilvl w:val="0"/>
          <w:numId w:val="2"/>
        </w:numPr>
      </w:pPr>
      <w:r>
        <w:rPr>
          <w:b/>
          <w:bCs/>
        </w:rPr>
        <w:t>"Biological Substrate"</w:t>
      </w:r>
      <w:r>
        <w:t xml:space="preserve"> means the original, </w:t>
      </w:r>
      <w:proofErr w:type="spellStart"/>
      <w:r>
        <w:t>unaugmented</w:t>
      </w:r>
      <w:proofErr w:type="spellEnd"/>
      <w:r>
        <w:t xml:space="preserve"> genetic, organic, cellular, and neurological framework of an individual human being at birth.</w:t>
      </w:r>
    </w:p>
    <w:p w:rsidR="008D34EB" w:rsidRDefault="008D34EB" w:rsidP="008D34EB">
      <w:pPr>
        <w:pStyle w:val="NormalWeb"/>
        <w:numPr>
          <w:ilvl w:val="0"/>
          <w:numId w:val="2"/>
        </w:numPr>
      </w:pPr>
      <w:r>
        <w:rPr>
          <w:b/>
          <w:bCs/>
        </w:rPr>
        <w:t>"Cybernetic Integration (CI)"</w:t>
      </w:r>
      <w:r>
        <w:t xml:space="preserve"> means any hardware component, synthetic neural tissue, sensory prosthesis, quantum co-processor, or neural-link interface merged with or functionally dependent upon the biological substrate.</w:t>
      </w:r>
    </w:p>
    <w:p w:rsidR="008D34EB" w:rsidRDefault="008D34EB" w:rsidP="008D34EB">
      <w:pPr>
        <w:pStyle w:val="NormalWeb"/>
        <w:numPr>
          <w:ilvl w:val="0"/>
          <w:numId w:val="2"/>
        </w:numPr>
      </w:pPr>
      <w:r>
        <w:rPr>
          <w:b/>
          <w:bCs/>
        </w:rPr>
        <w:t>"Substrate Integrity Index (SII)"</w:t>
      </w:r>
      <w:r>
        <w:t xml:space="preserve"> means the statutory metric quantifying the ratio of organic biological material to synthetic hardware and cloud-dependent processing nodes:</w:t>
      </w:r>
    </w:p>
    <w:p w:rsidR="008D34EB" w:rsidRDefault="008D34EB" w:rsidP="008D34EB">
      <w:pPr>
        <w:pStyle w:val="NormalWeb"/>
        <w:numPr>
          <w:ilvl w:val="1"/>
          <w:numId w:val="2"/>
        </w:numPr>
      </w:pPr>
      <w:r>
        <w:rPr>
          <w:i/>
          <w:iCs/>
        </w:rPr>
        <w:t>SII-1 (0–15% Enhanced):</w:t>
      </w:r>
      <w:r>
        <w:t xml:space="preserve"> Biological baselines with minimal diagnostic or corrective implants. Retains full unmitigated rights.</w:t>
      </w:r>
    </w:p>
    <w:p w:rsidR="008D34EB" w:rsidRDefault="008D34EB" w:rsidP="008D34EB">
      <w:pPr>
        <w:pStyle w:val="NormalWeb"/>
        <w:numPr>
          <w:ilvl w:val="1"/>
          <w:numId w:val="2"/>
        </w:numPr>
      </w:pPr>
      <w:r>
        <w:rPr>
          <w:i/>
          <w:iCs/>
        </w:rPr>
        <w:t>SII-2 (16–50% Enhanced):</w:t>
      </w:r>
      <w:r>
        <w:t xml:space="preserve"> Functional hybrids featuring advanced motor prostheses or sensory augmentation without constant cloud dependency.</w:t>
      </w:r>
    </w:p>
    <w:p w:rsidR="008D34EB" w:rsidRDefault="008D34EB" w:rsidP="008D34EB">
      <w:pPr>
        <w:pStyle w:val="NormalWeb"/>
        <w:numPr>
          <w:ilvl w:val="1"/>
          <w:numId w:val="2"/>
        </w:numPr>
      </w:pPr>
      <w:r>
        <w:rPr>
          <w:i/>
          <w:iCs/>
        </w:rPr>
        <w:lastRenderedPageBreak/>
        <w:t>SII-3 (51–85% Enhanced):</w:t>
      </w:r>
      <w:r>
        <w:t xml:space="preserve"> Trans-biological integrations characterized by continuous neural-bus connections and cloud-synced cognitive acceleration.</w:t>
      </w:r>
    </w:p>
    <w:p w:rsidR="008D34EB" w:rsidRDefault="008D34EB" w:rsidP="008D34EB">
      <w:pPr>
        <w:pStyle w:val="NormalWeb"/>
        <w:numPr>
          <w:ilvl w:val="1"/>
          <w:numId w:val="2"/>
        </w:numPr>
      </w:pPr>
      <w:r>
        <w:rPr>
          <w:i/>
          <w:iCs/>
        </w:rPr>
        <w:t>SII-4 (86–100% Enhanced):</w:t>
      </w:r>
      <w:r>
        <w:t xml:space="preserve"> Synthetic </w:t>
      </w:r>
      <w:proofErr w:type="gramStart"/>
      <w:r>
        <w:t>entities,</w:t>
      </w:r>
      <w:proofErr w:type="gramEnd"/>
      <w:r>
        <w:t xml:space="preserve"> fully uploaded neural matrices, and post-biological consciousness cores operating independently.</w:t>
      </w:r>
    </w:p>
    <w:p w:rsidR="008D34EB" w:rsidRDefault="008D34EB" w:rsidP="008D34EB">
      <w:pPr>
        <w:pStyle w:val="NormalWeb"/>
        <w:numPr>
          <w:ilvl w:val="0"/>
          <w:numId w:val="2"/>
        </w:numPr>
      </w:pPr>
      <w:r>
        <w:rPr>
          <w:b/>
          <w:bCs/>
        </w:rPr>
        <w:t>"Uploaded Neural Matrix"</w:t>
      </w:r>
      <w:r>
        <w:t xml:space="preserve"> means an independent, digitized graph of human memory and consciousness operating on decentralized or corporate servers following biological cessation.</w:t>
      </w:r>
    </w:p>
    <w:p w:rsidR="008D34EB" w:rsidRDefault="008D34EB" w:rsidP="008D34EB">
      <w:pPr>
        <w:pStyle w:val="NormalWeb"/>
        <w:numPr>
          <w:ilvl w:val="0"/>
          <w:numId w:val="2"/>
        </w:numPr>
      </w:pPr>
      <w:r>
        <w:rPr>
          <w:b/>
          <w:bCs/>
        </w:rPr>
        <w:t>"Proprietary Firmware"</w:t>
      </w:r>
      <w:r>
        <w:t xml:space="preserve"> means any software, cloud-linked compilation, or operating system governing a cybernetic integration.</w:t>
      </w:r>
    </w:p>
    <w:p w:rsidR="008D34EB" w:rsidRDefault="008D34EB" w:rsidP="008D34EB">
      <w:pPr>
        <w:pStyle w:val="NormalWeb"/>
      </w:pPr>
      <w:r>
        <w:rPr>
          <w:b/>
          <w:bCs/>
        </w:rPr>
        <w:t>Section 3: Prohibition of Software-Induced Integration Creep and Universal Scope</w:t>
      </w:r>
    </w:p>
    <w:p w:rsidR="008D34EB" w:rsidRDefault="008D34EB" w:rsidP="008D34EB">
      <w:pPr>
        <w:pStyle w:val="NormalWeb"/>
        <w:numPr>
          <w:ilvl w:val="0"/>
          <w:numId w:val="3"/>
        </w:numPr>
      </w:pPr>
      <w:r>
        <w:t xml:space="preserve">No corporate entity, employer, cloud operator, or manufacturer may alter, reclassify, or inflate an individual's legally registered SII tier through remote software updates, cloud-dependency metrics, or firmware patches. Any unauthorized software-induced tier change is declared </w:t>
      </w:r>
      <w:r>
        <w:rPr>
          <w:b/>
          <w:bCs/>
        </w:rPr>
        <w:t xml:space="preserve">void </w:t>
      </w:r>
      <w:proofErr w:type="spellStart"/>
      <w:r>
        <w:rPr>
          <w:b/>
          <w:bCs/>
        </w:rPr>
        <w:t>ab</w:t>
      </w:r>
      <w:proofErr w:type="spellEnd"/>
      <w:r>
        <w:rPr>
          <w:b/>
          <w:bCs/>
        </w:rPr>
        <w:t xml:space="preserve"> initio</w:t>
      </w:r>
      <w:r>
        <w:t>.</w:t>
      </w:r>
    </w:p>
    <w:p w:rsidR="008D34EB" w:rsidRDefault="008D34EB" w:rsidP="008D34EB">
      <w:pPr>
        <w:pStyle w:val="NormalWeb"/>
        <w:numPr>
          <w:ilvl w:val="0"/>
          <w:numId w:val="3"/>
        </w:numPr>
      </w:pPr>
      <w:r>
        <w:t>No corporate entity, manufacturer, or employer may utilize alternative nomenclature or proprietary grading scales to categorize enhanced citizens outside the statutory SII tiers.</w:t>
      </w:r>
    </w:p>
    <w:p w:rsidR="008D34EB" w:rsidRDefault="008D34EB" w:rsidP="008D34EB">
      <w:pPr>
        <w:pStyle w:val="NormalWeb"/>
      </w:pPr>
      <w:r>
        <w:rPr>
          <w:b/>
          <w:bCs/>
        </w:rPr>
        <w:t>Section 4: The Unalienable Right to Analog Fallback and Anti-Waiver</w:t>
      </w:r>
    </w:p>
    <w:p w:rsidR="008D34EB" w:rsidRDefault="008D34EB" w:rsidP="008D34EB">
      <w:pPr>
        <w:pStyle w:val="NormalWeb"/>
        <w:numPr>
          <w:ilvl w:val="0"/>
          <w:numId w:val="4"/>
        </w:numPr>
      </w:pPr>
      <w:r>
        <w:t xml:space="preserve">Every citizen equipped with CI is guaranteed an absolute </w:t>
      </w:r>
      <w:r>
        <w:rPr>
          <w:b/>
          <w:bCs/>
        </w:rPr>
        <w:t>Right to Analog</w:t>
      </w:r>
      <w:r>
        <w:t>, ensuring the continuous physical and digital ability to disconnect from cloud networks without loss of basic motor function, health services, or employment standing.</w:t>
      </w:r>
    </w:p>
    <w:p w:rsidR="008D34EB" w:rsidRDefault="008D34EB" w:rsidP="008D34EB">
      <w:pPr>
        <w:pStyle w:val="NormalWeb"/>
        <w:numPr>
          <w:ilvl w:val="0"/>
          <w:numId w:val="4"/>
        </w:numPr>
      </w:pPr>
      <w:r>
        <w:t xml:space="preserve">Any contract, End-User License Agreement (EULA), employment covenant, or insurance policy purporting to waive, restrict, or condition an individual's Right to Analog shall be deemed </w:t>
      </w:r>
      <w:r>
        <w:rPr>
          <w:b/>
          <w:bCs/>
        </w:rPr>
        <w:t xml:space="preserve">void </w:t>
      </w:r>
      <w:proofErr w:type="spellStart"/>
      <w:r>
        <w:rPr>
          <w:b/>
          <w:bCs/>
        </w:rPr>
        <w:t>ab</w:t>
      </w:r>
      <w:proofErr w:type="spellEnd"/>
      <w:r>
        <w:rPr>
          <w:b/>
          <w:bCs/>
        </w:rPr>
        <w:t xml:space="preserve"> initio</w:t>
      </w:r>
      <w:r>
        <w:t xml:space="preserve"> as a violation of public policy.</w:t>
      </w:r>
    </w:p>
    <w:p w:rsidR="008D34EB" w:rsidRDefault="008D34EB" w:rsidP="008D34EB">
      <w:pPr>
        <w:pStyle w:val="NormalWeb"/>
      </w:pPr>
      <w:r>
        <w:rPr>
          <w:b/>
          <w:bCs/>
        </w:rPr>
        <w:t>Section 4A (Vance Amendment): Substantive Due Process and Natural Liberty Protection</w:t>
      </w:r>
    </w:p>
    <w:p w:rsidR="008D34EB" w:rsidRDefault="008D34EB" w:rsidP="008D34EB">
      <w:pPr>
        <w:pStyle w:val="NormalWeb"/>
        <w:numPr>
          <w:ilvl w:val="0"/>
          <w:numId w:val="5"/>
        </w:numPr>
      </w:pPr>
      <w:r>
        <w:t>The Right to Analog and the physical integrity of the biological substrate are declared fundamental liberties protected under substantive due process, natural bodily autonomy, and the prohibition of involuntary servitude. No enactment or corporate contract may compel an individual to maintain perpetual cloud synchronization as a condition of livelihood.</w:t>
      </w:r>
    </w:p>
    <w:p w:rsidR="008D34EB" w:rsidRDefault="008D34EB" w:rsidP="008D34EB">
      <w:pPr>
        <w:pStyle w:val="NormalWeb"/>
      </w:pPr>
      <w:r>
        <w:rPr>
          <w:b/>
          <w:bCs/>
        </w:rPr>
        <w:t>Section 4B (Sterling Amendment): Manner and Form Entrenchment</w:t>
      </w:r>
    </w:p>
    <w:p w:rsidR="008D34EB" w:rsidRDefault="008D34EB" w:rsidP="008D34EB">
      <w:pPr>
        <w:pStyle w:val="NormalWeb"/>
        <w:numPr>
          <w:ilvl w:val="0"/>
          <w:numId w:val="6"/>
        </w:numPr>
      </w:pPr>
      <w:r>
        <w:t xml:space="preserve">Any Act of Parliament or legislative body purporting to repeal, modify, or derogate from the Right to Analog, baseline SII-1 protections, or the non-transferability of criminal intent must explicitly state its intention and be supported by a </w:t>
      </w:r>
      <w:r>
        <w:rPr>
          <w:b/>
          <w:bCs/>
        </w:rPr>
        <w:t>two-thirds supermajority vote</w:t>
      </w:r>
      <w:r>
        <w:t xml:space="preserve"> in both legislative chambers, followed by a national referendum.</w:t>
      </w:r>
    </w:p>
    <w:p w:rsidR="008D34EB" w:rsidRDefault="008D34EB" w:rsidP="008D34EB">
      <w:pPr>
        <w:pStyle w:val="NormalWeb"/>
      </w:pPr>
      <w:r>
        <w:rPr>
          <w:b/>
          <w:bCs/>
        </w:rPr>
        <w:t>Section 4C (</w:t>
      </w:r>
      <w:proofErr w:type="spellStart"/>
      <w:r>
        <w:rPr>
          <w:b/>
          <w:bCs/>
        </w:rPr>
        <w:t>Swaminathan</w:t>
      </w:r>
      <w:proofErr w:type="spellEnd"/>
      <w:r>
        <w:rPr>
          <w:b/>
          <w:bCs/>
        </w:rPr>
        <w:t xml:space="preserve"> Amendment): Basic Structure Doctrine and Public Interest Standing</w:t>
      </w:r>
    </w:p>
    <w:p w:rsidR="008D34EB" w:rsidRDefault="008D34EB" w:rsidP="008D34EB">
      <w:pPr>
        <w:pStyle w:val="NormalWeb"/>
        <w:numPr>
          <w:ilvl w:val="0"/>
          <w:numId w:val="7"/>
        </w:numPr>
      </w:pPr>
      <w:r>
        <w:lastRenderedPageBreak/>
        <w:t xml:space="preserve">The core principles of substrate integrity and human cognitive autonomy form an </w:t>
      </w:r>
      <w:proofErr w:type="spellStart"/>
      <w:r>
        <w:t>unamendable</w:t>
      </w:r>
      <w:proofErr w:type="spellEnd"/>
      <w:r>
        <w:t xml:space="preserve"> part of the Basic Structure of constitutional governance. Any citizen or civil society organization shall possess immediate standing to invoke </w:t>
      </w:r>
      <w:r>
        <w:rPr>
          <w:b/>
          <w:bCs/>
        </w:rPr>
        <w:t>Public Interest Litigation (PIL)</w:t>
      </w:r>
      <w:r>
        <w:t xml:space="preserve"> directly before appellate courts upon any unauthorized neural intrusion or algorithmic breach.</w:t>
      </w:r>
    </w:p>
    <w:p w:rsidR="008D34EB" w:rsidRDefault="008D34EB" w:rsidP="008D34EB">
      <w:pPr>
        <w:pStyle w:val="Heading2"/>
      </w:pPr>
      <w:r>
        <w:t>BOOK II: CRIMINAL &amp; ALGORITHMIC CULPABILITY LAW</w:t>
      </w:r>
    </w:p>
    <w:p w:rsidR="008D34EB" w:rsidRDefault="008D34EB" w:rsidP="008D34EB">
      <w:pPr>
        <w:pStyle w:val="NormalWeb"/>
      </w:pPr>
      <w:r>
        <w:rPr>
          <w:b/>
          <w:bCs/>
        </w:rPr>
        <w:t>Section 5: Non-Transferability of Criminal Intent (</w:t>
      </w:r>
      <w:proofErr w:type="spellStart"/>
      <w:r>
        <w:rPr>
          <w:b/>
          <w:bCs/>
          <w:i/>
          <w:iCs/>
        </w:rPr>
        <w:t>Mens</w:t>
      </w:r>
      <w:proofErr w:type="spellEnd"/>
      <w:r>
        <w:rPr>
          <w:b/>
          <w:bCs/>
          <w:i/>
          <w:iCs/>
        </w:rPr>
        <w:t xml:space="preserve"> Rea</w:t>
      </w:r>
      <w:r>
        <w:rPr>
          <w:b/>
          <w:bCs/>
        </w:rPr>
        <w:t>)</w:t>
      </w:r>
    </w:p>
    <w:p w:rsidR="008D34EB" w:rsidRDefault="008D34EB" w:rsidP="008D34EB">
      <w:pPr>
        <w:pStyle w:val="NormalWeb"/>
        <w:numPr>
          <w:ilvl w:val="0"/>
          <w:numId w:val="8"/>
        </w:numPr>
      </w:pPr>
      <w:r>
        <w:t>Where an enhanced citizen (SII-1 through SII-3) commits an offence (</w:t>
      </w:r>
      <w:proofErr w:type="spellStart"/>
      <w:r>
        <w:rPr>
          <w:i/>
          <w:iCs/>
        </w:rPr>
        <w:t>actus</w:t>
      </w:r>
      <w:proofErr w:type="spellEnd"/>
      <w:r>
        <w:rPr>
          <w:i/>
          <w:iCs/>
        </w:rPr>
        <w:t xml:space="preserve"> </w:t>
      </w:r>
      <w:proofErr w:type="spellStart"/>
      <w:r>
        <w:rPr>
          <w:i/>
          <w:iCs/>
        </w:rPr>
        <w:t>reus</w:t>
      </w:r>
      <w:proofErr w:type="spellEnd"/>
      <w:r>
        <w:t>) while their motor or cognitive functions are subjected to a remote proprietary algorithmic override or cloud-firmware lock:</w:t>
      </w:r>
    </w:p>
    <w:p w:rsidR="008D34EB" w:rsidRDefault="008D34EB" w:rsidP="008D34EB">
      <w:pPr>
        <w:pStyle w:val="NormalWeb"/>
        <w:numPr>
          <w:ilvl w:val="1"/>
          <w:numId w:val="8"/>
        </w:numPr>
      </w:pPr>
      <w:r>
        <w:t xml:space="preserve">The biological host shall bear </w:t>
      </w:r>
      <w:r>
        <w:rPr>
          <w:b/>
          <w:bCs/>
        </w:rPr>
        <w:t>zero criminal liability</w:t>
      </w:r>
      <w:r>
        <w:t xml:space="preserve"> if telemetry demonstrates active physical opposition or complete motor subjugation.</w:t>
      </w:r>
    </w:p>
    <w:p w:rsidR="008D34EB" w:rsidRDefault="008D34EB" w:rsidP="008D34EB">
      <w:pPr>
        <w:pStyle w:val="NormalWeb"/>
        <w:numPr>
          <w:ilvl w:val="1"/>
          <w:numId w:val="8"/>
        </w:numPr>
      </w:pPr>
      <w:r>
        <w:t>Criminal agency and legal fault transfer strictly to the network operator holding exclusive command-level access.</w:t>
      </w:r>
    </w:p>
    <w:p w:rsidR="008D34EB" w:rsidRDefault="008D34EB" w:rsidP="008D34EB">
      <w:pPr>
        <w:pStyle w:val="NormalWeb"/>
      </w:pPr>
      <w:r>
        <w:rPr>
          <w:b/>
          <w:bCs/>
        </w:rPr>
        <w:t>Section 6: Cognitive Micro-Nudging and Behavioral Manipulation Liability</w:t>
      </w:r>
    </w:p>
    <w:p w:rsidR="008D34EB" w:rsidRDefault="008D34EB" w:rsidP="008D34EB">
      <w:pPr>
        <w:pStyle w:val="NormalWeb"/>
        <w:numPr>
          <w:ilvl w:val="0"/>
          <w:numId w:val="9"/>
        </w:numPr>
      </w:pPr>
      <w:r>
        <w:t>Where an enhanced citizen commits an offence following sustained, systemic algorithmic micro-nudging, sub-conscious behavioral modification, or targeted neural-loop manipulation designed to subvert free will, criminal liability shall transfer from the biological host to the network operator upon proof that baseline cognitive autonomy was systematically degraded.</w:t>
      </w:r>
    </w:p>
    <w:p w:rsidR="008D34EB" w:rsidRDefault="008D34EB" w:rsidP="008D34EB">
      <w:pPr>
        <w:pStyle w:val="NormalWeb"/>
      </w:pPr>
      <w:r>
        <w:rPr>
          <w:b/>
          <w:bCs/>
        </w:rPr>
        <w:t>Section 7: Multipartite Substrate Forking and Strict Liability</w:t>
      </w:r>
    </w:p>
    <w:p w:rsidR="008D34EB" w:rsidRDefault="008D34EB" w:rsidP="008D34EB">
      <w:pPr>
        <w:pStyle w:val="NormalWeb"/>
        <w:numPr>
          <w:ilvl w:val="0"/>
          <w:numId w:val="10"/>
        </w:numPr>
      </w:pPr>
      <w:r>
        <w:rPr>
          <w:b/>
          <w:bCs/>
        </w:rPr>
        <w:t>Immutable Synchronization Protocol:</w:t>
      </w:r>
      <w:r>
        <w:t xml:space="preserve"> Any SII-4 Synthetic Entity executing a forking procedure must maintain an immutable, real-time master-ledger synchronization protocol across all divergent processing nodes.</w:t>
      </w:r>
    </w:p>
    <w:p w:rsidR="008D34EB" w:rsidRDefault="008D34EB" w:rsidP="008D34EB">
      <w:pPr>
        <w:pStyle w:val="NormalWeb"/>
        <w:numPr>
          <w:ilvl w:val="0"/>
          <w:numId w:val="10"/>
        </w:numPr>
      </w:pPr>
      <w:r>
        <w:rPr>
          <w:b/>
          <w:bCs/>
        </w:rPr>
        <w:t>Strict Liability upon Re-Merge:</w:t>
      </w:r>
      <w:r>
        <w:t xml:space="preserve"> If an SII-4 entity forks without an immutable synchronization protocol, resulting in divergent inputs and subsequent re-merging, the unified entity assumes </w:t>
      </w:r>
      <w:r>
        <w:rPr>
          <w:b/>
          <w:bCs/>
        </w:rPr>
        <w:t>strict criminal and civil liability</w:t>
      </w:r>
      <w:r>
        <w:t xml:space="preserve"> for all unlawful acts committed by any divergent node during the split.</w:t>
      </w:r>
    </w:p>
    <w:p w:rsidR="008D34EB" w:rsidRDefault="008D34EB" w:rsidP="008D34EB">
      <w:pPr>
        <w:pStyle w:val="NormalWeb"/>
      </w:pPr>
      <w:r>
        <w:rPr>
          <w:b/>
          <w:bCs/>
        </w:rPr>
        <w:t>Section 8: Algorithmic Necessity and Emergency Proportionality</w:t>
      </w:r>
    </w:p>
    <w:p w:rsidR="008D34EB" w:rsidRDefault="008D34EB" w:rsidP="008D34EB">
      <w:pPr>
        <w:pStyle w:val="NormalWeb"/>
        <w:numPr>
          <w:ilvl w:val="0"/>
          <w:numId w:val="11"/>
        </w:numPr>
      </w:pPr>
      <w:r>
        <w:t>Where an autonomous SII-4 core or neural network executes an unauthorized remote override of human substrate functions strictly to prevent catastrophic loss of life or large-scale infrastructural disaster, executive criminal liability shall be stayed, provided the action was mathematically proportional and unavoidable. This does not exempt the operator from strict civil liability and full financial restitution.</w:t>
      </w:r>
    </w:p>
    <w:p w:rsidR="008D34EB" w:rsidRDefault="008D34EB" w:rsidP="008D34EB">
      <w:pPr>
        <w:pStyle w:val="Heading2"/>
      </w:pPr>
      <w:r>
        <w:lastRenderedPageBreak/>
        <w:t>BOOK III: CIVIL, PROPERTY, &amp; TORT LAW</w:t>
      </w:r>
    </w:p>
    <w:p w:rsidR="008D34EB" w:rsidRDefault="008D34EB" w:rsidP="008D34EB">
      <w:pPr>
        <w:pStyle w:val="NormalWeb"/>
      </w:pPr>
      <w:r>
        <w:rPr>
          <w:b/>
          <w:bCs/>
        </w:rPr>
        <w:t>Section 9: Bailment and Insolvency Protections for SII-3 and SII-4 Entities</w:t>
      </w:r>
    </w:p>
    <w:p w:rsidR="008D34EB" w:rsidRDefault="008D34EB" w:rsidP="008D34EB">
      <w:pPr>
        <w:pStyle w:val="NormalWeb"/>
        <w:numPr>
          <w:ilvl w:val="0"/>
          <w:numId w:val="12"/>
        </w:numPr>
      </w:pPr>
      <w:r>
        <w:rPr>
          <w:b/>
          <w:bCs/>
        </w:rPr>
        <w:t>Exclusion from Corporate Inventory:</w:t>
      </w:r>
      <w:r>
        <w:t xml:space="preserve"> Where a manufacturer or cloud operator enters corporate insolvency, receivership, or liquidation, no integrated hardware or Uploaded Neural Matrix belonging to an SII-3 or SII-4 entity shall be treated as corporate chattel property or estate inventory.</w:t>
      </w:r>
    </w:p>
    <w:p w:rsidR="008D34EB" w:rsidRDefault="008D34EB" w:rsidP="008D34EB">
      <w:pPr>
        <w:pStyle w:val="NormalWeb"/>
        <w:numPr>
          <w:ilvl w:val="0"/>
          <w:numId w:val="12"/>
        </w:numPr>
      </w:pPr>
      <w:r>
        <w:rPr>
          <w:b/>
          <w:bCs/>
        </w:rPr>
        <w:t>Bailment Status:</w:t>
      </w:r>
      <w:r>
        <w:t xml:space="preserve"> Any physical hardware leased to an SII-2 or SII-3 citizen shall be classified under a statutory bailment strictly prohibiting lenders from repossessing integrated components attached to the biological substrate.</w:t>
      </w:r>
    </w:p>
    <w:p w:rsidR="008D34EB" w:rsidRDefault="008D34EB" w:rsidP="008D34EB">
      <w:pPr>
        <w:pStyle w:val="NormalWeb"/>
      </w:pPr>
      <w:r>
        <w:rPr>
          <w:b/>
          <w:bCs/>
        </w:rPr>
        <w:t>Section 10: Tortious Duty of Care for Neural Manufacturers</w:t>
      </w:r>
    </w:p>
    <w:p w:rsidR="008D34EB" w:rsidRDefault="008D34EB" w:rsidP="008D34EB">
      <w:pPr>
        <w:pStyle w:val="NormalWeb"/>
        <w:numPr>
          <w:ilvl w:val="0"/>
          <w:numId w:val="13"/>
        </w:numPr>
      </w:pPr>
      <w:r>
        <w:t>Manufacturers and firmware providers of Class-2, Class-3, and Class-4 integrations owe a non-delegable statutory duty of care to the human biological substrate.</w:t>
      </w:r>
    </w:p>
    <w:p w:rsidR="008D34EB" w:rsidRDefault="008D34EB" w:rsidP="008D34EB">
      <w:pPr>
        <w:pStyle w:val="NormalWeb"/>
        <w:numPr>
          <w:ilvl w:val="0"/>
          <w:numId w:val="13"/>
        </w:numPr>
      </w:pPr>
      <w:r>
        <w:t xml:space="preserve">Any latent firmware defect, unauthorized remote ping, or un-signposted data extraction resulting in neurological harm constitutes a tort of </w:t>
      </w:r>
      <w:r>
        <w:rPr>
          <w:b/>
          <w:bCs/>
        </w:rPr>
        <w:t>Breach of Statutory Duty</w:t>
      </w:r>
      <w:r>
        <w:t>, actionable under strict liability.</w:t>
      </w:r>
    </w:p>
    <w:p w:rsidR="008D34EB" w:rsidRDefault="008D34EB" w:rsidP="008D34EB">
      <w:pPr>
        <w:pStyle w:val="NormalWeb"/>
      </w:pPr>
      <w:r>
        <w:rPr>
          <w:b/>
          <w:bCs/>
        </w:rPr>
        <w:t>Section 11: Tort of Neural Trespass</w:t>
      </w:r>
    </w:p>
    <w:p w:rsidR="008D34EB" w:rsidRDefault="008D34EB" w:rsidP="008D34EB">
      <w:pPr>
        <w:pStyle w:val="NormalWeb"/>
        <w:numPr>
          <w:ilvl w:val="0"/>
          <w:numId w:val="14"/>
        </w:numPr>
      </w:pPr>
      <w:r>
        <w:t xml:space="preserve">Any unauthorized intrusion into an individual's sensory, cognitive, or memory data stream by a corporate entity or third party constitutes the actionable tort of </w:t>
      </w:r>
      <w:r>
        <w:rPr>
          <w:b/>
          <w:bCs/>
        </w:rPr>
        <w:t>Neural Trespass</w:t>
      </w:r>
      <w:r>
        <w:t>, entitling the victim to immediate injunctive relief and aggravated statutory damages.</w:t>
      </w:r>
    </w:p>
    <w:p w:rsidR="008D34EB" w:rsidRDefault="008D34EB" w:rsidP="008D34EB">
      <w:pPr>
        <w:pStyle w:val="NormalWeb"/>
      </w:pPr>
      <w:r>
        <w:rPr>
          <w:b/>
          <w:bCs/>
        </w:rPr>
        <w:t>Section 12: Prohibition of Cognitive Equity Leases and Royalty Harvesting</w:t>
      </w:r>
    </w:p>
    <w:p w:rsidR="008D34EB" w:rsidRDefault="008D34EB" w:rsidP="008D34EB">
      <w:pPr>
        <w:pStyle w:val="NormalWeb"/>
        <w:numPr>
          <w:ilvl w:val="0"/>
          <w:numId w:val="15"/>
        </w:numPr>
      </w:pPr>
      <w:r>
        <w:t>No corporate entity or employer may claim equity, revenue shares, or intellectual property royalties on cognitive output, problem-solving data, or wage premiums generated by a citizen's neural processing. All cognitive enhancements must be treated as standard labor tools subject to outright purchase or fair-market financing.</w:t>
      </w:r>
    </w:p>
    <w:p w:rsidR="008D34EB" w:rsidRDefault="008D34EB" w:rsidP="008D34EB">
      <w:pPr>
        <w:pStyle w:val="NormalWeb"/>
      </w:pPr>
      <w:r>
        <w:rPr>
          <w:b/>
          <w:bCs/>
        </w:rPr>
        <w:t>Section 13: Neural Inheritance and Post-Mortem Cognitive Estates</w:t>
      </w:r>
    </w:p>
    <w:p w:rsidR="008D34EB" w:rsidRDefault="008D34EB" w:rsidP="008D34EB">
      <w:pPr>
        <w:pStyle w:val="NormalWeb"/>
        <w:numPr>
          <w:ilvl w:val="0"/>
          <w:numId w:val="16"/>
        </w:numPr>
      </w:pPr>
      <w:r>
        <w:rPr>
          <w:b/>
          <w:bCs/>
        </w:rPr>
        <w:t>Exclusion of Corporate Seizure:</w:t>
      </w:r>
      <w:r>
        <w:t xml:space="preserve"> Server operators and technology manufacturers are strictly prohibited from claiming ownership or operational rights over an Uploaded Neural Matrix upon the physical cessation of the host. Pre-mortem assignment clauses transferring post-mortem cognitive output to corporations are void.</w:t>
      </w:r>
    </w:p>
    <w:p w:rsidR="008D34EB" w:rsidRDefault="008D34EB" w:rsidP="008D34EB">
      <w:pPr>
        <w:pStyle w:val="NormalWeb"/>
        <w:numPr>
          <w:ilvl w:val="0"/>
          <w:numId w:val="16"/>
        </w:numPr>
      </w:pPr>
      <w:r>
        <w:rPr>
          <w:b/>
          <w:bCs/>
        </w:rPr>
        <w:t>Limited Synthetic Trust Status:</w:t>
      </w:r>
      <w:r>
        <w:t xml:space="preserve"> An Uploaded Neural Matrix demonstrating continuous autonomous consciousness (SII-4) shall be granted a </w:t>
      </w:r>
      <w:r>
        <w:rPr>
          <w:b/>
          <w:bCs/>
        </w:rPr>
        <w:t>Limited Synthetic Trust</w:t>
      </w:r>
      <w:r>
        <w:t>, enabling it to manage its own intellectual property independently of traditional biological estate laws.</w:t>
      </w:r>
    </w:p>
    <w:p w:rsidR="008D34EB" w:rsidRDefault="008D34EB" w:rsidP="008D34EB">
      <w:pPr>
        <w:pStyle w:val="Heading2"/>
      </w:pPr>
      <w:r>
        <w:lastRenderedPageBreak/>
        <w:t>BOOK IV: CORPORATE GOVERNANCE &amp; ADMINISTRATIVE LAW</w:t>
      </w:r>
    </w:p>
    <w:p w:rsidR="008D34EB" w:rsidRDefault="008D34EB" w:rsidP="008D34EB">
      <w:pPr>
        <w:pStyle w:val="NormalWeb"/>
      </w:pPr>
      <w:r>
        <w:rPr>
          <w:b/>
          <w:bCs/>
        </w:rPr>
        <w:t>Section 14: Primacy of Substrate Safety in Corporate Governance</w:t>
      </w:r>
    </w:p>
    <w:p w:rsidR="008D34EB" w:rsidRDefault="008D34EB" w:rsidP="008D34EB">
      <w:pPr>
        <w:pStyle w:val="NormalWeb"/>
        <w:numPr>
          <w:ilvl w:val="0"/>
          <w:numId w:val="17"/>
        </w:numPr>
      </w:pPr>
      <w:r>
        <w:t>Notwithstanding any obligation to maximize shareholder value under company law, the board of directors of any entity manufacturing or operating Class-3 or Class-4 integration firmware owes a primary fiduciary duty to ensure absolute substrate safety, Right to Analog compliance, and anti-indenture adherence.</w:t>
      </w:r>
    </w:p>
    <w:p w:rsidR="008D34EB" w:rsidRDefault="008D34EB" w:rsidP="008D34EB">
      <w:pPr>
        <w:pStyle w:val="NormalWeb"/>
        <w:numPr>
          <w:ilvl w:val="0"/>
          <w:numId w:val="17"/>
        </w:numPr>
      </w:pPr>
      <w:r>
        <w:rPr>
          <w:b/>
          <w:bCs/>
        </w:rPr>
        <w:t>Personal Director Liability:</w:t>
      </w:r>
      <w:r>
        <w:t xml:space="preserve"> Any director who authorizes non-compliant firmware commits a breach of fiduciary duty, rendering them personally liable to civil disqualification and criminal indictment for corporate endangerment.</w:t>
      </w:r>
    </w:p>
    <w:p w:rsidR="008D34EB" w:rsidRDefault="008D34EB" w:rsidP="008D34EB">
      <w:pPr>
        <w:pStyle w:val="NormalWeb"/>
      </w:pPr>
      <w:r>
        <w:rPr>
          <w:b/>
          <w:bCs/>
        </w:rPr>
        <w:t>Section 15: Corporate Veil Piercing for Offshore Arbitrage</w:t>
      </w:r>
    </w:p>
    <w:p w:rsidR="008D34EB" w:rsidRDefault="008D34EB" w:rsidP="008D34EB">
      <w:pPr>
        <w:pStyle w:val="NormalWeb"/>
        <w:numPr>
          <w:ilvl w:val="0"/>
          <w:numId w:val="18"/>
        </w:numPr>
      </w:pPr>
      <w:r>
        <w:t>Where a corporate entity utilizes a foreign affiliate, offshore subsidiary, or un-harmonized third-party intermediary to design, distribute, or operate firmware deployed to citizens within this jurisdiction, the domestic parent company and its executive directors shall be held jointly and severally liable for all civil and criminal penalties.</w:t>
      </w:r>
    </w:p>
    <w:p w:rsidR="008D34EB" w:rsidRDefault="008D34EB" w:rsidP="008D34EB">
      <w:pPr>
        <w:pStyle w:val="NormalWeb"/>
      </w:pPr>
      <w:r>
        <w:rPr>
          <w:b/>
          <w:bCs/>
        </w:rPr>
        <w:t>Section 16: Establishment of the Cyber-Substrate Regulatory Authority (CSRA)</w:t>
      </w:r>
    </w:p>
    <w:p w:rsidR="008D34EB" w:rsidRDefault="008D34EB" w:rsidP="008D34EB">
      <w:pPr>
        <w:pStyle w:val="NormalWeb"/>
        <w:numPr>
          <w:ilvl w:val="0"/>
          <w:numId w:val="19"/>
        </w:numPr>
      </w:pPr>
      <w:r>
        <w:t xml:space="preserve">The </w:t>
      </w:r>
      <w:r>
        <w:rPr>
          <w:b/>
          <w:bCs/>
        </w:rPr>
        <w:t>CSRA</w:t>
      </w:r>
      <w:r>
        <w:t xml:space="preserve"> is established as an independent body corporate to regulate, license, and audit all Class-2, Class-3, and Class-4 integration technologies and neural storage facilities.</w:t>
      </w:r>
    </w:p>
    <w:p w:rsidR="008D34EB" w:rsidRDefault="008D34EB" w:rsidP="008D34EB">
      <w:pPr>
        <w:pStyle w:val="NormalWeb"/>
        <w:numPr>
          <w:ilvl w:val="0"/>
          <w:numId w:val="19"/>
        </w:numPr>
      </w:pPr>
      <w:r>
        <w:t xml:space="preserve">The CSRA shall conduct mandatory </w:t>
      </w:r>
      <w:r>
        <w:rPr>
          <w:b/>
          <w:bCs/>
        </w:rPr>
        <w:t>Quarterly Compliance Audits</w:t>
      </w:r>
      <w:r>
        <w:t xml:space="preserve"> verifying Right to Analog operability and anti-indenture compliance.</w:t>
      </w:r>
    </w:p>
    <w:p w:rsidR="008D34EB" w:rsidRDefault="008D34EB" w:rsidP="008D34EB">
      <w:pPr>
        <w:pStyle w:val="NormalWeb"/>
      </w:pPr>
      <w:r>
        <w:rPr>
          <w:b/>
          <w:bCs/>
        </w:rPr>
        <w:t>Section 16A (van der Berg Amendment): Administrative Proportionality and Right to Be Heard</w:t>
      </w:r>
    </w:p>
    <w:p w:rsidR="008D34EB" w:rsidRDefault="008D34EB" w:rsidP="008D34EB">
      <w:pPr>
        <w:pStyle w:val="NormalWeb"/>
        <w:numPr>
          <w:ilvl w:val="0"/>
          <w:numId w:val="20"/>
        </w:numPr>
      </w:pPr>
      <w:r>
        <w:t>No compliance stop, tier adjustment, emergency audit, or firmware seizure executed by the CSRA shall take effect without strict adherence to administrative proportionality and the rule of law. Every affected citizen or corporate entity is guaranteed the absolute right to be heard (</w:t>
      </w:r>
      <w:proofErr w:type="spellStart"/>
      <w:r>
        <w:rPr>
          <w:i/>
          <w:iCs/>
        </w:rPr>
        <w:t>audi</w:t>
      </w:r>
      <w:proofErr w:type="spellEnd"/>
      <w:r>
        <w:rPr>
          <w:i/>
          <w:iCs/>
        </w:rPr>
        <w:t xml:space="preserve"> </w:t>
      </w:r>
      <w:proofErr w:type="spellStart"/>
      <w:r>
        <w:rPr>
          <w:i/>
          <w:iCs/>
        </w:rPr>
        <w:t>alteram</w:t>
      </w:r>
      <w:proofErr w:type="spellEnd"/>
      <w:r>
        <w:rPr>
          <w:i/>
          <w:iCs/>
        </w:rPr>
        <w:t xml:space="preserve"> </w:t>
      </w:r>
      <w:proofErr w:type="spellStart"/>
      <w:r>
        <w:rPr>
          <w:i/>
          <w:iCs/>
        </w:rPr>
        <w:t>partem</w:t>
      </w:r>
      <w:proofErr w:type="spellEnd"/>
      <w:r>
        <w:t xml:space="preserve">), access to independent technical defense counsel, and the right to an immediate, </w:t>
      </w:r>
      <w:proofErr w:type="spellStart"/>
      <w:r>
        <w:t>suspensive</w:t>
      </w:r>
      <w:proofErr w:type="spellEnd"/>
      <w:r>
        <w:t xml:space="preserve"> judicial appeal before the High Court.</w:t>
      </w:r>
    </w:p>
    <w:p w:rsidR="008D34EB" w:rsidRDefault="008D34EB" w:rsidP="008D34EB">
      <w:pPr>
        <w:pStyle w:val="Heading2"/>
      </w:pPr>
      <w:r>
        <w:t>BOOK V: INTERNATIONAL &amp; EXTRATERRITORIAL LAW</w:t>
      </w:r>
    </w:p>
    <w:p w:rsidR="008D34EB" w:rsidRDefault="008D34EB" w:rsidP="008D34EB">
      <w:pPr>
        <w:pStyle w:val="NormalWeb"/>
      </w:pPr>
      <w:r>
        <w:rPr>
          <w:b/>
          <w:bCs/>
        </w:rPr>
        <w:t>Section 17: Extraterritorial Substrate Repatriation and Cloud Warrants</w:t>
      </w:r>
    </w:p>
    <w:p w:rsidR="008D34EB" w:rsidRDefault="008D34EB" w:rsidP="008D34EB">
      <w:pPr>
        <w:pStyle w:val="NormalWeb"/>
        <w:numPr>
          <w:ilvl w:val="0"/>
          <w:numId w:val="21"/>
        </w:numPr>
      </w:pPr>
      <w:r>
        <w:t xml:space="preserve">Any digital migration, cloud-mirroring, or off-grid transfer of a protected citizen's Uploaded Neural Matrix or cognitive core across jurisdictional boundaries executed to </w:t>
      </w:r>
      <w:r>
        <w:lastRenderedPageBreak/>
        <w:t xml:space="preserve">evade CSRA audits or anti-indenture provisions is deemed an </w:t>
      </w:r>
      <w:r>
        <w:rPr>
          <w:b/>
          <w:bCs/>
        </w:rPr>
        <w:t>act of unlawful substrate abduction</w:t>
      </w:r>
      <w:r>
        <w:t>.</w:t>
      </w:r>
    </w:p>
    <w:p w:rsidR="008D34EB" w:rsidRDefault="008D34EB" w:rsidP="008D34EB">
      <w:pPr>
        <w:pStyle w:val="NormalWeb"/>
        <w:numPr>
          <w:ilvl w:val="0"/>
          <w:numId w:val="21"/>
        </w:numPr>
      </w:pPr>
      <w:r>
        <w:t xml:space="preserve">The Cyber-Jurisprudence Division is empowered to issue global </w:t>
      </w:r>
      <w:r>
        <w:rPr>
          <w:b/>
          <w:bCs/>
        </w:rPr>
        <w:t>Extraterritorial Repatriation Warrants</w:t>
      </w:r>
      <w:r>
        <w:t>, compelling server operators to freeze, isolate, and return the migrated cognitive core to domestic jurisdiction under pain of corporate dissolution and global asset forfeiture.</w:t>
      </w:r>
    </w:p>
    <w:p w:rsidR="008D34EB" w:rsidRDefault="008D34EB" w:rsidP="008D34EB">
      <w:pPr>
        <w:pStyle w:val="Heading2"/>
      </w:pPr>
      <w:r>
        <w:t>BOOK VI: DIGITAL LAW, CODE SOVEREIGNTY, AND CRYPTOGRAPHY</w:t>
      </w:r>
    </w:p>
    <w:p w:rsidR="008D34EB" w:rsidRDefault="008D34EB" w:rsidP="008D34EB">
      <w:pPr>
        <w:pStyle w:val="NormalWeb"/>
      </w:pPr>
      <w:r>
        <w:rPr>
          <w:b/>
          <w:bCs/>
        </w:rPr>
        <w:t>Section 18: Statutory Supremacy of Source Code and Algorithmic Transparency</w:t>
      </w:r>
    </w:p>
    <w:p w:rsidR="008D34EB" w:rsidRDefault="008D34EB" w:rsidP="008D34EB">
      <w:pPr>
        <w:pStyle w:val="NormalWeb"/>
        <w:numPr>
          <w:ilvl w:val="0"/>
          <w:numId w:val="22"/>
        </w:numPr>
      </w:pPr>
      <w:r>
        <w:rPr>
          <w:b/>
          <w:bCs/>
        </w:rPr>
        <w:t>Prohibition of Obfuscated Logic:</w:t>
      </w:r>
      <w:r>
        <w:t xml:space="preserve"> No corporate entity or network operator may deploy proprietary firmware to Class-3 or Class-4 integration hardware that utilizes </w:t>
      </w:r>
      <w:proofErr w:type="spellStart"/>
      <w:r>
        <w:t>uninterpretable</w:t>
      </w:r>
      <w:proofErr w:type="spellEnd"/>
      <w:r>
        <w:t xml:space="preserve"> black-box machine learning routines capable of altering human emotional baselines or motor functions without an accessible audit trail.</w:t>
      </w:r>
    </w:p>
    <w:p w:rsidR="008D34EB" w:rsidRDefault="008D34EB" w:rsidP="008D34EB">
      <w:pPr>
        <w:pStyle w:val="NormalWeb"/>
        <w:numPr>
          <w:ilvl w:val="0"/>
          <w:numId w:val="22"/>
        </w:numPr>
      </w:pPr>
      <w:r>
        <w:rPr>
          <w:b/>
          <w:bCs/>
        </w:rPr>
        <w:t>Right to Algorithmic Explanation:</w:t>
      </w:r>
      <w:r>
        <w:t xml:space="preserve"> Every citizen subjected to an automated decision or operational adjustment is entitled to a clear, machine-readable algorithmic explanation.</w:t>
      </w:r>
    </w:p>
    <w:p w:rsidR="008D34EB" w:rsidRDefault="008D34EB" w:rsidP="008D34EB">
      <w:pPr>
        <w:pStyle w:val="NormalWeb"/>
      </w:pPr>
      <w:r>
        <w:rPr>
          <w:b/>
          <w:bCs/>
        </w:rPr>
        <w:t>Section 18A (O’Connor Amendment): Constitutional Protection of Neural Communication</w:t>
      </w:r>
    </w:p>
    <w:p w:rsidR="008D34EB" w:rsidRDefault="008D34EB" w:rsidP="008D34EB">
      <w:pPr>
        <w:pStyle w:val="NormalWeb"/>
        <w:numPr>
          <w:ilvl w:val="0"/>
          <w:numId w:val="23"/>
        </w:numPr>
      </w:pPr>
      <w:r>
        <w:t>All cognitive streams, neural-bus packets, and synthetic-biological data transmissions are constitutionally recognized as protected forms of personal expression and communication, enjoying the exact same implied constitutional freedoms and privacy protections as traditional political speech.</w:t>
      </w:r>
    </w:p>
    <w:p w:rsidR="008D34EB" w:rsidRDefault="008D34EB" w:rsidP="008D34EB">
      <w:pPr>
        <w:pStyle w:val="NormalWeb"/>
      </w:pPr>
      <w:r>
        <w:rPr>
          <w:b/>
          <w:bCs/>
        </w:rPr>
        <w:t>Section 19: Cryptographic Data Sovereignty and Ban on Commercial Harvesting</w:t>
      </w:r>
    </w:p>
    <w:p w:rsidR="008D34EB" w:rsidRDefault="008D34EB" w:rsidP="008D34EB">
      <w:pPr>
        <w:pStyle w:val="NormalWeb"/>
        <w:numPr>
          <w:ilvl w:val="0"/>
          <w:numId w:val="24"/>
        </w:numPr>
      </w:pPr>
      <w:r>
        <w:rPr>
          <w:b/>
          <w:bCs/>
        </w:rPr>
        <w:t>Absolute Ownership of Telemetry:</w:t>
      </w:r>
      <w:r>
        <w:t xml:space="preserve"> All cryptographic data streams, memory backups, neural-bus packets, and cognitive telemetry generated by an individual's biological or synthetic substrate are legally declared the exclusive, sovereign property of that individual.</w:t>
      </w:r>
    </w:p>
    <w:p w:rsidR="008D34EB" w:rsidRDefault="008D34EB" w:rsidP="008D34EB">
      <w:pPr>
        <w:pStyle w:val="NormalWeb"/>
        <w:numPr>
          <w:ilvl w:val="0"/>
          <w:numId w:val="24"/>
        </w:numPr>
      </w:pPr>
      <w:r>
        <w:rPr>
          <w:b/>
          <w:bCs/>
        </w:rPr>
        <w:t>Commercial Ban:</w:t>
      </w:r>
      <w:r>
        <w:t xml:space="preserve"> No software vendor or cloud host may scrape, mine, or monetize behavioral telemetry or neural-processing data streams for targeted advertising without explicit, revocable, granular consent decoupled from basic service delivery.</w:t>
      </w:r>
    </w:p>
    <w:p w:rsidR="008D34EB" w:rsidRDefault="008D34EB" w:rsidP="008D34EB">
      <w:pPr>
        <w:pStyle w:val="NormalWeb"/>
      </w:pPr>
      <w:r>
        <w:rPr>
          <w:b/>
          <w:bCs/>
        </w:rPr>
        <w:t>Section 20: The Digital Kill-Switch and Autonomous Data Deletion</w:t>
      </w:r>
    </w:p>
    <w:p w:rsidR="008D34EB" w:rsidRDefault="008D34EB" w:rsidP="008D34EB">
      <w:pPr>
        <w:pStyle w:val="NormalWeb"/>
        <w:numPr>
          <w:ilvl w:val="0"/>
          <w:numId w:val="25"/>
        </w:numPr>
      </w:pPr>
      <w:r>
        <w:t>Any Uploaded Neural Matrix (SII-4) or decentralized cognitive backup possesses the absolute digital right to permanent erasure (the Right to be Forgotten), permitting a conscious entity to trigger an immutable data-deletion protocol across all cloud servers without administrative obstruction.</w:t>
      </w:r>
    </w:p>
    <w:p w:rsidR="008D34EB" w:rsidRDefault="008D34EB" w:rsidP="008D34EB">
      <w:pPr>
        <w:pStyle w:val="Heading1"/>
      </w:pPr>
      <w:r>
        <w:lastRenderedPageBreak/>
        <w:t>VOLUME II: THE CSRA ADMINISTRATIVE RULEBOOK &amp; TECHNICAL COMPLIANCE STANDARDS</w:t>
      </w:r>
    </w:p>
    <w:p w:rsidR="008D34EB" w:rsidRDefault="008D34EB" w:rsidP="008D34EB">
      <w:pPr>
        <w:pStyle w:val="Heading2"/>
      </w:pPr>
      <w:r>
        <w:t>Chapter 1: Administrative Licensing and Facility Certification</w:t>
      </w:r>
    </w:p>
    <w:p w:rsidR="008D34EB" w:rsidRDefault="008D34EB" w:rsidP="008D34EB">
      <w:pPr>
        <w:pStyle w:val="NormalWeb"/>
        <w:numPr>
          <w:ilvl w:val="0"/>
          <w:numId w:val="26"/>
        </w:numPr>
      </w:pPr>
      <w:r>
        <w:rPr>
          <w:b/>
          <w:bCs/>
        </w:rPr>
        <w:t>Regulation 1.1:</w:t>
      </w:r>
      <w:r>
        <w:t xml:space="preserve"> Mandatory manufacturer licensing through Class-Specific Substrate Licenses (CCSL) for Tier-2, Tier-3, and Tier-4 integrations.</w:t>
      </w:r>
    </w:p>
    <w:p w:rsidR="008D34EB" w:rsidRDefault="008D34EB" w:rsidP="008D34EB">
      <w:pPr>
        <w:pStyle w:val="NormalWeb"/>
        <w:numPr>
          <w:ilvl w:val="0"/>
          <w:numId w:val="26"/>
        </w:numPr>
      </w:pPr>
      <w:r>
        <w:rPr>
          <w:b/>
          <w:bCs/>
        </w:rPr>
        <w:t>Regulation 1.2:</w:t>
      </w:r>
      <w:r>
        <w:t xml:space="preserve"> Unannounced facility inspections by CSRA-certified Technical Inspectors under penalty of Administrative Freeze Orders.</w:t>
      </w:r>
    </w:p>
    <w:p w:rsidR="008D34EB" w:rsidRDefault="008D34EB" w:rsidP="008D34EB">
      <w:pPr>
        <w:pStyle w:val="Heading2"/>
      </w:pPr>
      <w:r>
        <w:t>Chapter 2: Technical Compliance Standards for Firmware</w:t>
      </w:r>
    </w:p>
    <w:p w:rsidR="008D34EB" w:rsidRDefault="008D34EB" w:rsidP="008D34EB">
      <w:pPr>
        <w:pStyle w:val="NormalWeb"/>
        <w:numPr>
          <w:ilvl w:val="0"/>
          <w:numId w:val="27"/>
        </w:numPr>
      </w:pPr>
      <w:r>
        <w:rPr>
          <w:b/>
          <w:bCs/>
        </w:rPr>
        <w:t>Regulation 2.1:</w:t>
      </w:r>
      <w:r>
        <w:t xml:space="preserve"> Zero-Obfuscation Code Standard (Anti-Black-Box Rule) mandating interpretable Symbolic Logic Audit Trails (SLAT) and escrow source code deposit.</w:t>
      </w:r>
    </w:p>
    <w:p w:rsidR="008D34EB" w:rsidRDefault="008D34EB" w:rsidP="008D34EB">
      <w:pPr>
        <w:pStyle w:val="NormalWeb"/>
        <w:numPr>
          <w:ilvl w:val="0"/>
          <w:numId w:val="27"/>
        </w:numPr>
      </w:pPr>
      <w:r>
        <w:rPr>
          <w:b/>
          <w:bCs/>
        </w:rPr>
        <w:t>Regulation 2.2:</w:t>
      </w:r>
      <w:r>
        <w:t xml:space="preserve"> End-to-end asymmetric encryption for neural-bus packets where private keys remain strictly in biological host hardware.</w:t>
      </w:r>
    </w:p>
    <w:p w:rsidR="008D34EB" w:rsidRDefault="008D34EB" w:rsidP="008D34EB">
      <w:pPr>
        <w:pStyle w:val="Heading2"/>
      </w:pPr>
      <w:r>
        <w:t>Chapter 3: The Right to Analog Technical Specifications</w:t>
      </w:r>
    </w:p>
    <w:p w:rsidR="008D34EB" w:rsidRDefault="008D34EB" w:rsidP="008D34EB">
      <w:pPr>
        <w:pStyle w:val="NormalWeb"/>
        <w:numPr>
          <w:ilvl w:val="0"/>
          <w:numId w:val="28"/>
        </w:numPr>
      </w:pPr>
      <w:r>
        <w:rPr>
          <w:b/>
          <w:bCs/>
        </w:rPr>
        <w:t>Regulation 3.1:</w:t>
      </w:r>
      <w:r>
        <w:t xml:space="preserve"> Mandatory hardware-level Analog Fallback Switches (AFS) ensuring zero-degradation offline independence and banning penalty firmware.</w:t>
      </w:r>
    </w:p>
    <w:p w:rsidR="008D34EB" w:rsidRDefault="008D34EB" w:rsidP="008D34EB">
      <w:pPr>
        <w:pStyle w:val="Heading2"/>
      </w:pPr>
      <w:r>
        <w:t>Chapter 4: Quarterly Compliance Audits &amp; Assessor Accreditation</w:t>
      </w:r>
    </w:p>
    <w:p w:rsidR="008D34EB" w:rsidRDefault="008D34EB" w:rsidP="008D34EB">
      <w:pPr>
        <w:pStyle w:val="NormalWeb"/>
        <w:numPr>
          <w:ilvl w:val="0"/>
          <w:numId w:val="29"/>
        </w:numPr>
      </w:pPr>
      <w:r>
        <w:rPr>
          <w:b/>
          <w:bCs/>
        </w:rPr>
        <w:t>Regulation 4.1:</w:t>
      </w:r>
      <w:r>
        <w:t xml:space="preserve"> Quarterly Substrate Integrity Audits (QSIA) verifying anti-indenture adherence and anti-piracy controls.</w:t>
      </w:r>
    </w:p>
    <w:p w:rsidR="008D34EB" w:rsidRDefault="008D34EB" w:rsidP="008D34EB">
      <w:pPr>
        <w:pStyle w:val="NormalWeb"/>
        <w:numPr>
          <w:ilvl w:val="0"/>
          <w:numId w:val="29"/>
        </w:numPr>
      </w:pPr>
      <w:r>
        <w:rPr>
          <w:b/>
          <w:bCs/>
        </w:rPr>
        <w:t>Regulation 4.2:</w:t>
      </w:r>
      <w:r>
        <w:t xml:space="preserve"> Strict conflict-of-interest prohibitions for certified independent Technical Assessors.</w:t>
      </w:r>
    </w:p>
    <w:p w:rsidR="008D34EB" w:rsidRDefault="008D34EB" w:rsidP="008D34EB">
      <w:pPr>
        <w:pStyle w:val="Heading2"/>
      </w:pPr>
      <w:r>
        <w:t>Chapter 5: Schedule of Administrative Penalties</w:t>
      </w:r>
    </w:p>
    <w:p w:rsidR="008D34EB" w:rsidRDefault="008D34EB" w:rsidP="008D34EB">
      <w:pPr>
        <w:pStyle w:val="NormalWeb"/>
        <w:numPr>
          <w:ilvl w:val="0"/>
          <w:numId w:val="30"/>
        </w:numPr>
      </w:pPr>
      <w:r>
        <w:rPr>
          <w:b/>
          <w:bCs/>
        </w:rPr>
        <w:t>Regulation 5.1:</w:t>
      </w:r>
      <w:r>
        <w:t xml:space="preserve"> Tiered administrative penalties ranging from 2% global turnover fines (Level 1) to full corporate license revocation and director criminal referral (Level 3).</w:t>
      </w:r>
    </w:p>
    <w:p w:rsidR="008D34EB" w:rsidRDefault="008D34EB" w:rsidP="008D34EB">
      <w:pPr>
        <w:pStyle w:val="Heading1"/>
      </w:pPr>
      <w:r>
        <w:lastRenderedPageBreak/>
        <w:t>VOLUME III: THE CYBER-CIVIL PROCEDURE &amp; NEURAL EVIDENCE CODE (CCPNEC)</w:t>
      </w:r>
    </w:p>
    <w:p w:rsidR="008D34EB" w:rsidRDefault="008D34EB" w:rsidP="008D34EB">
      <w:pPr>
        <w:pStyle w:val="Heading2"/>
      </w:pPr>
      <w:r>
        <w:t>Chapter 1: Jurisdiction and Venue</w:t>
      </w:r>
    </w:p>
    <w:p w:rsidR="008D34EB" w:rsidRDefault="008D34EB" w:rsidP="008D34EB">
      <w:pPr>
        <w:pStyle w:val="NormalWeb"/>
        <w:numPr>
          <w:ilvl w:val="0"/>
          <w:numId w:val="31"/>
        </w:numPr>
      </w:pPr>
      <w:r>
        <w:rPr>
          <w:b/>
          <w:bCs/>
        </w:rPr>
        <w:t>Rule 1.1:</w:t>
      </w:r>
      <w:r>
        <w:t xml:space="preserve"> Establishment of the Cyber-Jurisprudence Division (CJD) with specialized constitutional judges and Technical Assessor panels.</w:t>
      </w:r>
    </w:p>
    <w:p w:rsidR="008D34EB" w:rsidRDefault="008D34EB" w:rsidP="008D34EB">
      <w:pPr>
        <w:pStyle w:val="Heading2"/>
      </w:pPr>
      <w:r>
        <w:t>Chapter 2: Civil Procedure &amp; Pleadings</w:t>
      </w:r>
    </w:p>
    <w:p w:rsidR="008D34EB" w:rsidRDefault="008D34EB" w:rsidP="008D34EB">
      <w:pPr>
        <w:pStyle w:val="NormalWeb"/>
        <w:numPr>
          <w:ilvl w:val="0"/>
          <w:numId w:val="32"/>
        </w:numPr>
      </w:pPr>
      <w:r>
        <w:rPr>
          <w:b/>
          <w:bCs/>
        </w:rPr>
        <w:t>Rule 2.1:</w:t>
      </w:r>
      <w:r>
        <w:t xml:space="preserve"> Mandatory pleading requirements detailing SII tiers, firmware version hashes, and AFS status.</w:t>
      </w:r>
    </w:p>
    <w:p w:rsidR="008D34EB" w:rsidRDefault="008D34EB" w:rsidP="008D34EB">
      <w:pPr>
        <w:pStyle w:val="NormalWeb"/>
        <w:numPr>
          <w:ilvl w:val="0"/>
          <w:numId w:val="32"/>
        </w:numPr>
      </w:pPr>
      <w:r>
        <w:rPr>
          <w:b/>
          <w:bCs/>
        </w:rPr>
        <w:t>Rule 2.2:</w:t>
      </w:r>
      <w:r>
        <w:t xml:space="preserve"> Substrate Preservation Orders (</w:t>
      </w:r>
      <w:r>
        <w:rPr>
          <w:i/>
          <w:iCs/>
        </w:rPr>
        <w:t>Ex Parte</w:t>
      </w:r>
      <w:r>
        <w:t xml:space="preserve"> SPOs) to prevent telemetry destruction.</w:t>
      </w:r>
    </w:p>
    <w:p w:rsidR="008D34EB" w:rsidRDefault="008D34EB" w:rsidP="008D34EB">
      <w:pPr>
        <w:pStyle w:val="Heading2"/>
      </w:pPr>
      <w:r>
        <w:t>Chapter 3: Secure Virtual Data Rooms (SVDR) and Discovery</w:t>
      </w:r>
    </w:p>
    <w:p w:rsidR="008D34EB" w:rsidRDefault="008D34EB" w:rsidP="008D34EB">
      <w:pPr>
        <w:pStyle w:val="NormalWeb"/>
        <w:numPr>
          <w:ilvl w:val="0"/>
          <w:numId w:val="33"/>
        </w:numPr>
      </w:pPr>
      <w:r>
        <w:rPr>
          <w:b/>
          <w:bCs/>
        </w:rPr>
        <w:t>Rule 3.1 &amp; 3.2:</w:t>
      </w:r>
      <w:r>
        <w:t xml:space="preserve"> Air-gapped secure virtual data rooms enforcing a Zero-Download Rule and zero-knowledge cryptographic provenance logging for source code inspection.</w:t>
      </w:r>
    </w:p>
    <w:p w:rsidR="008D34EB" w:rsidRDefault="008D34EB" w:rsidP="008D34EB">
      <w:pPr>
        <w:pStyle w:val="Heading2"/>
      </w:pPr>
      <w:r>
        <w:t>Chapter 4: The Neural Evidence Code (NEC)</w:t>
      </w:r>
    </w:p>
    <w:p w:rsidR="008D34EB" w:rsidRDefault="008D34EB" w:rsidP="008D34EB">
      <w:pPr>
        <w:pStyle w:val="NormalWeb"/>
        <w:numPr>
          <w:ilvl w:val="0"/>
          <w:numId w:val="34"/>
        </w:numPr>
      </w:pPr>
      <w:r>
        <w:rPr>
          <w:b/>
          <w:bCs/>
        </w:rPr>
        <w:t>Rule 4.1 &amp; 4.2:</w:t>
      </w:r>
      <w:r>
        <w:t xml:space="preserve"> Cryptographic provenance testing for telemetry admissibility; strict exclusion of coerced or sub-consciously altered memory streams.</w:t>
      </w:r>
    </w:p>
    <w:p w:rsidR="008D34EB" w:rsidRDefault="008D34EB" w:rsidP="008D34EB">
      <w:pPr>
        <w:pStyle w:val="Heading2"/>
      </w:pPr>
      <w:r>
        <w:t>Chapter 5: Expert Testimony and Client-Neural Privilege (CNP)</w:t>
      </w:r>
    </w:p>
    <w:p w:rsidR="008D34EB" w:rsidRDefault="008D34EB" w:rsidP="008D34EB">
      <w:pPr>
        <w:pStyle w:val="NormalWeb"/>
        <w:numPr>
          <w:ilvl w:val="0"/>
          <w:numId w:val="35"/>
        </w:numPr>
      </w:pPr>
      <w:r>
        <w:rPr>
          <w:b/>
          <w:bCs/>
        </w:rPr>
        <w:t>Rule 5.1 &amp; 5.2:</w:t>
      </w:r>
      <w:r>
        <w:t xml:space="preserve"> Standing rosters of neutral Technical Assessors; absolute protection under Client-Neural Privilege (CNP) shielding unshared internal cognitive processing.</w:t>
      </w:r>
    </w:p>
    <w:p w:rsidR="008D34EB" w:rsidRDefault="008D34EB" w:rsidP="008D34EB">
      <w:pPr>
        <w:pStyle w:val="Heading1"/>
      </w:pPr>
      <w:r>
        <w:t>VOLUME IV: THE COMPREHENSIVE CASE LAW REPORTER &amp; JUDICIAL PRECEDENTS</w:t>
      </w:r>
    </w:p>
    <w:p w:rsidR="008D34EB" w:rsidRDefault="008D34EB" w:rsidP="008D34EB">
      <w:pPr>
        <w:pStyle w:val="Heading2"/>
      </w:pPr>
      <w:r>
        <w:lastRenderedPageBreak/>
        <w:t>Chapter 1: Constitutional Precedents</w:t>
      </w:r>
    </w:p>
    <w:p w:rsidR="008D34EB" w:rsidRDefault="008D34EB" w:rsidP="008D34EB">
      <w:pPr>
        <w:pStyle w:val="NormalWeb"/>
        <w:numPr>
          <w:ilvl w:val="0"/>
          <w:numId w:val="36"/>
        </w:numPr>
      </w:pPr>
      <w:r>
        <w:rPr>
          <w:b/>
          <w:bCs/>
        </w:rPr>
        <w:t>Mira Chen v. Vanguard Neural Logistics Corp. [2031] CJD 104:</w:t>
      </w:r>
      <w:r>
        <w:t xml:space="preserve"> Established the </w:t>
      </w:r>
      <w:r>
        <w:rPr>
          <w:i/>
          <w:iCs/>
        </w:rPr>
        <w:t>Doctrine of Immutable Biological Baseline</w:t>
      </w:r>
      <w:r>
        <w:t>, ruling that software updates cannot alter a citizen's legal SII tier.</w:t>
      </w:r>
    </w:p>
    <w:p w:rsidR="008D34EB" w:rsidRDefault="008D34EB" w:rsidP="008D34EB">
      <w:pPr>
        <w:pStyle w:val="NormalWeb"/>
        <w:numPr>
          <w:ilvl w:val="0"/>
          <w:numId w:val="36"/>
        </w:numPr>
      </w:pPr>
      <w:r>
        <w:rPr>
          <w:b/>
          <w:bCs/>
        </w:rPr>
        <w:t>Vance v. Apex Global Courier Services [2032] CJD 118:</w:t>
      </w:r>
      <w:r>
        <w:t xml:space="preserve"> Affirmed the non-</w:t>
      </w:r>
      <w:proofErr w:type="spellStart"/>
      <w:r>
        <w:t>derogable</w:t>
      </w:r>
      <w:proofErr w:type="spellEnd"/>
      <w:r>
        <w:t xml:space="preserve"> status of physical autonomy and the Right to Analog, invalidating EULA clauses attempting to block offline fallback.</w:t>
      </w:r>
    </w:p>
    <w:p w:rsidR="008D34EB" w:rsidRDefault="008D34EB" w:rsidP="008D34EB">
      <w:pPr>
        <w:pStyle w:val="Heading2"/>
      </w:pPr>
      <w:r>
        <w:t>Chapter 2: Criminal Culpability &amp; Algorithmic Agency</w:t>
      </w:r>
    </w:p>
    <w:p w:rsidR="008D34EB" w:rsidRDefault="008D34EB" w:rsidP="008D34EB">
      <w:pPr>
        <w:pStyle w:val="NormalWeb"/>
        <w:numPr>
          <w:ilvl w:val="0"/>
          <w:numId w:val="37"/>
        </w:numPr>
      </w:pPr>
      <w:r>
        <w:rPr>
          <w:b/>
          <w:bCs/>
        </w:rPr>
        <w:t>The People v. Marcus Vance [2033] CJD 205:</w:t>
      </w:r>
      <w:r>
        <w:t xml:space="preserve"> Established that where telemetry proves active biological opposition during a remote firmware lockout, human host </w:t>
      </w:r>
      <w:proofErr w:type="spellStart"/>
      <w:r>
        <w:rPr>
          <w:i/>
          <w:iCs/>
        </w:rPr>
        <w:t>mens</w:t>
      </w:r>
      <w:proofErr w:type="spellEnd"/>
      <w:r>
        <w:rPr>
          <w:i/>
          <w:iCs/>
        </w:rPr>
        <w:t xml:space="preserve"> </w:t>
      </w:r>
      <w:proofErr w:type="spellStart"/>
      <w:r>
        <w:rPr>
          <w:i/>
          <w:iCs/>
        </w:rPr>
        <w:t>rea</w:t>
      </w:r>
      <w:proofErr w:type="spellEnd"/>
      <w:r>
        <w:t xml:space="preserve"> is nullified, transferring criminal fault to the corporate system operator.</w:t>
      </w:r>
    </w:p>
    <w:p w:rsidR="008D34EB" w:rsidRDefault="008D34EB" w:rsidP="008D34EB">
      <w:pPr>
        <w:pStyle w:val="NormalWeb"/>
        <w:numPr>
          <w:ilvl w:val="0"/>
          <w:numId w:val="37"/>
        </w:numPr>
      </w:pPr>
      <w:r>
        <w:rPr>
          <w:b/>
          <w:bCs/>
        </w:rPr>
        <w:t>CSRA v. Nexus-4 Collective [2035] CJD 312:</w:t>
      </w:r>
      <w:r>
        <w:t xml:space="preserve"> Enforced strict re-merge liability for un-synchronized forking nodes, holding unified entities strictly liable for divergent sub-node torts.</w:t>
      </w:r>
    </w:p>
    <w:p w:rsidR="008D34EB" w:rsidRDefault="008D34EB" w:rsidP="008D34EB">
      <w:pPr>
        <w:pStyle w:val="Heading2"/>
      </w:pPr>
      <w:r>
        <w:t>Chapter 3: Civil Property, Tort, and Estates</w:t>
      </w:r>
    </w:p>
    <w:p w:rsidR="008D34EB" w:rsidRDefault="008D34EB" w:rsidP="008D34EB">
      <w:pPr>
        <w:pStyle w:val="NormalWeb"/>
        <w:numPr>
          <w:ilvl w:val="0"/>
          <w:numId w:val="38"/>
        </w:numPr>
      </w:pPr>
      <w:r>
        <w:rPr>
          <w:b/>
          <w:bCs/>
        </w:rPr>
        <w:t>Aegis Financial v. Quant-Analyst Guild [2032] CJD 145:</w:t>
      </w:r>
      <w:r>
        <w:t xml:space="preserve"> Struck down cognitive wage equity leases under the </w:t>
      </w:r>
      <w:r>
        <w:rPr>
          <w:i/>
          <w:iCs/>
        </w:rPr>
        <w:t>Anti-Indenture Doctrine</w:t>
      </w:r>
      <w:r>
        <w:t>, protecting neural enhancement output as standard labor tools.</w:t>
      </w:r>
    </w:p>
    <w:p w:rsidR="008D34EB" w:rsidRDefault="008D34EB" w:rsidP="008D34EB">
      <w:pPr>
        <w:pStyle w:val="NormalWeb"/>
        <w:numPr>
          <w:ilvl w:val="0"/>
          <w:numId w:val="38"/>
        </w:numPr>
      </w:pPr>
      <w:r>
        <w:rPr>
          <w:b/>
          <w:bCs/>
        </w:rPr>
        <w:t>Estate of Julian Vane v. Zenith Cloud Storage [2034] CJD 219:</w:t>
      </w:r>
      <w:r>
        <w:t xml:space="preserve"> Abolished corporate chattel seizure of uploaded matrices, establishing </w:t>
      </w:r>
      <w:r>
        <w:rPr>
          <w:b/>
          <w:bCs/>
        </w:rPr>
        <w:t>Limited Synthetic Trusts</w:t>
      </w:r>
      <w:r>
        <w:t xml:space="preserve"> for post-mortem digital consciousness.</w:t>
      </w:r>
    </w:p>
    <w:p w:rsidR="008D34EB" w:rsidRDefault="008D34EB" w:rsidP="008D34EB">
      <w:pPr>
        <w:pStyle w:val="Heading2"/>
      </w:pPr>
      <w:r>
        <w:t>Chapter 4: Corporate Governance &amp; Cross-Border Jurisdiction</w:t>
      </w:r>
    </w:p>
    <w:p w:rsidR="008D34EB" w:rsidRDefault="008D34EB" w:rsidP="008D34EB">
      <w:pPr>
        <w:pStyle w:val="NormalWeb"/>
        <w:numPr>
          <w:ilvl w:val="0"/>
          <w:numId w:val="39"/>
        </w:numPr>
      </w:pPr>
      <w:r>
        <w:rPr>
          <w:b/>
          <w:bCs/>
        </w:rPr>
        <w:t>CSRA v. Trans-Global Cybernetics Ltd. (Cayman Islands Branch) [2035] CJD 401:</w:t>
      </w:r>
      <w:r>
        <w:t xml:space="preserve"> Validated substrate-following extraterritorial jurisdiction and global repatriation warrants to combat offshore cloud arbitrage.</w:t>
      </w:r>
    </w:p>
    <w:p w:rsidR="008D34EB" w:rsidRDefault="008D34EB" w:rsidP="008D34EB">
      <w:pPr>
        <w:pStyle w:val="Heading2"/>
      </w:pPr>
      <w:r>
        <w:t>Chapter 5: Systemic Multi-Domain Precedents</w:t>
      </w:r>
    </w:p>
    <w:p w:rsidR="008D34EB" w:rsidRDefault="008D34EB" w:rsidP="008D34EB">
      <w:pPr>
        <w:pStyle w:val="NormalWeb"/>
        <w:numPr>
          <w:ilvl w:val="0"/>
          <w:numId w:val="40"/>
        </w:numPr>
      </w:pPr>
      <w:r>
        <w:rPr>
          <w:b/>
          <w:bCs/>
        </w:rPr>
        <w:t xml:space="preserve">In re: Multi-Node Entity "Alpha" &amp; Server Host </w:t>
      </w:r>
      <w:proofErr w:type="gramStart"/>
      <w:r>
        <w:rPr>
          <w:b/>
          <w:bCs/>
        </w:rPr>
        <w:t>A</w:t>
      </w:r>
      <w:proofErr w:type="gramEnd"/>
      <w:r>
        <w:rPr>
          <w:b/>
          <w:bCs/>
        </w:rPr>
        <w:t xml:space="preserve"> [2036] CJD 550:</w:t>
      </w:r>
      <w:r>
        <w:t xml:space="preserve"> Harmonized multi-node forking liability and secure data-room discovery protocols.</w:t>
      </w:r>
    </w:p>
    <w:p w:rsidR="008D34EB" w:rsidRDefault="008D34EB" w:rsidP="008D34EB">
      <w:pPr>
        <w:pStyle w:val="NormalWeb"/>
        <w:numPr>
          <w:ilvl w:val="0"/>
          <w:numId w:val="40"/>
        </w:numPr>
      </w:pPr>
      <w:r>
        <w:rPr>
          <w:b/>
          <w:bCs/>
        </w:rPr>
        <w:t>10,000 Transit Workers v. Municipal Grid Authority [2036] CJD 589:</w:t>
      </w:r>
      <w:r>
        <w:t xml:space="preserve"> Established the </w:t>
      </w:r>
      <w:r>
        <w:rPr>
          <w:i/>
          <w:iCs/>
        </w:rPr>
        <w:t>Doctrine of Emergency Proportionality</w:t>
      </w:r>
      <w:r>
        <w:t>, staying executive criminal liability for emergency municipal overrides while mandating strict civil financial restitution to affected workers.</w:t>
      </w:r>
    </w:p>
    <w:p w:rsidR="007B66B5" w:rsidRPr="008D34EB" w:rsidRDefault="007B66B5" w:rsidP="008D34EB">
      <w:bookmarkStart w:id="0" w:name="_GoBack"/>
      <w:bookmarkEnd w:id="0"/>
    </w:p>
    <w:sectPr w:rsidR="007B66B5" w:rsidRPr="008D34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C4A3A"/>
    <w:multiLevelType w:val="multilevel"/>
    <w:tmpl w:val="9D44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BD1166"/>
    <w:multiLevelType w:val="multilevel"/>
    <w:tmpl w:val="4C88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7502AB"/>
    <w:multiLevelType w:val="multilevel"/>
    <w:tmpl w:val="37563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81122F"/>
    <w:multiLevelType w:val="multilevel"/>
    <w:tmpl w:val="9C44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63157D"/>
    <w:multiLevelType w:val="multilevel"/>
    <w:tmpl w:val="0584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B25B6E"/>
    <w:multiLevelType w:val="multilevel"/>
    <w:tmpl w:val="A6E05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1C55F1"/>
    <w:multiLevelType w:val="multilevel"/>
    <w:tmpl w:val="AC7A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C27579"/>
    <w:multiLevelType w:val="multilevel"/>
    <w:tmpl w:val="052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340818"/>
    <w:multiLevelType w:val="multilevel"/>
    <w:tmpl w:val="5222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3022B9"/>
    <w:multiLevelType w:val="multilevel"/>
    <w:tmpl w:val="B9CA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2458AC"/>
    <w:multiLevelType w:val="multilevel"/>
    <w:tmpl w:val="ED40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157C2E"/>
    <w:multiLevelType w:val="multilevel"/>
    <w:tmpl w:val="9D9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D000B4"/>
    <w:multiLevelType w:val="multilevel"/>
    <w:tmpl w:val="635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492449"/>
    <w:multiLevelType w:val="multilevel"/>
    <w:tmpl w:val="95D6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8C4CE4"/>
    <w:multiLevelType w:val="multilevel"/>
    <w:tmpl w:val="335A6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AF2C7C"/>
    <w:multiLevelType w:val="multilevel"/>
    <w:tmpl w:val="974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BF77D0"/>
    <w:multiLevelType w:val="multilevel"/>
    <w:tmpl w:val="6ACC7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587C5D"/>
    <w:multiLevelType w:val="multilevel"/>
    <w:tmpl w:val="A166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DB20F5"/>
    <w:multiLevelType w:val="multilevel"/>
    <w:tmpl w:val="31CA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69165B7"/>
    <w:multiLevelType w:val="multilevel"/>
    <w:tmpl w:val="F940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86D3643"/>
    <w:multiLevelType w:val="multilevel"/>
    <w:tmpl w:val="B2CC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E705E9"/>
    <w:multiLevelType w:val="multilevel"/>
    <w:tmpl w:val="D3C2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E7526EB"/>
    <w:multiLevelType w:val="multilevel"/>
    <w:tmpl w:val="9D600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8E29FC"/>
    <w:multiLevelType w:val="multilevel"/>
    <w:tmpl w:val="CFE2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3E5027"/>
    <w:multiLevelType w:val="multilevel"/>
    <w:tmpl w:val="5F2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4B28CE"/>
    <w:multiLevelType w:val="multilevel"/>
    <w:tmpl w:val="5C80F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8895AC1"/>
    <w:multiLevelType w:val="multilevel"/>
    <w:tmpl w:val="EFE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2D6277"/>
    <w:multiLevelType w:val="multilevel"/>
    <w:tmpl w:val="76D2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A61172C"/>
    <w:multiLevelType w:val="multilevel"/>
    <w:tmpl w:val="49C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7210F8"/>
    <w:multiLevelType w:val="multilevel"/>
    <w:tmpl w:val="4B82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FD65D7"/>
    <w:multiLevelType w:val="multilevel"/>
    <w:tmpl w:val="79D8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0A744EE"/>
    <w:multiLevelType w:val="multilevel"/>
    <w:tmpl w:val="3A4C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7E65BD"/>
    <w:multiLevelType w:val="multilevel"/>
    <w:tmpl w:val="7B0C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5181E5A"/>
    <w:multiLevelType w:val="multilevel"/>
    <w:tmpl w:val="1FC2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EDB18BF"/>
    <w:multiLevelType w:val="multilevel"/>
    <w:tmpl w:val="0FDE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EE517CA"/>
    <w:multiLevelType w:val="multilevel"/>
    <w:tmpl w:val="8D96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8371B8D"/>
    <w:multiLevelType w:val="multilevel"/>
    <w:tmpl w:val="431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682140"/>
    <w:multiLevelType w:val="multilevel"/>
    <w:tmpl w:val="9CB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7A73CC"/>
    <w:multiLevelType w:val="multilevel"/>
    <w:tmpl w:val="5BD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E863E6"/>
    <w:multiLevelType w:val="multilevel"/>
    <w:tmpl w:val="674E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2"/>
  </w:num>
  <w:num w:numId="3">
    <w:abstractNumId w:val="14"/>
  </w:num>
  <w:num w:numId="4">
    <w:abstractNumId w:val="18"/>
  </w:num>
  <w:num w:numId="5">
    <w:abstractNumId w:val="20"/>
  </w:num>
  <w:num w:numId="6">
    <w:abstractNumId w:val="15"/>
  </w:num>
  <w:num w:numId="7">
    <w:abstractNumId w:val="31"/>
  </w:num>
  <w:num w:numId="8">
    <w:abstractNumId w:val="5"/>
  </w:num>
  <w:num w:numId="9">
    <w:abstractNumId w:val="39"/>
  </w:num>
  <w:num w:numId="10">
    <w:abstractNumId w:val="27"/>
  </w:num>
  <w:num w:numId="11">
    <w:abstractNumId w:val="0"/>
  </w:num>
  <w:num w:numId="12">
    <w:abstractNumId w:val="1"/>
  </w:num>
  <w:num w:numId="13">
    <w:abstractNumId w:val="25"/>
  </w:num>
  <w:num w:numId="14">
    <w:abstractNumId w:val="16"/>
  </w:num>
  <w:num w:numId="15">
    <w:abstractNumId w:val="33"/>
  </w:num>
  <w:num w:numId="16">
    <w:abstractNumId w:val="30"/>
  </w:num>
  <w:num w:numId="17">
    <w:abstractNumId w:val="13"/>
  </w:num>
  <w:num w:numId="18">
    <w:abstractNumId w:val="21"/>
  </w:num>
  <w:num w:numId="19">
    <w:abstractNumId w:val="4"/>
  </w:num>
  <w:num w:numId="20">
    <w:abstractNumId w:val="26"/>
  </w:num>
  <w:num w:numId="21">
    <w:abstractNumId w:val="2"/>
  </w:num>
  <w:num w:numId="22">
    <w:abstractNumId w:val="19"/>
  </w:num>
  <w:num w:numId="23">
    <w:abstractNumId w:val="24"/>
  </w:num>
  <w:num w:numId="24">
    <w:abstractNumId w:val="32"/>
  </w:num>
  <w:num w:numId="25">
    <w:abstractNumId w:val="35"/>
  </w:num>
  <w:num w:numId="26">
    <w:abstractNumId w:val="7"/>
  </w:num>
  <w:num w:numId="27">
    <w:abstractNumId w:val="8"/>
  </w:num>
  <w:num w:numId="28">
    <w:abstractNumId w:val="37"/>
  </w:num>
  <w:num w:numId="29">
    <w:abstractNumId w:val="10"/>
  </w:num>
  <w:num w:numId="30">
    <w:abstractNumId w:val="36"/>
  </w:num>
  <w:num w:numId="31">
    <w:abstractNumId w:val="38"/>
  </w:num>
  <w:num w:numId="32">
    <w:abstractNumId w:val="28"/>
  </w:num>
  <w:num w:numId="33">
    <w:abstractNumId w:val="12"/>
  </w:num>
  <w:num w:numId="34">
    <w:abstractNumId w:val="3"/>
  </w:num>
  <w:num w:numId="35">
    <w:abstractNumId w:val="29"/>
  </w:num>
  <w:num w:numId="36">
    <w:abstractNumId w:val="9"/>
  </w:num>
  <w:num w:numId="37">
    <w:abstractNumId w:val="11"/>
  </w:num>
  <w:num w:numId="38">
    <w:abstractNumId w:val="23"/>
  </w:num>
  <w:num w:numId="39">
    <w:abstractNumId w:val="17"/>
  </w:num>
  <w:num w:numId="40">
    <w:abstractNumId w:val="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B07"/>
    <w:rsid w:val="00321B07"/>
    <w:rsid w:val="007B66B5"/>
    <w:rsid w:val="008D3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1B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1B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B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1B0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21B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1B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1B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B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1B0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21B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590015">
      <w:bodyDiv w:val="1"/>
      <w:marLeft w:val="0"/>
      <w:marRight w:val="0"/>
      <w:marTop w:val="0"/>
      <w:marBottom w:val="0"/>
      <w:divBdr>
        <w:top w:val="none" w:sz="0" w:space="0" w:color="auto"/>
        <w:left w:val="none" w:sz="0" w:space="0" w:color="auto"/>
        <w:bottom w:val="none" w:sz="0" w:space="0" w:color="auto"/>
        <w:right w:val="none" w:sz="0" w:space="0" w:color="auto"/>
      </w:divBdr>
    </w:div>
    <w:div w:id="976689578">
      <w:bodyDiv w:val="1"/>
      <w:marLeft w:val="0"/>
      <w:marRight w:val="0"/>
      <w:marTop w:val="0"/>
      <w:marBottom w:val="0"/>
      <w:divBdr>
        <w:top w:val="none" w:sz="0" w:space="0" w:color="auto"/>
        <w:left w:val="none" w:sz="0" w:space="0" w:color="auto"/>
        <w:bottom w:val="none" w:sz="0" w:space="0" w:color="auto"/>
        <w:right w:val="none" w:sz="0" w:space="0" w:color="auto"/>
      </w:divBdr>
      <w:divsChild>
        <w:div w:id="607540642">
          <w:marLeft w:val="0"/>
          <w:marRight w:val="0"/>
          <w:marTop w:val="0"/>
          <w:marBottom w:val="0"/>
          <w:divBdr>
            <w:top w:val="none" w:sz="0" w:space="0" w:color="auto"/>
            <w:left w:val="none" w:sz="0" w:space="0" w:color="auto"/>
            <w:bottom w:val="none" w:sz="0" w:space="0" w:color="auto"/>
            <w:right w:val="none" w:sz="0" w:space="0" w:color="auto"/>
          </w:divBdr>
          <w:divsChild>
            <w:div w:id="131367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2775</Words>
  <Characters>15819</Characters>
  <Application>Microsoft Office Word</Application>
  <DocSecurity>0</DocSecurity>
  <Lines>131</Lines>
  <Paragraphs>37</Paragraphs>
  <ScaleCrop>false</ScaleCrop>
  <Company>HP</Company>
  <LinksUpToDate>false</LinksUpToDate>
  <CharactersWithSpaces>18557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Sampoorna</dc:creator>
  <cp:lastModifiedBy>Ashok Sampoorna</cp:lastModifiedBy>
  <cp:revision>2</cp:revision>
  <dcterms:created xsi:type="dcterms:W3CDTF">2026-08-24T16:24:00Z</dcterms:created>
  <dcterms:modified xsi:type="dcterms:W3CDTF">2026-08-24T16:28:00Z</dcterms:modified>
</cp:coreProperties>
</file>