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F5C41" w:rsidRPr="00FF5C41" w:rsidRDefault="00FF5C41" w:rsidP="00FF5C41">
      <w:pPr>
        <w:spacing w:before="100" w:beforeAutospacing="1" w:after="100" w:afterAutospacing="1" w:line="240" w:lineRule="auto"/>
        <w:outlineLvl w:val="2"/>
        <w:rPr>
          <w:rFonts w:ascii="Times New Roman" w:eastAsia="Times New Roman" w:hAnsi="Times New Roman" w:cs="Times New Roman"/>
          <w:b/>
          <w:bCs/>
          <w:sz w:val="27"/>
          <w:szCs w:val="27"/>
        </w:rPr>
      </w:pPr>
      <w:r w:rsidRPr="00FF5C41">
        <w:rPr>
          <w:rFonts w:ascii="Times New Roman" w:eastAsia="Times New Roman" w:hAnsi="Times New Roman" w:cs="Times New Roman"/>
          <w:b/>
          <w:bCs/>
          <w:sz w:val="27"/>
          <w:szCs w:val="27"/>
        </w:rPr>
        <w:t xml:space="preserve">Part I: </w:t>
      </w:r>
      <w:bookmarkStart w:id="0" w:name="_GoBack"/>
      <w:r w:rsidRPr="00FF5C41">
        <w:rPr>
          <w:rFonts w:ascii="Times New Roman" w:eastAsia="Times New Roman" w:hAnsi="Times New Roman" w:cs="Times New Roman"/>
          <w:b/>
          <w:bCs/>
          <w:sz w:val="27"/>
          <w:szCs w:val="27"/>
        </w:rPr>
        <w:t>The Constitutional Pillars of British Law</w:t>
      </w:r>
      <w:bookmarkEnd w:id="0"/>
    </w:p>
    <w:p w:rsidR="00FF5C41" w:rsidRPr="00FF5C41" w:rsidRDefault="00FF5C41" w:rsidP="00FF5C4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F5C41">
        <w:rPr>
          <w:rFonts w:ascii="Times New Roman" w:eastAsia="Times New Roman" w:hAnsi="Times New Roman" w:cs="Times New Roman"/>
          <w:b/>
          <w:bCs/>
          <w:sz w:val="24"/>
          <w:szCs w:val="24"/>
        </w:rPr>
        <w:t>Parliamentary Sovereignty (Supremacy)</w:t>
      </w:r>
    </w:p>
    <w:p w:rsidR="00FF5C41" w:rsidRPr="00FF5C41" w:rsidRDefault="00FF5C41" w:rsidP="00FF5C41">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FF5C41">
        <w:rPr>
          <w:rFonts w:ascii="Times New Roman" w:eastAsia="Times New Roman" w:hAnsi="Times New Roman" w:cs="Times New Roman"/>
          <w:i/>
          <w:iCs/>
          <w:sz w:val="24"/>
          <w:szCs w:val="24"/>
        </w:rPr>
        <w:t>Core Principle:</w:t>
      </w:r>
      <w:r w:rsidRPr="00FF5C41">
        <w:rPr>
          <w:rFonts w:ascii="Times New Roman" w:eastAsia="Times New Roman" w:hAnsi="Times New Roman" w:cs="Times New Roman"/>
          <w:sz w:val="24"/>
          <w:szCs w:val="24"/>
        </w:rPr>
        <w:t xml:space="preserve"> Parliament (the Crown in Parliament) is the supreme legal authority in the United Kingdom. It possesses the absolute right to make, unmake, or alter any law whatsoever, and no court or external body possesses the constitutional competence to declare an Act of Parliament invalid or unconstitutional.</w:t>
      </w:r>
    </w:p>
    <w:p w:rsidR="00FF5C41" w:rsidRPr="00FF5C41" w:rsidRDefault="00FF5C41" w:rsidP="00FF5C41">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FF5C41">
        <w:rPr>
          <w:rFonts w:ascii="Times New Roman" w:eastAsia="Times New Roman" w:hAnsi="Times New Roman" w:cs="Times New Roman"/>
          <w:i/>
          <w:iCs/>
          <w:sz w:val="24"/>
          <w:szCs w:val="24"/>
        </w:rPr>
        <w:t>Doctrinal Notes:</w:t>
      </w:r>
      <w:r w:rsidRPr="00FF5C41">
        <w:rPr>
          <w:rFonts w:ascii="Times New Roman" w:eastAsia="Times New Roman" w:hAnsi="Times New Roman" w:cs="Times New Roman"/>
          <w:sz w:val="24"/>
          <w:szCs w:val="24"/>
        </w:rPr>
        <w:t xml:space="preserve"> Derived from A.V. Dicey and centuries of constitutional struggle (culminating in the Bill of Rights 1689). While subject to political constraints and international treaties (historically EU law, now post-</w:t>
      </w:r>
      <w:proofErr w:type="spellStart"/>
      <w:r w:rsidRPr="00FF5C41">
        <w:rPr>
          <w:rFonts w:ascii="Times New Roman" w:eastAsia="Times New Roman" w:hAnsi="Times New Roman" w:cs="Times New Roman"/>
          <w:sz w:val="24"/>
          <w:szCs w:val="24"/>
        </w:rPr>
        <w:t>Brexit</w:t>
      </w:r>
      <w:proofErr w:type="spellEnd"/>
      <w:r w:rsidRPr="00FF5C41">
        <w:rPr>
          <w:rFonts w:ascii="Times New Roman" w:eastAsia="Times New Roman" w:hAnsi="Times New Roman" w:cs="Times New Roman"/>
          <w:sz w:val="24"/>
          <w:szCs w:val="24"/>
        </w:rPr>
        <w:t xml:space="preserve"> retained law), its domestic legal supremacy remains the bedrock of the </w:t>
      </w:r>
      <w:proofErr w:type="spellStart"/>
      <w:r w:rsidRPr="00FF5C41">
        <w:rPr>
          <w:rFonts w:ascii="Times New Roman" w:eastAsia="Times New Roman" w:hAnsi="Times New Roman" w:cs="Times New Roman"/>
          <w:sz w:val="24"/>
          <w:szCs w:val="24"/>
        </w:rPr>
        <w:t>uncodified</w:t>
      </w:r>
      <w:proofErr w:type="spellEnd"/>
      <w:r w:rsidRPr="00FF5C41">
        <w:rPr>
          <w:rFonts w:ascii="Times New Roman" w:eastAsia="Times New Roman" w:hAnsi="Times New Roman" w:cs="Times New Roman"/>
          <w:sz w:val="24"/>
          <w:szCs w:val="24"/>
        </w:rPr>
        <w:t xml:space="preserve"> British constitution.</w:t>
      </w:r>
    </w:p>
    <w:p w:rsidR="00FF5C41" w:rsidRPr="00FF5C41" w:rsidRDefault="00FF5C41" w:rsidP="00FF5C4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F5C41">
        <w:rPr>
          <w:rFonts w:ascii="Times New Roman" w:eastAsia="Times New Roman" w:hAnsi="Times New Roman" w:cs="Times New Roman"/>
          <w:b/>
          <w:bCs/>
          <w:sz w:val="24"/>
          <w:szCs w:val="24"/>
        </w:rPr>
        <w:t>The Rule of Law</w:t>
      </w:r>
    </w:p>
    <w:p w:rsidR="00FF5C41" w:rsidRPr="00FF5C41" w:rsidRDefault="00FF5C41" w:rsidP="00FF5C41">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FF5C41">
        <w:rPr>
          <w:rFonts w:ascii="Times New Roman" w:eastAsia="Times New Roman" w:hAnsi="Times New Roman" w:cs="Times New Roman"/>
          <w:i/>
          <w:iCs/>
          <w:sz w:val="24"/>
          <w:szCs w:val="24"/>
        </w:rPr>
        <w:t>Core Principle:</w:t>
      </w:r>
      <w:r w:rsidRPr="00FF5C41">
        <w:rPr>
          <w:rFonts w:ascii="Times New Roman" w:eastAsia="Times New Roman" w:hAnsi="Times New Roman" w:cs="Times New Roman"/>
          <w:sz w:val="24"/>
          <w:szCs w:val="24"/>
        </w:rPr>
        <w:t xml:space="preserve"> No person is above the law; all individuals—regardless of rank, office, or status—are subject to the ordinary law of the land administered by independent courts. Power must be exercised according to law, not arbitrary discretion.</w:t>
      </w:r>
    </w:p>
    <w:p w:rsidR="00FF5C41" w:rsidRPr="00FF5C41" w:rsidRDefault="00FF5C41" w:rsidP="00FF5C41">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FF5C41">
        <w:rPr>
          <w:rFonts w:ascii="Times New Roman" w:eastAsia="Times New Roman" w:hAnsi="Times New Roman" w:cs="Times New Roman"/>
          <w:i/>
          <w:iCs/>
          <w:sz w:val="24"/>
          <w:szCs w:val="24"/>
        </w:rPr>
        <w:t>Doctrinal Notes:</w:t>
      </w:r>
      <w:r w:rsidRPr="00FF5C41">
        <w:rPr>
          <w:rFonts w:ascii="Times New Roman" w:eastAsia="Times New Roman" w:hAnsi="Times New Roman" w:cs="Times New Roman"/>
          <w:sz w:val="24"/>
          <w:szCs w:val="24"/>
        </w:rPr>
        <w:t xml:space="preserve"> </w:t>
      </w:r>
      <w:proofErr w:type="spellStart"/>
      <w:r w:rsidRPr="00FF5C41">
        <w:rPr>
          <w:rFonts w:ascii="Times New Roman" w:eastAsia="Times New Roman" w:hAnsi="Times New Roman" w:cs="Times New Roman"/>
          <w:sz w:val="24"/>
          <w:szCs w:val="24"/>
        </w:rPr>
        <w:t>Dicey’s</w:t>
      </w:r>
      <w:proofErr w:type="spellEnd"/>
      <w:r w:rsidRPr="00FF5C41">
        <w:rPr>
          <w:rFonts w:ascii="Times New Roman" w:eastAsia="Times New Roman" w:hAnsi="Times New Roman" w:cs="Times New Roman"/>
          <w:sz w:val="24"/>
          <w:szCs w:val="24"/>
        </w:rPr>
        <w:t xml:space="preserve"> tripartite conception emphasizes: (i) the absolute supremacy of regular law over arbitrary power; (ii) equality before the law; and (iii) the constitution as the result of judicial decisions defining private rights rather than a written foundational charter.</w:t>
      </w:r>
    </w:p>
    <w:p w:rsidR="00FF5C41" w:rsidRPr="00FF5C41" w:rsidRDefault="00FF5C41" w:rsidP="00FF5C4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F5C41">
        <w:rPr>
          <w:rFonts w:ascii="Times New Roman" w:eastAsia="Times New Roman" w:hAnsi="Times New Roman" w:cs="Times New Roman"/>
          <w:b/>
          <w:bCs/>
          <w:sz w:val="24"/>
          <w:szCs w:val="24"/>
        </w:rPr>
        <w:t>Separation of Powers &amp; Judicial Independence</w:t>
      </w:r>
    </w:p>
    <w:p w:rsidR="00FF5C41" w:rsidRPr="00FF5C41" w:rsidRDefault="00FF5C41" w:rsidP="00FF5C41">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FF5C41">
        <w:rPr>
          <w:rFonts w:ascii="Times New Roman" w:eastAsia="Times New Roman" w:hAnsi="Times New Roman" w:cs="Times New Roman"/>
          <w:i/>
          <w:iCs/>
          <w:sz w:val="24"/>
          <w:szCs w:val="24"/>
        </w:rPr>
        <w:t>Core Principle:</w:t>
      </w:r>
      <w:r w:rsidRPr="00FF5C41">
        <w:rPr>
          <w:rFonts w:ascii="Times New Roman" w:eastAsia="Times New Roman" w:hAnsi="Times New Roman" w:cs="Times New Roman"/>
          <w:sz w:val="24"/>
          <w:szCs w:val="24"/>
        </w:rPr>
        <w:t xml:space="preserve"> A tripartite division of state functions between the Legislature (Parliament), the Executive (Government/Cabinet), and the Judiciary (Courts).</w:t>
      </w:r>
    </w:p>
    <w:p w:rsidR="00FF5C41" w:rsidRPr="00FF5C41" w:rsidRDefault="00FF5C41" w:rsidP="00FF5C41">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FF5C41">
        <w:rPr>
          <w:rFonts w:ascii="Times New Roman" w:eastAsia="Times New Roman" w:hAnsi="Times New Roman" w:cs="Times New Roman"/>
          <w:i/>
          <w:iCs/>
          <w:sz w:val="24"/>
          <w:szCs w:val="24"/>
        </w:rPr>
        <w:t>Doctrinal Notes:</w:t>
      </w:r>
      <w:r w:rsidRPr="00FF5C41">
        <w:rPr>
          <w:rFonts w:ascii="Times New Roman" w:eastAsia="Times New Roman" w:hAnsi="Times New Roman" w:cs="Times New Roman"/>
          <w:sz w:val="24"/>
          <w:szCs w:val="24"/>
        </w:rPr>
        <w:t xml:space="preserve"> Unlike the strict American model, the UK historically fused these branches (e.g., the Lord Chancellor sitting in the executive, legislature, and judiciary). Modern reforms—such as the Constitutional Reform Act 2005—established the UK Supreme Court, completely separating the highest appellate judiciary from the House of Lords and securing institutional judicial independence.</w:t>
      </w:r>
    </w:p>
    <w:p w:rsidR="00FF5C41" w:rsidRPr="00FF5C41" w:rsidRDefault="00FF5C41" w:rsidP="00FF5C4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F5C41">
        <w:rPr>
          <w:rFonts w:ascii="Times New Roman" w:eastAsia="Times New Roman" w:hAnsi="Times New Roman" w:cs="Times New Roman"/>
          <w:b/>
          <w:bCs/>
          <w:sz w:val="24"/>
          <w:szCs w:val="24"/>
        </w:rPr>
        <w:t>Constitutional Conventions &amp; Responsible Government</w:t>
      </w:r>
    </w:p>
    <w:p w:rsidR="00FF5C41" w:rsidRPr="00FF5C41" w:rsidRDefault="00FF5C41" w:rsidP="00FF5C41">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FF5C41">
        <w:rPr>
          <w:rFonts w:ascii="Times New Roman" w:eastAsia="Times New Roman" w:hAnsi="Times New Roman" w:cs="Times New Roman"/>
          <w:i/>
          <w:iCs/>
          <w:sz w:val="24"/>
          <w:szCs w:val="24"/>
        </w:rPr>
        <w:t>Core Principle:</w:t>
      </w:r>
      <w:r w:rsidRPr="00FF5C41">
        <w:rPr>
          <w:rFonts w:ascii="Times New Roman" w:eastAsia="Times New Roman" w:hAnsi="Times New Roman" w:cs="Times New Roman"/>
          <w:sz w:val="24"/>
          <w:szCs w:val="24"/>
        </w:rPr>
        <w:t xml:space="preserve"> Unwritten rules, understandings, and customary practices that regulate the conduct of the Crown, Ministers, Parliament, and the courts.</w:t>
      </w:r>
    </w:p>
    <w:p w:rsidR="00FF5C41" w:rsidRPr="00FF5C41" w:rsidRDefault="00FF5C41" w:rsidP="00FF5C41">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FF5C41">
        <w:rPr>
          <w:rFonts w:ascii="Times New Roman" w:eastAsia="Times New Roman" w:hAnsi="Times New Roman" w:cs="Times New Roman"/>
          <w:i/>
          <w:iCs/>
          <w:sz w:val="24"/>
          <w:szCs w:val="24"/>
        </w:rPr>
        <w:t>Doctrinal Notes:</w:t>
      </w:r>
      <w:r w:rsidRPr="00FF5C41">
        <w:rPr>
          <w:rFonts w:ascii="Times New Roman" w:eastAsia="Times New Roman" w:hAnsi="Times New Roman" w:cs="Times New Roman"/>
          <w:sz w:val="24"/>
          <w:szCs w:val="24"/>
        </w:rPr>
        <w:t xml:space="preserve"> While not legally enforceable by courts, conventions provide the vital operational mechanics of British government (e.g., the Prime Minister must command a majority in the House of Commons; the Monarch acts on ministerial advice).</w:t>
      </w:r>
    </w:p>
    <w:p w:rsidR="00FF5C41" w:rsidRPr="00FF5C41" w:rsidRDefault="00FF5C41" w:rsidP="00FF5C41">
      <w:pPr>
        <w:spacing w:before="100" w:beforeAutospacing="1" w:after="100" w:afterAutospacing="1" w:line="240" w:lineRule="auto"/>
        <w:outlineLvl w:val="2"/>
        <w:rPr>
          <w:rFonts w:ascii="Times New Roman" w:eastAsia="Times New Roman" w:hAnsi="Times New Roman" w:cs="Times New Roman"/>
          <w:b/>
          <w:bCs/>
          <w:sz w:val="27"/>
          <w:szCs w:val="27"/>
        </w:rPr>
      </w:pPr>
      <w:r w:rsidRPr="00FF5C41">
        <w:rPr>
          <w:rFonts w:ascii="Times New Roman" w:eastAsia="Times New Roman" w:hAnsi="Times New Roman" w:cs="Times New Roman"/>
          <w:b/>
          <w:bCs/>
          <w:sz w:val="27"/>
          <w:szCs w:val="27"/>
        </w:rPr>
        <w:t>Part II: The Substantive Pillars of English Jurisprudence</w:t>
      </w:r>
    </w:p>
    <w:p w:rsidR="00FF5C41" w:rsidRPr="00FF5C41" w:rsidRDefault="00FF5C41" w:rsidP="00FF5C4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F5C41">
        <w:rPr>
          <w:rFonts w:ascii="Times New Roman" w:eastAsia="Times New Roman" w:hAnsi="Times New Roman" w:cs="Times New Roman"/>
          <w:b/>
          <w:bCs/>
          <w:sz w:val="24"/>
          <w:szCs w:val="24"/>
        </w:rPr>
        <w:t>Criminal Law</w:t>
      </w:r>
    </w:p>
    <w:p w:rsidR="00FF5C41" w:rsidRPr="00FF5C41" w:rsidRDefault="00FF5C41" w:rsidP="00FF5C41">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FF5C41">
        <w:rPr>
          <w:rFonts w:ascii="Times New Roman" w:eastAsia="Times New Roman" w:hAnsi="Times New Roman" w:cs="Times New Roman"/>
          <w:i/>
          <w:iCs/>
          <w:sz w:val="24"/>
          <w:szCs w:val="24"/>
        </w:rPr>
        <w:t>Scope:</w:t>
      </w:r>
      <w:r w:rsidRPr="00FF5C41">
        <w:rPr>
          <w:rFonts w:ascii="Times New Roman" w:eastAsia="Times New Roman" w:hAnsi="Times New Roman" w:cs="Times New Roman"/>
          <w:sz w:val="24"/>
          <w:szCs w:val="24"/>
        </w:rPr>
        <w:t xml:space="preserve"> Regulates public wrongs prosecuted by the State. Governed by a mix of ancient common law (e.g., murder, manslaughter) and modern codifying statutes (e.g., Theft Act 1968, Fraud Act 2006).</w:t>
      </w:r>
    </w:p>
    <w:p w:rsidR="00FF5C41" w:rsidRPr="00FF5C41" w:rsidRDefault="00FF5C41" w:rsidP="00FF5C41">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FF5C41">
        <w:rPr>
          <w:rFonts w:ascii="Times New Roman" w:eastAsia="Times New Roman" w:hAnsi="Times New Roman" w:cs="Times New Roman"/>
          <w:i/>
          <w:iCs/>
          <w:sz w:val="24"/>
          <w:szCs w:val="24"/>
        </w:rPr>
        <w:lastRenderedPageBreak/>
        <w:t>Pattern:</w:t>
      </w:r>
      <w:r w:rsidRPr="00FF5C41">
        <w:rPr>
          <w:rFonts w:ascii="Times New Roman" w:eastAsia="Times New Roman" w:hAnsi="Times New Roman" w:cs="Times New Roman"/>
          <w:sz w:val="24"/>
          <w:szCs w:val="24"/>
        </w:rPr>
        <w:t xml:space="preserve"> Requires the concurrence of </w:t>
      </w:r>
      <w:proofErr w:type="spellStart"/>
      <w:r w:rsidRPr="00FF5C41">
        <w:rPr>
          <w:rFonts w:ascii="Times New Roman" w:eastAsia="Times New Roman" w:hAnsi="Times New Roman" w:cs="Times New Roman"/>
          <w:i/>
          <w:iCs/>
          <w:sz w:val="24"/>
          <w:szCs w:val="24"/>
        </w:rPr>
        <w:t>actus</w:t>
      </w:r>
      <w:proofErr w:type="spellEnd"/>
      <w:r w:rsidRPr="00FF5C41">
        <w:rPr>
          <w:rFonts w:ascii="Times New Roman" w:eastAsia="Times New Roman" w:hAnsi="Times New Roman" w:cs="Times New Roman"/>
          <w:i/>
          <w:iCs/>
          <w:sz w:val="24"/>
          <w:szCs w:val="24"/>
        </w:rPr>
        <w:t xml:space="preserve"> </w:t>
      </w:r>
      <w:proofErr w:type="spellStart"/>
      <w:proofErr w:type="gramStart"/>
      <w:r w:rsidRPr="00FF5C41">
        <w:rPr>
          <w:rFonts w:ascii="Times New Roman" w:eastAsia="Times New Roman" w:hAnsi="Times New Roman" w:cs="Times New Roman"/>
          <w:i/>
          <w:iCs/>
          <w:sz w:val="24"/>
          <w:szCs w:val="24"/>
        </w:rPr>
        <w:t>reus</w:t>
      </w:r>
      <w:proofErr w:type="spellEnd"/>
      <w:proofErr w:type="gramEnd"/>
      <w:r w:rsidRPr="00FF5C41">
        <w:rPr>
          <w:rFonts w:ascii="Times New Roman" w:eastAsia="Times New Roman" w:hAnsi="Times New Roman" w:cs="Times New Roman"/>
          <w:sz w:val="24"/>
          <w:szCs w:val="24"/>
        </w:rPr>
        <w:t xml:space="preserve"> (guilty act) and </w:t>
      </w:r>
      <w:proofErr w:type="spellStart"/>
      <w:r w:rsidRPr="00FF5C41">
        <w:rPr>
          <w:rFonts w:ascii="Times New Roman" w:eastAsia="Times New Roman" w:hAnsi="Times New Roman" w:cs="Times New Roman"/>
          <w:i/>
          <w:iCs/>
          <w:sz w:val="24"/>
          <w:szCs w:val="24"/>
        </w:rPr>
        <w:t>mens</w:t>
      </w:r>
      <w:proofErr w:type="spellEnd"/>
      <w:r w:rsidRPr="00FF5C41">
        <w:rPr>
          <w:rFonts w:ascii="Times New Roman" w:eastAsia="Times New Roman" w:hAnsi="Times New Roman" w:cs="Times New Roman"/>
          <w:i/>
          <w:iCs/>
          <w:sz w:val="24"/>
          <w:szCs w:val="24"/>
        </w:rPr>
        <w:t xml:space="preserve"> </w:t>
      </w:r>
      <w:proofErr w:type="spellStart"/>
      <w:r w:rsidRPr="00FF5C41">
        <w:rPr>
          <w:rFonts w:ascii="Times New Roman" w:eastAsia="Times New Roman" w:hAnsi="Times New Roman" w:cs="Times New Roman"/>
          <w:i/>
          <w:iCs/>
          <w:sz w:val="24"/>
          <w:szCs w:val="24"/>
        </w:rPr>
        <w:t>rea</w:t>
      </w:r>
      <w:proofErr w:type="spellEnd"/>
      <w:r w:rsidRPr="00FF5C41">
        <w:rPr>
          <w:rFonts w:ascii="Times New Roman" w:eastAsia="Times New Roman" w:hAnsi="Times New Roman" w:cs="Times New Roman"/>
          <w:sz w:val="24"/>
          <w:szCs w:val="24"/>
        </w:rPr>
        <w:t xml:space="preserve"> (guilty mind), evaluated alongside established statutory and common-law defenses (e.g., self-defense, duress).</w:t>
      </w:r>
    </w:p>
    <w:p w:rsidR="00FF5C41" w:rsidRPr="00FF5C41" w:rsidRDefault="00FF5C41" w:rsidP="00FF5C4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F5C41">
        <w:rPr>
          <w:rFonts w:ascii="Times New Roman" w:eastAsia="Times New Roman" w:hAnsi="Times New Roman" w:cs="Times New Roman"/>
          <w:b/>
          <w:bCs/>
          <w:sz w:val="24"/>
          <w:szCs w:val="24"/>
        </w:rPr>
        <w:t>Contract Law</w:t>
      </w:r>
    </w:p>
    <w:p w:rsidR="00FF5C41" w:rsidRPr="00FF5C41" w:rsidRDefault="00FF5C41" w:rsidP="00FF5C41">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FF5C41">
        <w:rPr>
          <w:rFonts w:ascii="Times New Roman" w:eastAsia="Times New Roman" w:hAnsi="Times New Roman" w:cs="Times New Roman"/>
          <w:i/>
          <w:iCs/>
          <w:sz w:val="24"/>
          <w:szCs w:val="24"/>
        </w:rPr>
        <w:t>Scope:</w:t>
      </w:r>
      <w:r w:rsidRPr="00FF5C41">
        <w:rPr>
          <w:rFonts w:ascii="Times New Roman" w:eastAsia="Times New Roman" w:hAnsi="Times New Roman" w:cs="Times New Roman"/>
          <w:sz w:val="24"/>
          <w:szCs w:val="24"/>
        </w:rPr>
        <w:t xml:space="preserve"> Governs voluntary private agreements and exchange obligations.</w:t>
      </w:r>
    </w:p>
    <w:p w:rsidR="00FF5C41" w:rsidRPr="00FF5C41" w:rsidRDefault="00FF5C41" w:rsidP="00FF5C41">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FF5C41">
        <w:rPr>
          <w:rFonts w:ascii="Times New Roman" w:eastAsia="Times New Roman" w:hAnsi="Times New Roman" w:cs="Times New Roman"/>
          <w:i/>
          <w:iCs/>
          <w:sz w:val="24"/>
          <w:szCs w:val="24"/>
        </w:rPr>
        <w:t>Pattern:</w:t>
      </w:r>
      <w:r w:rsidRPr="00FF5C41">
        <w:rPr>
          <w:rFonts w:ascii="Times New Roman" w:eastAsia="Times New Roman" w:hAnsi="Times New Roman" w:cs="Times New Roman"/>
          <w:sz w:val="24"/>
          <w:szCs w:val="24"/>
        </w:rPr>
        <w:t xml:space="preserve"> Relies heavily on common law precedent supplemented by targeted statutes (e.g., Consumer Rights Act 2015). Requires offer, acceptance, consideration, and intention to create legal relations.</w:t>
      </w:r>
    </w:p>
    <w:p w:rsidR="00FF5C41" w:rsidRPr="00FF5C41" w:rsidRDefault="00FF5C41" w:rsidP="00FF5C4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F5C41">
        <w:rPr>
          <w:rFonts w:ascii="Times New Roman" w:eastAsia="Times New Roman" w:hAnsi="Times New Roman" w:cs="Times New Roman"/>
          <w:b/>
          <w:bCs/>
          <w:sz w:val="24"/>
          <w:szCs w:val="24"/>
        </w:rPr>
        <w:t>Tort Law</w:t>
      </w:r>
    </w:p>
    <w:p w:rsidR="00FF5C41" w:rsidRPr="00FF5C41" w:rsidRDefault="00FF5C41" w:rsidP="00FF5C41">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FF5C41">
        <w:rPr>
          <w:rFonts w:ascii="Times New Roman" w:eastAsia="Times New Roman" w:hAnsi="Times New Roman" w:cs="Times New Roman"/>
          <w:i/>
          <w:iCs/>
          <w:sz w:val="24"/>
          <w:szCs w:val="24"/>
        </w:rPr>
        <w:t>Scope:</w:t>
      </w:r>
      <w:r w:rsidRPr="00FF5C41">
        <w:rPr>
          <w:rFonts w:ascii="Times New Roman" w:eastAsia="Times New Roman" w:hAnsi="Times New Roman" w:cs="Times New Roman"/>
          <w:sz w:val="24"/>
          <w:szCs w:val="24"/>
        </w:rPr>
        <w:t xml:space="preserve"> Addresses civil wrongs independent of contract resulting in injury, loss, or damage to persons, property, or reputation.</w:t>
      </w:r>
    </w:p>
    <w:p w:rsidR="00FF5C41" w:rsidRPr="00FF5C41" w:rsidRDefault="00FF5C41" w:rsidP="00FF5C41">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FF5C41">
        <w:rPr>
          <w:rFonts w:ascii="Times New Roman" w:eastAsia="Times New Roman" w:hAnsi="Times New Roman" w:cs="Times New Roman"/>
          <w:i/>
          <w:iCs/>
          <w:sz w:val="24"/>
          <w:szCs w:val="24"/>
        </w:rPr>
        <w:t>Pattern:</w:t>
      </w:r>
      <w:r w:rsidRPr="00FF5C41">
        <w:rPr>
          <w:rFonts w:ascii="Times New Roman" w:eastAsia="Times New Roman" w:hAnsi="Times New Roman" w:cs="Times New Roman"/>
          <w:sz w:val="24"/>
          <w:szCs w:val="24"/>
        </w:rPr>
        <w:t xml:space="preserve"> The dominant framework is </w:t>
      </w:r>
      <w:r w:rsidRPr="00FF5C41">
        <w:rPr>
          <w:rFonts w:ascii="Times New Roman" w:eastAsia="Times New Roman" w:hAnsi="Times New Roman" w:cs="Times New Roman"/>
          <w:b/>
          <w:bCs/>
          <w:sz w:val="24"/>
          <w:szCs w:val="24"/>
        </w:rPr>
        <w:t>negligence</w:t>
      </w:r>
      <w:r w:rsidRPr="00FF5C41">
        <w:rPr>
          <w:rFonts w:ascii="Times New Roman" w:eastAsia="Times New Roman" w:hAnsi="Times New Roman" w:cs="Times New Roman"/>
          <w:sz w:val="24"/>
          <w:szCs w:val="24"/>
        </w:rPr>
        <w:t xml:space="preserve">, rooted in Lord </w:t>
      </w:r>
      <w:proofErr w:type="spellStart"/>
      <w:r w:rsidRPr="00FF5C41">
        <w:rPr>
          <w:rFonts w:ascii="Times New Roman" w:eastAsia="Times New Roman" w:hAnsi="Times New Roman" w:cs="Times New Roman"/>
          <w:sz w:val="24"/>
          <w:szCs w:val="24"/>
        </w:rPr>
        <w:t>Atkin’s</w:t>
      </w:r>
      <w:proofErr w:type="spellEnd"/>
      <w:r w:rsidRPr="00FF5C41">
        <w:rPr>
          <w:rFonts w:ascii="Times New Roman" w:eastAsia="Times New Roman" w:hAnsi="Times New Roman" w:cs="Times New Roman"/>
          <w:sz w:val="24"/>
          <w:szCs w:val="24"/>
        </w:rPr>
        <w:t xml:space="preserve"> "neighbor principle" (</w:t>
      </w:r>
      <w:proofErr w:type="spellStart"/>
      <w:r w:rsidRPr="00FF5C41">
        <w:rPr>
          <w:rFonts w:ascii="Times New Roman" w:eastAsia="Times New Roman" w:hAnsi="Times New Roman" w:cs="Times New Roman"/>
          <w:i/>
          <w:iCs/>
          <w:sz w:val="24"/>
          <w:szCs w:val="24"/>
        </w:rPr>
        <w:t>Donogue</w:t>
      </w:r>
      <w:proofErr w:type="spellEnd"/>
      <w:r w:rsidRPr="00FF5C41">
        <w:rPr>
          <w:rFonts w:ascii="Times New Roman" w:eastAsia="Times New Roman" w:hAnsi="Times New Roman" w:cs="Times New Roman"/>
          <w:i/>
          <w:iCs/>
          <w:sz w:val="24"/>
          <w:szCs w:val="24"/>
        </w:rPr>
        <w:t xml:space="preserve"> v Stevenson</w:t>
      </w:r>
      <w:r w:rsidRPr="00FF5C41">
        <w:rPr>
          <w:rFonts w:ascii="Times New Roman" w:eastAsia="Times New Roman" w:hAnsi="Times New Roman" w:cs="Times New Roman"/>
          <w:sz w:val="24"/>
          <w:szCs w:val="24"/>
        </w:rPr>
        <w:t xml:space="preserve"> [1932]), requiring proof of a duty of care, breach of that duty, and resultant actionable damage.</w:t>
      </w:r>
    </w:p>
    <w:p w:rsidR="00FF5C41" w:rsidRPr="00FF5C41" w:rsidRDefault="00FF5C41" w:rsidP="00FF5C4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F5C41">
        <w:rPr>
          <w:rFonts w:ascii="Times New Roman" w:eastAsia="Times New Roman" w:hAnsi="Times New Roman" w:cs="Times New Roman"/>
          <w:b/>
          <w:bCs/>
          <w:sz w:val="24"/>
          <w:szCs w:val="24"/>
        </w:rPr>
        <w:t>Property &amp; Land Law</w:t>
      </w:r>
    </w:p>
    <w:p w:rsidR="00FF5C41" w:rsidRPr="00FF5C41" w:rsidRDefault="00FF5C41" w:rsidP="00FF5C41">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FF5C41">
        <w:rPr>
          <w:rFonts w:ascii="Times New Roman" w:eastAsia="Times New Roman" w:hAnsi="Times New Roman" w:cs="Times New Roman"/>
          <w:i/>
          <w:iCs/>
          <w:sz w:val="24"/>
          <w:szCs w:val="24"/>
        </w:rPr>
        <w:t>Scope:</w:t>
      </w:r>
      <w:r w:rsidRPr="00FF5C41">
        <w:rPr>
          <w:rFonts w:ascii="Times New Roman" w:eastAsia="Times New Roman" w:hAnsi="Times New Roman" w:cs="Times New Roman"/>
          <w:sz w:val="24"/>
          <w:szCs w:val="24"/>
        </w:rPr>
        <w:t xml:space="preserve"> Regulates ownership, possession, and encumbrances over real estate and personal property.</w:t>
      </w:r>
    </w:p>
    <w:p w:rsidR="00FF5C41" w:rsidRPr="00FF5C41" w:rsidRDefault="00FF5C41" w:rsidP="00FF5C41">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FF5C41">
        <w:rPr>
          <w:rFonts w:ascii="Times New Roman" w:eastAsia="Times New Roman" w:hAnsi="Times New Roman" w:cs="Times New Roman"/>
          <w:i/>
          <w:iCs/>
          <w:sz w:val="24"/>
          <w:szCs w:val="24"/>
        </w:rPr>
        <w:t>Pattern:</w:t>
      </w:r>
      <w:r w:rsidRPr="00FF5C41">
        <w:rPr>
          <w:rFonts w:ascii="Times New Roman" w:eastAsia="Times New Roman" w:hAnsi="Times New Roman" w:cs="Times New Roman"/>
          <w:sz w:val="24"/>
          <w:szCs w:val="24"/>
        </w:rPr>
        <w:t xml:space="preserve"> Grounded in the Law of Property Act 1925. Distinguishes strictly between legal estates (fee simple absolute in possession, term of years absolute) and equitable interests, governed by formal registration requirements under the Land Registration Act 2002.</w:t>
      </w:r>
    </w:p>
    <w:p w:rsidR="00FF5C41" w:rsidRPr="00FF5C41" w:rsidRDefault="00FF5C41" w:rsidP="00FF5C4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F5C41">
        <w:rPr>
          <w:rFonts w:ascii="Times New Roman" w:eastAsia="Times New Roman" w:hAnsi="Times New Roman" w:cs="Times New Roman"/>
          <w:b/>
          <w:bCs/>
          <w:sz w:val="24"/>
          <w:szCs w:val="24"/>
        </w:rPr>
        <w:t>Equity &amp; Trusts</w:t>
      </w:r>
    </w:p>
    <w:p w:rsidR="00FF5C41" w:rsidRPr="00FF5C41" w:rsidRDefault="00FF5C41" w:rsidP="00FF5C41">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FF5C41">
        <w:rPr>
          <w:rFonts w:ascii="Times New Roman" w:eastAsia="Times New Roman" w:hAnsi="Times New Roman" w:cs="Times New Roman"/>
          <w:i/>
          <w:iCs/>
          <w:sz w:val="24"/>
          <w:szCs w:val="24"/>
        </w:rPr>
        <w:t>Scope:</w:t>
      </w:r>
      <w:r w:rsidRPr="00FF5C41">
        <w:rPr>
          <w:rFonts w:ascii="Times New Roman" w:eastAsia="Times New Roman" w:hAnsi="Times New Roman" w:cs="Times New Roman"/>
          <w:sz w:val="24"/>
          <w:szCs w:val="24"/>
        </w:rPr>
        <w:t xml:space="preserve"> Developed historically by the Court of Chancery to mitigate the rigidity of common law through principles of fairness, conscience, and fiduciary obligation.</w:t>
      </w:r>
    </w:p>
    <w:p w:rsidR="00FF5C41" w:rsidRPr="00FF5C41" w:rsidRDefault="00FF5C41" w:rsidP="00FF5C41">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FF5C41">
        <w:rPr>
          <w:rFonts w:ascii="Times New Roman" w:eastAsia="Times New Roman" w:hAnsi="Times New Roman" w:cs="Times New Roman"/>
          <w:i/>
          <w:iCs/>
          <w:sz w:val="24"/>
          <w:szCs w:val="24"/>
        </w:rPr>
        <w:t>Pattern:</w:t>
      </w:r>
      <w:r w:rsidRPr="00FF5C41">
        <w:rPr>
          <w:rFonts w:ascii="Times New Roman" w:eastAsia="Times New Roman" w:hAnsi="Times New Roman" w:cs="Times New Roman"/>
          <w:sz w:val="24"/>
          <w:szCs w:val="24"/>
        </w:rPr>
        <w:t xml:space="preserve"> Governed by equitable maxims (e.g., "equity looks to the intent rather than the form"), fiduciary duties, and trust law, providing remedies such as injunctions, specific performance, and constructive trusts.</w:t>
      </w:r>
    </w:p>
    <w:p w:rsidR="00FF5C41" w:rsidRPr="00FF5C41" w:rsidRDefault="00FF5C41" w:rsidP="00FF5C4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F5C41">
        <w:rPr>
          <w:rFonts w:ascii="Times New Roman" w:eastAsia="Times New Roman" w:hAnsi="Times New Roman" w:cs="Times New Roman"/>
          <w:b/>
          <w:bCs/>
          <w:sz w:val="24"/>
          <w:szCs w:val="24"/>
        </w:rPr>
        <w:t>Public &amp; Administrative Law</w:t>
      </w:r>
    </w:p>
    <w:p w:rsidR="00FF5C41" w:rsidRPr="00FF5C41" w:rsidRDefault="00FF5C41" w:rsidP="00FF5C41">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FF5C41">
        <w:rPr>
          <w:rFonts w:ascii="Times New Roman" w:eastAsia="Times New Roman" w:hAnsi="Times New Roman" w:cs="Times New Roman"/>
          <w:i/>
          <w:iCs/>
          <w:sz w:val="24"/>
          <w:szCs w:val="24"/>
        </w:rPr>
        <w:t>Scope:</w:t>
      </w:r>
      <w:r w:rsidRPr="00FF5C41">
        <w:rPr>
          <w:rFonts w:ascii="Times New Roman" w:eastAsia="Times New Roman" w:hAnsi="Times New Roman" w:cs="Times New Roman"/>
          <w:sz w:val="24"/>
          <w:szCs w:val="24"/>
        </w:rPr>
        <w:t xml:space="preserve"> Governs the exercise of public power and the relationship between citizens and the state.</w:t>
      </w:r>
    </w:p>
    <w:p w:rsidR="00FF5C41" w:rsidRPr="00FF5C41" w:rsidRDefault="00FF5C41" w:rsidP="00FF5C41">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FF5C41">
        <w:rPr>
          <w:rFonts w:ascii="Times New Roman" w:eastAsia="Times New Roman" w:hAnsi="Times New Roman" w:cs="Times New Roman"/>
          <w:i/>
          <w:iCs/>
          <w:sz w:val="24"/>
          <w:szCs w:val="24"/>
        </w:rPr>
        <w:t>Pattern:</w:t>
      </w:r>
      <w:r w:rsidRPr="00FF5C41">
        <w:rPr>
          <w:rFonts w:ascii="Times New Roman" w:eastAsia="Times New Roman" w:hAnsi="Times New Roman" w:cs="Times New Roman"/>
          <w:sz w:val="24"/>
          <w:szCs w:val="24"/>
        </w:rPr>
        <w:t xml:space="preserve"> Administered via </w:t>
      </w:r>
      <w:r w:rsidRPr="00FF5C41">
        <w:rPr>
          <w:rFonts w:ascii="Times New Roman" w:eastAsia="Times New Roman" w:hAnsi="Times New Roman" w:cs="Times New Roman"/>
          <w:b/>
          <w:bCs/>
          <w:sz w:val="24"/>
          <w:szCs w:val="24"/>
        </w:rPr>
        <w:t>Judicial Review</w:t>
      </w:r>
      <w:r w:rsidRPr="00FF5C41">
        <w:rPr>
          <w:rFonts w:ascii="Times New Roman" w:eastAsia="Times New Roman" w:hAnsi="Times New Roman" w:cs="Times New Roman"/>
          <w:sz w:val="24"/>
          <w:szCs w:val="24"/>
        </w:rPr>
        <w:t xml:space="preserve"> in the King's Bench Division of the High Court, assessing administrative action on grounds of </w:t>
      </w:r>
      <w:r w:rsidRPr="00FF5C41">
        <w:rPr>
          <w:rFonts w:ascii="Times New Roman" w:eastAsia="Times New Roman" w:hAnsi="Times New Roman" w:cs="Times New Roman"/>
          <w:i/>
          <w:iCs/>
          <w:sz w:val="24"/>
          <w:szCs w:val="24"/>
        </w:rPr>
        <w:t>illegality</w:t>
      </w:r>
      <w:r w:rsidRPr="00FF5C41">
        <w:rPr>
          <w:rFonts w:ascii="Times New Roman" w:eastAsia="Times New Roman" w:hAnsi="Times New Roman" w:cs="Times New Roman"/>
          <w:sz w:val="24"/>
          <w:szCs w:val="24"/>
        </w:rPr>
        <w:t xml:space="preserve">, </w:t>
      </w:r>
      <w:r w:rsidRPr="00FF5C41">
        <w:rPr>
          <w:rFonts w:ascii="Times New Roman" w:eastAsia="Times New Roman" w:hAnsi="Times New Roman" w:cs="Times New Roman"/>
          <w:i/>
          <w:iCs/>
          <w:sz w:val="24"/>
          <w:szCs w:val="24"/>
        </w:rPr>
        <w:t>irrationality</w:t>
      </w:r>
      <w:r w:rsidRPr="00FF5C41">
        <w:rPr>
          <w:rFonts w:ascii="Times New Roman" w:eastAsia="Times New Roman" w:hAnsi="Times New Roman" w:cs="Times New Roman"/>
          <w:sz w:val="24"/>
          <w:szCs w:val="24"/>
        </w:rPr>
        <w:t xml:space="preserve"> (</w:t>
      </w:r>
      <w:proofErr w:type="spellStart"/>
      <w:r w:rsidRPr="00FF5C41">
        <w:rPr>
          <w:rFonts w:ascii="Times New Roman" w:eastAsia="Times New Roman" w:hAnsi="Times New Roman" w:cs="Times New Roman"/>
          <w:sz w:val="24"/>
          <w:szCs w:val="24"/>
        </w:rPr>
        <w:t>Wednesbury</w:t>
      </w:r>
      <w:proofErr w:type="spellEnd"/>
      <w:r w:rsidRPr="00FF5C41">
        <w:rPr>
          <w:rFonts w:ascii="Times New Roman" w:eastAsia="Times New Roman" w:hAnsi="Times New Roman" w:cs="Times New Roman"/>
          <w:sz w:val="24"/>
          <w:szCs w:val="24"/>
        </w:rPr>
        <w:t xml:space="preserve"> unreasonableness), and </w:t>
      </w:r>
      <w:r w:rsidRPr="00FF5C41">
        <w:rPr>
          <w:rFonts w:ascii="Times New Roman" w:eastAsia="Times New Roman" w:hAnsi="Times New Roman" w:cs="Times New Roman"/>
          <w:i/>
          <w:iCs/>
          <w:sz w:val="24"/>
          <w:szCs w:val="24"/>
        </w:rPr>
        <w:t>procedural impropriety</w:t>
      </w:r>
      <w:r w:rsidRPr="00FF5C41">
        <w:rPr>
          <w:rFonts w:ascii="Times New Roman" w:eastAsia="Times New Roman" w:hAnsi="Times New Roman" w:cs="Times New Roman"/>
          <w:sz w:val="24"/>
          <w:szCs w:val="24"/>
        </w:rPr>
        <w:t>.</w:t>
      </w:r>
    </w:p>
    <w:p w:rsidR="00FF5C41" w:rsidRPr="00FF5C41" w:rsidRDefault="00FF5C41" w:rsidP="00FF5C41">
      <w:pPr>
        <w:spacing w:before="100" w:beforeAutospacing="1" w:after="100" w:afterAutospacing="1" w:line="240" w:lineRule="auto"/>
        <w:outlineLvl w:val="2"/>
        <w:rPr>
          <w:rFonts w:ascii="Times New Roman" w:eastAsia="Times New Roman" w:hAnsi="Times New Roman" w:cs="Times New Roman"/>
          <w:b/>
          <w:bCs/>
          <w:sz w:val="27"/>
          <w:szCs w:val="27"/>
        </w:rPr>
      </w:pPr>
      <w:r w:rsidRPr="00FF5C41">
        <w:rPr>
          <w:rFonts w:ascii="Times New Roman" w:eastAsia="Times New Roman" w:hAnsi="Times New Roman" w:cs="Times New Roman"/>
          <w:b/>
          <w:bCs/>
          <w:sz w:val="27"/>
          <w:szCs w:val="27"/>
        </w:rPr>
        <w:t>Part III: Anatomy, Pattern, Format, and Drafting Style of British Legislation</w:t>
      </w:r>
    </w:p>
    <w:p w:rsidR="00FF5C41" w:rsidRPr="00FF5C41" w:rsidRDefault="00FF5C41" w:rsidP="00FF5C41">
      <w:pPr>
        <w:spacing w:before="100" w:beforeAutospacing="1" w:after="100" w:afterAutospacing="1" w:line="240" w:lineRule="auto"/>
        <w:rPr>
          <w:rFonts w:ascii="Times New Roman" w:eastAsia="Times New Roman" w:hAnsi="Times New Roman" w:cs="Times New Roman"/>
          <w:sz w:val="24"/>
          <w:szCs w:val="24"/>
        </w:rPr>
      </w:pPr>
      <w:r w:rsidRPr="00FF5C41">
        <w:rPr>
          <w:rFonts w:ascii="Times New Roman" w:eastAsia="Times New Roman" w:hAnsi="Times New Roman" w:cs="Times New Roman"/>
          <w:sz w:val="24"/>
          <w:szCs w:val="24"/>
        </w:rPr>
        <w:t>To produce documents matching authentic British parliamentary and legal style, future drafting must strictly adhere to the following structural hierarchy, layout conventions, and linguistic syntax:</w:t>
      </w:r>
    </w:p>
    <w:p w:rsidR="00FF5C41" w:rsidRPr="00FF5C41" w:rsidRDefault="00FF5C41" w:rsidP="00FF5C41">
      <w:pPr>
        <w:spacing w:before="100" w:beforeAutospacing="1" w:after="100" w:afterAutospacing="1" w:line="240" w:lineRule="auto"/>
        <w:outlineLvl w:val="3"/>
        <w:rPr>
          <w:rFonts w:ascii="Times New Roman" w:eastAsia="Times New Roman" w:hAnsi="Times New Roman" w:cs="Times New Roman"/>
          <w:b/>
          <w:bCs/>
          <w:sz w:val="24"/>
          <w:szCs w:val="24"/>
        </w:rPr>
      </w:pPr>
      <w:r w:rsidRPr="00FF5C41">
        <w:rPr>
          <w:rFonts w:ascii="Times New Roman" w:eastAsia="Times New Roman" w:hAnsi="Times New Roman" w:cs="Times New Roman"/>
          <w:b/>
          <w:bCs/>
          <w:sz w:val="24"/>
          <w:szCs w:val="24"/>
        </w:rPr>
        <w:t>1. Structural Hierarchy and Numbering Pattern</w:t>
      </w:r>
    </w:p>
    <w:p w:rsidR="00FF5C41" w:rsidRPr="00FF5C41" w:rsidRDefault="00FF5C41" w:rsidP="00FF5C41">
      <w:pPr>
        <w:spacing w:before="100" w:beforeAutospacing="1" w:after="100" w:afterAutospacing="1" w:line="240" w:lineRule="auto"/>
        <w:rPr>
          <w:rFonts w:ascii="Times New Roman" w:eastAsia="Times New Roman" w:hAnsi="Times New Roman" w:cs="Times New Roman"/>
          <w:sz w:val="24"/>
          <w:szCs w:val="24"/>
        </w:rPr>
      </w:pPr>
      <w:r w:rsidRPr="00FF5C41">
        <w:rPr>
          <w:rFonts w:ascii="Times New Roman" w:eastAsia="Times New Roman" w:hAnsi="Times New Roman" w:cs="Times New Roman"/>
          <w:sz w:val="24"/>
          <w:szCs w:val="24"/>
        </w:rPr>
        <w:t>British Acts of Parliament and statutory instruments follow a strict, rigid taxonomic breakdown:</w:t>
      </w:r>
    </w:p>
    <w:p w:rsidR="00FF5C41" w:rsidRPr="00FF5C41" w:rsidRDefault="00FF5C41" w:rsidP="00FF5C4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F5C41">
        <w:rPr>
          <w:rFonts w:ascii="Times New Roman" w:eastAsia="Times New Roman" w:hAnsi="Times New Roman" w:cs="Times New Roman"/>
          <w:b/>
          <w:bCs/>
          <w:sz w:val="24"/>
          <w:szCs w:val="24"/>
        </w:rPr>
        <w:t>Part:</w:t>
      </w:r>
      <w:r w:rsidRPr="00FF5C41">
        <w:rPr>
          <w:rFonts w:ascii="Times New Roman" w:eastAsia="Times New Roman" w:hAnsi="Times New Roman" w:cs="Times New Roman"/>
          <w:sz w:val="24"/>
          <w:szCs w:val="24"/>
        </w:rPr>
        <w:t xml:space="preserve"> Broad subject-matter division (e.g., </w:t>
      </w:r>
      <w:r w:rsidRPr="00FF5C41">
        <w:rPr>
          <w:rFonts w:ascii="Times New Roman" w:eastAsia="Times New Roman" w:hAnsi="Times New Roman" w:cs="Times New Roman"/>
          <w:i/>
          <w:iCs/>
          <w:sz w:val="24"/>
          <w:szCs w:val="24"/>
        </w:rPr>
        <w:t>PART I: CONSTITUTIONAL JURISDICTION</w:t>
      </w:r>
      <w:r w:rsidRPr="00FF5C41">
        <w:rPr>
          <w:rFonts w:ascii="Times New Roman" w:eastAsia="Times New Roman" w:hAnsi="Times New Roman" w:cs="Times New Roman"/>
          <w:sz w:val="24"/>
          <w:szCs w:val="24"/>
        </w:rPr>
        <w:t>).</w:t>
      </w:r>
    </w:p>
    <w:p w:rsidR="00FF5C41" w:rsidRPr="00FF5C41" w:rsidRDefault="00FF5C41" w:rsidP="00FF5C4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F5C41">
        <w:rPr>
          <w:rFonts w:ascii="Times New Roman" w:eastAsia="Times New Roman" w:hAnsi="Times New Roman" w:cs="Times New Roman"/>
          <w:b/>
          <w:bCs/>
          <w:sz w:val="24"/>
          <w:szCs w:val="24"/>
        </w:rPr>
        <w:lastRenderedPageBreak/>
        <w:t>Chapter / Section:</w:t>
      </w:r>
      <w:r w:rsidRPr="00FF5C41">
        <w:rPr>
          <w:rFonts w:ascii="Times New Roman" w:eastAsia="Times New Roman" w:hAnsi="Times New Roman" w:cs="Times New Roman"/>
          <w:sz w:val="24"/>
          <w:szCs w:val="24"/>
        </w:rPr>
        <w:t xml:space="preserve"> Primary operational units of the enactment. Numbered consecutively (</w:t>
      </w:r>
      <w:r w:rsidRPr="00FF5C41">
        <w:rPr>
          <w:rFonts w:ascii="Courier New" w:eastAsia="Times New Roman" w:hAnsi="Courier New" w:cs="Courier New"/>
          <w:sz w:val="20"/>
          <w:szCs w:val="20"/>
        </w:rPr>
        <w:t>Section 1</w:t>
      </w:r>
      <w:r w:rsidRPr="00FF5C41">
        <w:rPr>
          <w:rFonts w:ascii="Times New Roman" w:eastAsia="Times New Roman" w:hAnsi="Times New Roman" w:cs="Times New Roman"/>
          <w:sz w:val="24"/>
          <w:szCs w:val="24"/>
        </w:rPr>
        <w:t xml:space="preserve">, </w:t>
      </w:r>
      <w:r w:rsidRPr="00FF5C41">
        <w:rPr>
          <w:rFonts w:ascii="Courier New" w:eastAsia="Times New Roman" w:hAnsi="Courier New" w:cs="Courier New"/>
          <w:sz w:val="20"/>
          <w:szCs w:val="20"/>
        </w:rPr>
        <w:t>Section 2</w:t>
      </w:r>
      <w:r w:rsidRPr="00FF5C41">
        <w:rPr>
          <w:rFonts w:ascii="Times New Roman" w:eastAsia="Times New Roman" w:hAnsi="Times New Roman" w:cs="Times New Roman"/>
          <w:sz w:val="24"/>
          <w:szCs w:val="24"/>
        </w:rPr>
        <w:t>).</w:t>
      </w:r>
    </w:p>
    <w:p w:rsidR="00FF5C41" w:rsidRPr="00FF5C41" w:rsidRDefault="00FF5C41" w:rsidP="00FF5C4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F5C41">
        <w:rPr>
          <w:rFonts w:ascii="Times New Roman" w:eastAsia="Times New Roman" w:hAnsi="Times New Roman" w:cs="Times New Roman"/>
          <w:b/>
          <w:bCs/>
          <w:sz w:val="24"/>
          <w:szCs w:val="24"/>
        </w:rPr>
        <w:t>Subsection:</w:t>
      </w:r>
      <w:r w:rsidRPr="00FF5C41">
        <w:rPr>
          <w:rFonts w:ascii="Times New Roman" w:eastAsia="Times New Roman" w:hAnsi="Times New Roman" w:cs="Times New Roman"/>
          <w:sz w:val="24"/>
          <w:szCs w:val="24"/>
        </w:rPr>
        <w:t xml:space="preserve"> Divisions within a section, enclosed in parentheses (</w:t>
      </w:r>
      <w:r w:rsidRPr="00FF5C41">
        <w:rPr>
          <w:rFonts w:ascii="Courier New" w:eastAsia="Times New Roman" w:hAnsi="Courier New" w:cs="Courier New"/>
          <w:sz w:val="20"/>
          <w:szCs w:val="20"/>
        </w:rPr>
        <w:t>(1)</w:t>
      </w:r>
      <w:r w:rsidRPr="00FF5C41">
        <w:rPr>
          <w:rFonts w:ascii="Times New Roman" w:eastAsia="Times New Roman" w:hAnsi="Times New Roman" w:cs="Times New Roman"/>
          <w:sz w:val="24"/>
          <w:szCs w:val="24"/>
        </w:rPr>
        <w:t xml:space="preserve">, </w:t>
      </w:r>
      <w:r w:rsidRPr="00FF5C41">
        <w:rPr>
          <w:rFonts w:ascii="Courier New" w:eastAsia="Times New Roman" w:hAnsi="Courier New" w:cs="Courier New"/>
          <w:sz w:val="20"/>
          <w:szCs w:val="20"/>
        </w:rPr>
        <w:t>(2)</w:t>
      </w:r>
      <w:r w:rsidRPr="00FF5C41">
        <w:rPr>
          <w:rFonts w:ascii="Times New Roman" w:eastAsia="Times New Roman" w:hAnsi="Times New Roman" w:cs="Times New Roman"/>
          <w:sz w:val="24"/>
          <w:szCs w:val="24"/>
        </w:rPr>
        <w:t xml:space="preserve">, </w:t>
      </w:r>
      <w:r w:rsidRPr="00FF5C41">
        <w:rPr>
          <w:rFonts w:ascii="Courier New" w:eastAsia="Times New Roman" w:hAnsi="Courier New" w:cs="Courier New"/>
          <w:sz w:val="20"/>
          <w:szCs w:val="20"/>
        </w:rPr>
        <w:t>(3)</w:t>
      </w:r>
      <w:r w:rsidRPr="00FF5C41">
        <w:rPr>
          <w:rFonts w:ascii="Times New Roman" w:eastAsia="Times New Roman" w:hAnsi="Times New Roman" w:cs="Times New Roman"/>
          <w:sz w:val="24"/>
          <w:szCs w:val="24"/>
        </w:rPr>
        <w:t>).</w:t>
      </w:r>
    </w:p>
    <w:p w:rsidR="00FF5C41" w:rsidRPr="00FF5C41" w:rsidRDefault="00FF5C41" w:rsidP="00FF5C4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F5C41">
        <w:rPr>
          <w:rFonts w:ascii="Times New Roman" w:eastAsia="Times New Roman" w:hAnsi="Times New Roman" w:cs="Times New Roman"/>
          <w:b/>
          <w:bCs/>
          <w:sz w:val="24"/>
          <w:szCs w:val="24"/>
        </w:rPr>
        <w:t>Paragraph:</w:t>
      </w:r>
      <w:r w:rsidRPr="00FF5C41">
        <w:rPr>
          <w:rFonts w:ascii="Times New Roman" w:eastAsia="Times New Roman" w:hAnsi="Times New Roman" w:cs="Times New Roman"/>
          <w:sz w:val="24"/>
          <w:szCs w:val="24"/>
        </w:rPr>
        <w:t xml:space="preserve"> Further breakdown within subsections, lettered consecutively (</w:t>
      </w:r>
      <w:r w:rsidRPr="00FF5C41">
        <w:rPr>
          <w:rFonts w:ascii="Courier New" w:eastAsia="Times New Roman" w:hAnsi="Courier New" w:cs="Courier New"/>
          <w:sz w:val="20"/>
          <w:szCs w:val="20"/>
        </w:rPr>
        <w:t>(a)</w:t>
      </w:r>
      <w:r w:rsidRPr="00FF5C41">
        <w:rPr>
          <w:rFonts w:ascii="Times New Roman" w:eastAsia="Times New Roman" w:hAnsi="Times New Roman" w:cs="Times New Roman"/>
          <w:sz w:val="24"/>
          <w:szCs w:val="24"/>
        </w:rPr>
        <w:t xml:space="preserve">, </w:t>
      </w:r>
      <w:r w:rsidRPr="00FF5C41">
        <w:rPr>
          <w:rFonts w:ascii="Courier New" w:eastAsia="Times New Roman" w:hAnsi="Courier New" w:cs="Courier New"/>
          <w:sz w:val="20"/>
          <w:szCs w:val="20"/>
        </w:rPr>
        <w:t>(b)</w:t>
      </w:r>
      <w:r w:rsidRPr="00FF5C41">
        <w:rPr>
          <w:rFonts w:ascii="Times New Roman" w:eastAsia="Times New Roman" w:hAnsi="Times New Roman" w:cs="Times New Roman"/>
          <w:sz w:val="24"/>
          <w:szCs w:val="24"/>
        </w:rPr>
        <w:t xml:space="preserve">, </w:t>
      </w:r>
      <w:r w:rsidRPr="00FF5C41">
        <w:rPr>
          <w:rFonts w:ascii="Courier New" w:eastAsia="Times New Roman" w:hAnsi="Courier New" w:cs="Courier New"/>
          <w:sz w:val="20"/>
          <w:szCs w:val="20"/>
        </w:rPr>
        <w:t>(c)</w:t>
      </w:r>
      <w:r w:rsidRPr="00FF5C41">
        <w:rPr>
          <w:rFonts w:ascii="Times New Roman" w:eastAsia="Times New Roman" w:hAnsi="Times New Roman" w:cs="Times New Roman"/>
          <w:sz w:val="24"/>
          <w:szCs w:val="24"/>
        </w:rPr>
        <w:t>).</w:t>
      </w:r>
    </w:p>
    <w:p w:rsidR="00FF5C41" w:rsidRPr="00FF5C41" w:rsidRDefault="00FF5C41" w:rsidP="00FF5C4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F5C41">
        <w:rPr>
          <w:rFonts w:ascii="Times New Roman" w:eastAsia="Times New Roman" w:hAnsi="Times New Roman" w:cs="Times New Roman"/>
          <w:b/>
          <w:bCs/>
          <w:sz w:val="24"/>
          <w:szCs w:val="24"/>
        </w:rPr>
        <w:t>Sub-paragraph:</w:t>
      </w:r>
      <w:r w:rsidRPr="00FF5C41">
        <w:rPr>
          <w:rFonts w:ascii="Times New Roman" w:eastAsia="Times New Roman" w:hAnsi="Times New Roman" w:cs="Times New Roman"/>
          <w:sz w:val="24"/>
          <w:szCs w:val="24"/>
        </w:rPr>
        <w:t xml:space="preserve"> Detailed specifics under paragraphs, numbered with roman numerals (</w:t>
      </w:r>
      <w:r w:rsidRPr="00FF5C41">
        <w:rPr>
          <w:rFonts w:ascii="Courier New" w:eastAsia="Times New Roman" w:hAnsi="Courier New" w:cs="Courier New"/>
          <w:sz w:val="20"/>
          <w:szCs w:val="20"/>
        </w:rPr>
        <w:t>(i)</w:t>
      </w:r>
      <w:r w:rsidRPr="00FF5C41">
        <w:rPr>
          <w:rFonts w:ascii="Times New Roman" w:eastAsia="Times New Roman" w:hAnsi="Times New Roman" w:cs="Times New Roman"/>
          <w:sz w:val="24"/>
          <w:szCs w:val="24"/>
        </w:rPr>
        <w:t xml:space="preserve">, </w:t>
      </w:r>
      <w:r w:rsidRPr="00FF5C41">
        <w:rPr>
          <w:rFonts w:ascii="Courier New" w:eastAsia="Times New Roman" w:hAnsi="Courier New" w:cs="Courier New"/>
          <w:sz w:val="20"/>
          <w:szCs w:val="20"/>
        </w:rPr>
        <w:t>(ii)</w:t>
      </w:r>
      <w:r w:rsidRPr="00FF5C41">
        <w:rPr>
          <w:rFonts w:ascii="Times New Roman" w:eastAsia="Times New Roman" w:hAnsi="Times New Roman" w:cs="Times New Roman"/>
          <w:sz w:val="24"/>
          <w:szCs w:val="24"/>
        </w:rPr>
        <w:t xml:space="preserve">, </w:t>
      </w:r>
      <w:r w:rsidRPr="00FF5C41">
        <w:rPr>
          <w:rFonts w:ascii="Courier New" w:eastAsia="Times New Roman" w:hAnsi="Courier New" w:cs="Courier New"/>
          <w:sz w:val="20"/>
          <w:szCs w:val="20"/>
        </w:rPr>
        <w:t>(iii)</w:t>
      </w:r>
      <w:r w:rsidRPr="00FF5C41">
        <w:rPr>
          <w:rFonts w:ascii="Times New Roman" w:eastAsia="Times New Roman" w:hAnsi="Times New Roman" w:cs="Times New Roman"/>
          <w:sz w:val="24"/>
          <w:szCs w:val="24"/>
        </w:rPr>
        <w:t>).</w:t>
      </w:r>
    </w:p>
    <w:p w:rsidR="00FF5C41" w:rsidRPr="00FF5C41" w:rsidRDefault="00FF5C41" w:rsidP="00FF5C41">
      <w:pPr>
        <w:spacing w:before="100" w:beforeAutospacing="1" w:after="100" w:afterAutospacing="1" w:line="240" w:lineRule="auto"/>
        <w:outlineLvl w:val="3"/>
        <w:rPr>
          <w:rFonts w:ascii="Times New Roman" w:eastAsia="Times New Roman" w:hAnsi="Times New Roman" w:cs="Times New Roman"/>
          <w:b/>
          <w:bCs/>
          <w:sz w:val="24"/>
          <w:szCs w:val="24"/>
        </w:rPr>
      </w:pPr>
      <w:r w:rsidRPr="00FF5C41">
        <w:rPr>
          <w:rFonts w:ascii="Times New Roman" w:eastAsia="Times New Roman" w:hAnsi="Times New Roman" w:cs="Times New Roman"/>
          <w:b/>
          <w:bCs/>
          <w:sz w:val="24"/>
          <w:szCs w:val="24"/>
        </w:rPr>
        <w:t>2. Formal Enacting Formula &amp; Introductory Anatomy</w:t>
      </w:r>
    </w:p>
    <w:p w:rsidR="00FF5C41" w:rsidRPr="00FF5C41" w:rsidRDefault="00FF5C41" w:rsidP="00FF5C41">
      <w:pPr>
        <w:spacing w:before="100" w:beforeAutospacing="1" w:after="100" w:afterAutospacing="1" w:line="240" w:lineRule="auto"/>
        <w:rPr>
          <w:rFonts w:ascii="Times New Roman" w:eastAsia="Times New Roman" w:hAnsi="Times New Roman" w:cs="Times New Roman"/>
          <w:sz w:val="24"/>
          <w:szCs w:val="24"/>
        </w:rPr>
      </w:pPr>
      <w:r w:rsidRPr="00FF5C41">
        <w:rPr>
          <w:rFonts w:ascii="Times New Roman" w:eastAsia="Times New Roman" w:hAnsi="Times New Roman" w:cs="Times New Roman"/>
          <w:sz w:val="24"/>
          <w:szCs w:val="24"/>
        </w:rPr>
        <w:t>Every primary statute begins with a formal enacting clause reflecting the Crown-in-Parliament:</w:t>
      </w:r>
    </w:p>
    <w:p w:rsidR="00FF5C41" w:rsidRPr="00FF5C41" w:rsidRDefault="00FF5C41" w:rsidP="00FF5C41">
      <w:pPr>
        <w:spacing w:beforeAutospacing="1" w:after="100" w:afterAutospacing="1" w:line="240" w:lineRule="auto"/>
        <w:rPr>
          <w:rFonts w:ascii="Times New Roman" w:eastAsia="Times New Roman" w:hAnsi="Times New Roman" w:cs="Times New Roman"/>
          <w:sz w:val="24"/>
          <w:szCs w:val="24"/>
        </w:rPr>
      </w:pPr>
      <w:r w:rsidRPr="00FF5C41">
        <w:rPr>
          <w:rFonts w:ascii="Times New Roman" w:eastAsia="Times New Roman" w:hAnsi="Times New Roman" w:cs="Times New Roman"/>
          <w:i/>
          <w:iCs/>
          <w:sz w:val="24"/>
          <w:szCs w:val="24"/>
        </w:rPr>
        <w:t>“BE IT ENACTED by the King's most Excellent Majesty, by and with the advice and consent of the Lords Spiritual and Temporal, and Commons, in this present Parliament assembled, and by the authority of the same, as follows:—”</w:t>
      </w:r>
    </w:p>
    <w:p w:rsidR="00FF5C41" w:rsidRPr="00FF5C41" w:rsidRDefault="00FF5C41" w:rsidP="00FF5C41">
      <w:pPr>
        <w:spacing w:before="100" w:beforeAutospacing="1" w:after="100" w:afterAutospacing="1" w:line="240" w:lineRule="auto"/>
        <w:outlineLvl w:val="3"/>
        <w:rPr>
          <w:rFonts w:ascii="Times New Roman" w:eastAsia="Times New Roman" w:hAnsi="Times New Roman" w:cs="Times New Roman"/>
          <w:b/>
          <w:bCs/>
          <w:sz w:val="24"/>
          <w:szCs w:val="24"/>
        </w:rPr>
      </w:pPr>
      <w:r w:rsidRPr="00FF5C41">
        <w:rPr>
          <w:rFonts w:ascii="Times New Roman" w:eastAsia="Times New Roman" w:hAnsi="Times New Roman" w:cs="Times New Roman"/>
          <w:b/>
          <w:bCs/>
          <w:sz w:val="24"/>
          <w:szCs w:val="24"/>
        </w:rPr>
        <w:t>3. Linguistic Syntax and Drafting Vocabulary</w:t>
      </w:r>
    </w:p>
    <w:p w:rsidR="00FF5C41" w:rsidRPr="00FF5C41" w:rsidRDefault="00FF5C41" w:rsidP="00FF5C4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F5C41">
        <w:rPr>
          <w:rFonts w:ascii="Times New Roman" w:eastAsia="Times New Roman" w:hAnsi="Times New Roman" w:cs="Times New Roman"/>
          <w:b/>
          <w:bCs/>
          <w:sz w:val="24"/>
          <w:szCs w:val="24"/>
        </w:rPr>
        <w:t>Imperative Norms:</w:t>
      </w:r>
      <w:r w:rsidRPr="00FF5C41">
        <w:rPr>
          <w:rFonts w:ascii="Times New Roman" w:eastAsia="Times New Roman" w:hAnsi="Times New Roman" w:cs="Times New Roman"/>
          <w:sz w:val="24"/>
          <w:szCs w:val="24"/>
        </w:rPr>
        <w:t xml:space="preserve"> Use </w:t>
      </w:r>
      <w:r w:rsidRPr="00FF5C41">
        <w:rPr>
          <w:rFonts w:ascii="Times New Roman" w:eastAsia="Times New Roman" w:hAnsi="Times New Roman" w:cs="Times New Roman"/>
          <w:b/>
          <w:bCs/>
          <w:sz w:val="24"/>
          <w:szCs w:val="24"/>
        </w:rPr>
        <w:t>"shall"</w:t>
      </w:r>
      <w:r w:rsidRPr="00FF5C41">
        <w:rPr>
          <w:rFonts w:ascii="Times New Roman" w:eastAsia="Times New Roman" w:hAnsi="Times New Roman" w:cs="Times New Roman"/>
          <w:sz w:val="24"/>
          <w:szCs w:val="24"/>
        </w:rPr>
        <w:t xml:space="preserve"> to impose an absolute legal obligation or duty, and </w:t>
      </w:r>
      <w:r w:rsidRPr="00FF5C41">
        <w:rPr>
          <w:rFonts w:ascii="Times New Roman" w:eastAsia="Times New Roman" w:hAnsi="Times New Roman" w:cs="Times New Roman"/>
          <w:b/>
          <w:bCs/>
          <w:sz w:val="24"/>
          <w:szCs w:val="24"/>
        </w:rPr>
        <w:t>"may"</w:t>
      </w:r>
      <w:r w:rsidRPr="00FF5C41">
        <w:rPr>
          <w:rFonts w:ascii="Times New Roman" w:eastAsia="Times New Roman" w:hAnsi="Times New Roman" w:cs="Times New Roman"/>
          <w:sz w:val="24"/>
          <w:szCs w:val="24"/>
        </w:rPr>
        <w:t xml:space="preserve"> to confer permissive discretionary power. Avoid ambiguous modals like "should" or "will".</w:t>
      </w:r>
    </w:p>
    <w:p w:rsidR="00FF5C41" w:rsidRPr="00FF5C41" w:rsidRDefault="00FF5C41" w:rsidP="00FF5C4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F5C41">
        <w:rPr>
          <w:rFonts w:ascii="Times New Roman" w:eastAsia="Times New Roman" w:hAnsi="Times New Roman" w:cs="Times New Roman"/>
          <w:b/>
          <w:bCs/>
          <w:sz w:val="24"/>
          <w:szCs w:val="24"/>
        </w:rPr>
        <w:t>Negative Expressions:</w:t>
      </w:r>
      <w:r w:rsidRPr="00FF5C41">
        <w:rPr>
          <w:rFonts w:ascii="Times New Roman" w:eastAsia="Times New Roman" w:hAnsi="Times New Roman" w:cs="Times New Roman"/>
          <w:sz w:val="24"/>
          <w:szCs w:val="24"/>
        </w:rPr>
        <w:t xml:space="preserve"> Use </w:t>
      </w:r>
      <w:r w:rsidRPr="00FF5C41">
        <w:rPr>
          <w:rFonts w:ascii="Times New Roman" w:eastAsia="Times New Roman" w:hAnsi="Times New Roman" w:cs="Times New Roman"/>
          <w:b/>
          <w:bCs/>
          <w:sz w:val="24"/>
          <w:szCs w:val="24"/>
        </w:rPr>
        <w:t>"shall not"</w:t>
      </w:r>
      <w:r w:rsidRPr="00FF5C41">
        <w:rPr>
          <w:rFonts w:ascii="Times New Roman" w:eastAsia="Times New Roman" w:hAnsi="Times New Roman" w:cs="Times New Roman"/>
          <w:sz w:val="24"/>
          <w:szCs w:val="24"/>
        </w:rPr>
        <w:t xml:space="preserve"> or </w:t>
      </w:r>
      <w:r w:rsidRPr="00FF5C41">
        <w:rPr>
          <w:rFonts w:ascii="Times New Roman" w:eastAsia="Times New Roman" w:hAnsi="Times New Roman" w:cs="Times New Roman"/>
          <w:b/>
          <w:bCs/>
          <w:sz w:val="24"/>
          <w:szCs w:val="24"/>
        </w:rPr>
        <w:t>"is not lawful"</w:t>
      </w:r>
      <w:r w:rsidRPr="00FF5C41">
        <w:rPr>
          <w:rFonts w:ascii="Times New Roman" w:eastAsia="Times New Roman" w:hAnsi="Times New Roman" w:cs="Times New Roman"/>
          <w:sz w:val="24"/>
          <w:szCs w:val="24"/>
        </w:rPr>
        <w:t xml:space="preserve"> for prohibitions.</w:t>
      </w:r>
    </w:p>
    <w:p w:rsidR="00FF5C41" w:rsidRPr="00FF5C41" w:rsidRDefault="00FF5C41" w:rsidP="00FF5C4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F5C41">
        <w:rPr>
          <w:rFonts w:ascii="Times New Roman" w:eastAsia="Times New Roman" w:hAnsi="Times New Roman" w:cs="Times New Roman"/>
          <w:b/>
          <w:bCs/>
          <w:sz w:val="24"/>
          <w:szCs w:val="24"/>
        </w:rPr>
        <w:t>Interpretation Sections:</w:t>
      </w:r>
      <w:r w:rsidRPr="00FF5C41">
        <w:rPr>
          <w:rFonts w:ascii="Times New Roman" w:eastAsia="Times New Roman" w:hAnsi="Times New Roman" w:cs="Times New Roman"/>
          <w:sz w:val="24"/>
          <w:szCs w:val="24"/>
        </w:rPr>
        <w:t xml:space="preserve"> Every substantive statute includes a dedicated definitions clause near the commencement or conclusion (e.g., </w:t>
      </w:r>
      <w:r w:rsidRPr="00FF5C41">
        <w:rPr>
          <w:rFonts w:ascii="Times New Roman" w:eastAsia="Times New Roman" w:hAnsi="Times New Roman" w:cs="Times New Roman"/>
          <w:i/>
          <w:iCs/>
          <w:sz w:val="24"/>
          <w:szCs w:val="24"/>
        </w:rPr>
        <w:t>“In this Act, unless the context otherwise requires…”</w:t>
      </w:r>
      <w:r w:rsidRPr="00FF5C41">
        <w:rPr>
          <w:rFonts w:ascii="Times New Roman" w:eastAsia="Times New Roman" w:hAnsi="Times New Roman" w:cs="Times New Roman"/>
          <w:sz w:val="24"/>
          <w:szCs w:val="24"/>
        </w:rPr>
        <w:t>).</w:t>
      </w:r>
    </w:p>
    <w:p w:rsidR="00FF5C41" w:rsidRPr="00FF5C41" w:rsidRDefault="00FF5C41" w:rsidP="00FF5C4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F5C41">
        <w:rPr>
          <w:rFonts w:ascii="Times New Roman" w:eastAsia="Times New Roman" w:hAnsi="Times New Roman" w:cs="Times New Roman"/>
          <w:b/>
          <w:bCs/>
          <w:sz w:val="24"/>
          <w:szCs w:val="24"/>
        </w:rPr>
        <w:t>Cross-Referencing and Provisos:</w:t>
      </w:r>
      <w:r w:rsidRPr="00FF5C41">
        <w:rPr>
          <w:rFonts w:ascii="Times New Roman" w:eastAsia="Times New Roman" w:hAnsi="Times New Roman" w:cs="Times New Roman"/>
          <w:sz w:val="24"/>
          <w:szCs w:val="24"/>
        </w:rPr>
        <w:t xml:space="preserve"> Utilize formal legal phrasing such as </w:t>
      </w:r>
      <w:r w:rsidRPr="00FF5C41">
        <w:rPr>
          <w:rFonts w:ascii="Times New Roman" w:eastAsia="Times New Roman" w:hAnsi="Times New Roman" w:cs="Times New Roman"/>
          <w:i/>
          <w:iCs/>
          <w:sz w:val="24"/>
          <w:szCs w:val="24"/>
        </w:rPr>
        <w:t>“Subject to section [X]…”</w:t>
      </w:r>
      <w:r w:rsidRPr="00FF5C41">
        <w:rPr>
          <w:rFonts w:ascii="Times New Roman" w:eastAsia="Times New Roman" w:hAnsi="Times New Roman" w:cs="Times New Roman"/>
          <w:sz w:val="24"/>
          <w:szCs w:val="24"/>
        </w:rPr>
        <w:t xml:space="preserve">, </w:t>
      </w:r>
      <w:r w:rsidRPr="00FF5C41">
        <w:rPr>
          <w:rFonts w:ascii="Times New Roman" w:eastAsia="Times New Roman" w:hAnsi="Times New Roman" w:cs="Times New Roman"/>
          <w:i/>
          <w:iCs/>
          <w:sz w:val="24"/>
          <w:szCs w:val="24"/>
        </w:rPr>
        <w:t>“Notwithstanding anything in subsection (2)…”</w:t>
      </w:r>
      <w:r w:rsidRPr="00FF5C41">
        <w:rPr>
          <w:rFonts w:ascii="Times New Roman" w:eastAsia="Times New Roman" w:hAnsi="Times New Roman" w:cs="Times New Roman"/>
          <w:sz w:val="24"/>
          <w:szCs w:val="24"/>
        </w:rPr>
        <w:t xml:space="preserve">, and </w:t>
      </w:r>
      <w:r w:rsidRPr="00FF5C41">
        <w:rPr>
          <w:rFonts w:ascii="Times New Roman" w:eastAsia="Times New Roman" w:hAnsi="Times New Roman" w:cs="Times New Roman"/>
          <w:i/>
          <w:iCs/>
          <w:sz w:val="24"/>
          <w:szCs w:val="24"/>
        </w:rPr>
        <w:t>“deemed for all purposes to be…</w:t>
      </w:r>
      <w:proofErr w:type="gramStart"/>
      <w:r w:rsidRPr="00FF5C41">
        <w:rPr>
          <w:rFonts w:ascii="Times New Roman" w:eastAsia="Times New Roman" w:hAnsi="Times New Roman" w:cs="Times New Roman"/>
          <w:i/>
          <w:iCs/>
          <w:sz w:val="24"/>
          <w:szCs w:val="24"/>
        </w:rPr>
        <w:t>”</w:t>
      </w:r>
      <w:r w:rsidRPr="00FF5C41">
        <w:rPr>
          <w:rFonts w:ascii="Times New Roman" w:eastAsia="Times New Roman" w:hAnsi="Times New Roman" w:cs="Times New Roman"/>
          <w:sz w:val="24"/>
          <w:szCs w:val="24"/>
        </w:rPr>
        <w:t>.</w:t>
      </w:r>
      <w:proofErr w:type="gramEnd"/>
    </w:p>
    <w:p w:rsidR="00FF5C41" w:rsidRPr="00FF5C41" w:rsidRDefault="00FF5C41" w:rsidP="00FF5C4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F5C41">
        <w:rPr>
          <w:rFonts w:ascii="Times New Roman" w:eastAsia="Times New Roman" w:hAnsi="Times New Roman" w:cs="Times New Roman"/>
          <w:b/>
          <w:bCs/>
          <w:sz w:val="24"/>
          <w:szCs w:val="24"/>
        </w:rPr>
        <w:t>Marginal Notes / Side-Headings:</w:t>
      </w:r>
      <w:r w:rsidRPr="00FF5C41">
        <w:rPr>
          <w:rFonts w:ascii="Times New Roman" w:eastAsia="Times New Roman" w:hAnsi="Times New Roman" w:cs="Times New Roman"/>
          <w:sz w:val="24"/>
          <w:szCs w:val="24"/>
        </w:rPr>
        <w:t xml:space="preserve"> Every section is preceded by a concise italicized or bolded summary label describing its legal effect.</w:t>
      </w:r>
    </w:p>
    <w:p w:rsidR="00FF5C41" w:rsidRPr="00FF5C41" w:rsidRDefault="00FF5C41" w:rsidP="00FF5C41">
      <w:pPr>
        <w:spacing w:before="100" w:beforeAutospacing="1" w:after="100" w:afterAutospacing="1" w:line="240" w:lineRule="auto"/>
        <w:outlineLvl w:val="3"/>
        <w:rPr>
          <w:rFonts w:ascii="Times New Roman" w:eastAsia="Times New Roman" w:hAnsi="Times New Roman" w:cs="Times New Roman"/>
          <w:b/>
          <w:bCs/>
          <w:sz w:val="24"/>
          <w:szCs w:val="24"/>
        </w:rPr>
      </w:pPr>
      <w:r w:rsidRPr="00FF5C41">
        <w:rPr>
          <w:rFonts w:ascii="Times New Roman" w:eastAsia="Times New Roman" w:hAnsi="Times New Roman" w:cs="Times New Roman"/>
          <w:b/>
          <w:bCs/>
          <w:sz w:val="24"/>
          <w:szCs w:val="24"/>
        </w:rPr>
        <w:t>4. Schedules and Transitional Provisions</w:t>
      </w:r>
    </w:p>
    <w:p w:rsidR="00FF5C41" w:rsidRPr="00FF5C41" w:rsidRDefault="00FF5C41" w:rsidP="00FF5C41">
      <w:pPr>
        <w:spacing w:before="100" w:beforeAutospacing="1" w:after="100" w:afterAutospacing="1" w:line="240" w:lineRule="auto"/>
        <w:rPr>
          <w:rFonts w:ascii="Times New Roman" w:eastAsia="Times New Roman" w:hAnsi="Times New Roman" w:cs="Times New Roman"/>
          <w:sz w:val="24"/>
          <w:szCs w:val="24"/>
        </w:rPr>
      </w:pPr>
      <w:r w:rsidRPr="00FF5C41">
        <w:rPr>
          <w:rFonts w:ascii="Times New Roman" w:eastAsia="Times New Roman" w:hAnsi="Times New Roman" w:cs="Times New Roman"/>
          <w:sz w:val="24"/>
          <w:szCs w:val="24"/>
        </w:rPr>
        <w:t xml:space="preserve">Major legislative enactments conclude with numbered </w:t>
      </w:r>
      <w:r w:rsidRPr="00FF5C41">
        <w:rPr>
          <w:rFonts w:ascii="Times New Roman" w:eastAsia="Times New Roman" w:hAnsi="Times New Roman" w:cs="Times New Roman"/>
          <w:b/>
          <w:bCs/>
          <w:sz w:val="24"/>
          <w:szCs w:val="24"/>
        </w:rPr>
        <w:t>Schedules</w:t>
      </w:r>
      <w:r w:rsidRPr="00FF5C41">
        <w:rPr>
          <w:rFonts w:ascii="Times New Roman" w:eastAsia="Times New Roman" w:hAnsi="Times New Roman" w:cs="Times New Roman"/>
          <w:sz w:val="24"/>
          <w:szCs w:val="24"/>
        </w:rPr>
        <w:t xml:space="preserve"> (</w:t>
      </w:r>
      <w:r w:rsidRPr="00FF5C41">
        <w:rPr>
          <w:rFonts w:ascii="Courier New" w:eastAsia="Times New Roman" w:hAnsi="Courier New" w:cs="Courier New"/>
          <w:sz w:val="20"/>
          <w:szCs w:val="20"/>
        </w:rPr>
        <w:t>Schedule 1</w:t>
      </w:r>
      <w:r w:rsidRPr="00FF5C41">
        <w:rPr>
          <w:rFonts w:ascii="Times New Roman" w:eastAsia="Times New Roman" w:hAnsi="Times New Roman" w:cs="Times New Roman"/>
          <w:sz w:val="24"/>
          <w:szCs w:val="24"/>
        </w:rPr>
        <w:t xml:space="preserve">, </w:t>
      </w:r>
      <w:r w:rsidRPr="00FF5C41">
        <w:rPr>
          <w:rFonts w:ascii="Courier New" w:eastAsia="Times New Roman" w:hAnsi="Courier New" w:cs="Courier New"/>
          <w:sz w:val="20"/>
          <w:szCs w:val="20"/>
        </w:rPr>
        <w:t>Schedule 2</w:t>
      </w:r>
      <w:r w:rsidRPr="00FF5C41">
        <w:rPr>
          <w:rFonts w:ascii="Times New Roman" w:eastAsia="Times New Roman" w:hAnsi="Times New Roman" w:cs="Times New Roman"/>
          <w:sz w:val="24"/>
          <w:szCs w:val="24"/>
        </w:rPr>
        <w:t>) containing technical details, transitional arrangements, repeals of antecedent legislation, and consequential amendments, preventing clutter in the main body of the text.</w:t>
      </w:r>
    </w:p>
    <w:p w:rsidR="00FF5C41" w:rsidRPr="00FF5C41" w:rsidRDefault="00FF5C41" w:rsidP="00FF5C41">
      <w:pPr>
        <w:spacing w:before="100" w:beforeAutospacing="1" w:after="100" w:afterAutospacing="1" w:line="240" w:lineRule="auto"/>
        <w:rPr>
          <w:rFonts w:ascii="Times New Roman" w:eastAsia="Times New Roman" w:hAnsi="Times New Roman" w:cs="Times New Roman"/>
          <w:sz w:val="24"/>
          <w:szCs w:val="24"/>
        </w:rPr>
      </w:pPr>
      <w:r w:rsidRPr="00FF5C41">
        <w:rPr>
          <w:rFonts w:ascii="Times New Roman" w:eastAsia="Times New Roman" w:hAnsi="Times New Roman" w:cs="Times New Roman"/>
          <w:i/>
          <w:iCs/>
          <w:sz w:val="24"/>
          <w:szCs w:val="24"/>
        </w:rPr>
        <w:t>The analytical framework and stylistic blueprint for British legislative and jurisprudential drafting have been fully indexed and assimilated.</w:t>
      </w:r>
    </w:p>
    <w:p w:rsidR="007B66B5" w:rsidRDefault="007B66B5"/>
    <w:sectPr w:rsidR="007B66B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1970800"/>
    <w:multiLevelType w:val="multilevel"/>
    <w:tmpl w:val="154691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6B6F4919"/>
    <w:multiLevelType w:val="multilevel"/>
    <w:tmpl w:val="14F695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6BFA361F"/>
    <w:multiLevelType w:val="multilevel"/>
    <w:tmpl w:val="F378F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78704128"/>
    <w:multiLevelType w:val="multilevel"/>
    <w:tmpl w:val="B5946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F5C41"/>
    <w:rsid w:val="007B66B5"/>
    <w:rsid w:val="00FF5C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FF5C41"/>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FF5C41"/>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F5C41"/>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FF5C41"/>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FF5C41"/>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FF5C41"/>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FF5C41"/>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FF5C41"/>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F5C41"/>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FF5C41"/>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FF5C41"/>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FF5C4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10300609">
      <w:bodyDiv w:val="1"/>
      <w:marLeft w:val="0"/>
      <w:marRight w:val="0"/>
      <w:marTop w:val="0"/>
      <w:marBottom w:val="0"/>
      <w:divBdr>
        <w:top w:val="none" w:sz="0" w:space="0" w:color="auto"/>
        <w:left w:val="none" w:sz="0" w:space="0" w:color="auto"/>
        <w:bottom w:val="none" w:sz="0" w:space="0" w:color="auto"/>
        <w:right w:val="none" w:sz="0" w:space="0" w:color="auto"/>
      </w:divBdr>
      <w:divsChild>
        <w:div w:id="701517762">
          <w:marLeft w:val="0"/>
          <w:marRight w:val="0"/>
          <w:marTop w:val="0"/>
          <w:marBottom w:val="0"/>
          <w:divBdr>
            <w:top w:val="none" w:sz="0" w:space="0" w:color="auto"/>
            <w:left w:val="none" w:sz="0" w:space="0" w:color="auto"/>
            <w:bottom w:val="none" w:sz="0" w:space="0" w:color="auto"/>
            <w:right w:val="none" w:sz="0" w:space="0" w:color="auto"/>
          </w:divBdr>
          <w:divsChild>
            <w:div w:id="1630746055">
              <w:marLeft w:val="0"/>
              <w:marRight w:val="0"/>
              <w:marTop w:val="0"/>
              <w:marBottom w:val="0"/>
              <w:divBdr>
                <w:top w:val="none" w:sz="0" w:space="0" w:color="auto"/>
                <w:left w:val="none" w:sz="0" w:space="0" w:color="auto"/>
                <w:bottom w:val="none" w:sz="0" w:space="0" w:color="auto"/>
                <w:right w:val="none" w:sz="0" w:space="0" w:color="auto"/>
              </w:divBdr>
              <w:divsChild>
                <w:div w:id="18600041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1050</Words>
  <Characters>5985</Characters>
  <Application>Microsoft Office Word</Application>
  <DocSecurity>0</DocSecurity>
  <Lines>49</Lines>
  <Paragraphs>14</Paragraphs>
  <ScaleCrop>false</ScaleCrop>
  <Company>HP</Company>
  <LinksUpToDate>false</LinksUpToDate>
  <CharactersWithSpaces>7021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Ashok Sampoorna</dc:creator>
  <cp:lastModifiedBy>Ashok Sampoorna</cp:lastModifiedBy>
  <cp:revision>1</cp:revision>
  <dcterms:created xsi:type="dcterms:W3CDTF">2026-08-25T06:39:00Z</dcterms:created>
  <dcterms:modified xsi:type="dcterms:W3CDTF">2026-08-25T06:40:00Z</dcterms:modified>
</cp:coreProperties>
</file>