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1BDB3" w14:textId="1FEA8C01" w:rsidR="008F19C8" w:rsidRPr="008F19C8" w:rsidRDefault="00DD6A6D" w:rsidP="008F19C8">
      <w:pPr>
        <w:rPr>
          <w:rFonts w:ascii="Times New Roman" w:hAnsi="Times New Roman" w:cs="Times New Roman"/>
          <w:b/>
          <w:bCs/>
          <w:color w:val="0070C0"/>
          <w:sz w:val="28"/>
          <w:szCs w:val="28"/>
        </w:rPr>
      </w:pPr>
      <w:r>
        <w:rPr>
          <w:rFonts w:ascii="Times New Roman" w:hAnsi="Times New Roman" w:cs="Times New Roman"/>
          <w:b/>
          <w:bCs/>
          <w:color w:val="0070C0"/>
          <w:sz w:val="28"/>
          <w:szCs w:val="28"/>
        </w:rPr>
        <w:t>Jargons</w:t>
      </w:r>
    </w:p>
    <w:p w14:paraId="587BC6BC" w14:textId="2490574C" w:rsidR="001D3D57" w:rsidRPr="007E5742" w:rsidRDefault="00FB00C1" w:rsidP="00B51A61">
      <w:pPr>
        <w:jc w:val="both"/>
        <w:rPr>
          <w:rFonts w:ascii="Times New Roman" w:hAnsi="Times New Roman" w:cs="Times New Roman"/>
          <w:b/>
          <w:bCs/>
        </w:rPr>
      </w:pPr>
      <w:r w:rsidRPr="007E5742">
        <w:rPr>
          <w:rFonts w:ascii="Times New Roman" w:hAnsi="Times New Roman" w:cs="Times New Roman"/>
          <w:b/>
          <w:bCs/>
        </w:rPr>
        <w:t>PP&amp;E</w:t>
      </w:r>
    </w:p>
    <w:p w14:paraId="185F1EFB" w14:textId="41D0539B" w:rsidR="00FB00C1" w:rsidRPr="007E5742" w:rsidRDefault="00E942C9" w:rsidP="00B51A61">
      <w:pPr>
        <w:jc w:val="both"/>
        <w:rPr>
          <w:rFonts w:ascii="Times New Roman" w:hAnsi="Times New Roman" w:cs="Times New Roman"/>
        </w:rPr>
      </w:pPr>
      <w:r w:rsidRPr="007E5742">
        <w:rPr>
          <w:rFonts w:ascii="Times New Roman" w:hAnsi="Times New Roman" w:cs="Times New Roman"/>
        </w:rPr>
        <w:t>Property, plant, and equipment (PP&amp;E) are tangible long-term assets. Equipment, machinery, buildings, and vehicles are PP&amp;E assets. PP&amp;E are also called fixed assets. Investment analysts and accountants use PP&amp;E to determine if a company uses funds efficiently.</w:t>
      </w:r>
    </w:p>
    <w:p w14:paraId="5DD7C53A" w14:textId="7A046484" w:rsidR="00AC36E2" w:rsidRPr="007E5742" w:rsidRDefault="007919C3" w:rsidP="00B51A61">
      <w:pPr>
        <w:jc w:val="both"/>
        <w:rPr>
          <w:rFonts w:ascii="Times New Roman" w:hAnsi="Times New Roman" w:cs="Times New Roman"/>
          <w:b/>
          <w:bCs/>
        </w:rPr>
      </w:pPr>
      <w:r w:rsidRPr="007E5742">
        <w:rPr>
          <w:rFonts w:ascii="Times New Roman" w:hAnsi="Times New Roman" w:cs="Times New Roman"/>
          <w:b/>
          <w:bCs/>
        </w:rPr>
        <w:t>Depreciation &amp; Amortization</w:t>
      </w:r>
    </w:p>
    <w:p w14:paraId="3A02FF24" w14:textId="3F9B7133" w:rsidR="007919C3" w:rsidRPr="007E5742" w:rsidRDefault="00365053" w:rsidP="00B51A61">
      <w:pPr>
        <w:jc w:val="both"/>
        <w:rPr>
          <w:rFonts w:ascii="Times New Roman" w:hAnsi="Times New Roman" w:cs="Times New Roman"/>
        </w:rPr>
      </w:pPr>
      <w:r w:rsidRPr="007E5742">
        <w:rPr>
          <w:rFonts w:ascii="Times New Roman" w:hAnsi="Times New Roman" w:cs="Times New Roman"/>
        </w:rPr>
        <w:t xml:space="preserve">Depreciation and amortization are ways to calculate asset value over </w:t>
      </w:r>
      <w:proofErr w:type="gramStart"/>
      <w:r w:rsidRPr="007E5742">
        <w:rPr>
          <w:rFonts w:ascii="Times New Roman" w:hAnsi="Times New Roman" w:cs="Times New Roman"/>
        </w:rPr>
        <w:t>a period of time</w:t>
      </w:r>
      <w:proofErr w:type="gramEnd"/>
      <w:r w:rsidRPr="007E5742">
        <w:rPr>
          <w:rFonts w:ascii="Times New Roman" w:hAnsi="Times New Roman" w:cs="Times New Roman"/>
        </w:rPr>
        <w:t xml:space="preserve">. Depreciation is the amount of asset value lost over time. Amortization is a method for decreasing an asset cost over </w:t>
      </w:r>
      <w:proofErr w:type="gramStart"/>
      <w:r w:rsidRPr="007E5742">
        <w:rPr>
          <w:rFonts w:ascii="Times New Roman" w:hAnsi="Times New Roman" w:cs="Times New Roman"/>
        </w:rPr>
        <w:t>a period of time</w:t>
      </w:r>
      <w:proofErr w:type="gramEnd"/>
      <w:r w:rsidRPr="007E5742">
        <w:rPr>
          <w:rFonts w:ascii="Times New Roman" w:hAnsi="Times New Roman" w:cs="Times New Roman"/>
        </w:rPr>
        <w:t>.</w:t>
      </w:r>
    </w:p>
    <w:p w14:paraId="07E2D7F7" w14:textId="7CFF3579" w:rsidR="008B2EFC" w:rsidRPr="007E5742" w:rsidRDefault="00AB0379" w:rsidP="00B51A61">
      <w:pPr>
        <w:jc w:val="both"/>
        <w:rPr>
          <w:rFonts w:ascii="Times New Roman" w:hAnsi="Times New Roman" w:cs="Times New Roman"/>
          <w:b/>
          <w:bCs/>
        </w:rPr>
      </w:pPr>
      <w:proofErr w:type="spellStart"/>
      <w:r w:rsidRPr="007E5742">
        <w:rPr>
          <w:rFonts w:ascii="Times New Roman" w:hAnsi="Times New Roman" w:cs="Times New Roman"/>
          <w:b/>
          <w:bCs/>
        </w:rPr>
        <w:t>CapEx</w:t>
      </w:r>
      <w:proofErr w:type="spellEnd"/>
    </w:p>
    <w:p w14:paraId="2F8540A7" w14:textId="32D30CFE" w:rsidR="00AB0379" w:rsidRPr="007E5742" w:rsidRDefault="00D442B6" w:rsidP="00B51A61">
      <w:pPr>
        <w:jc w:val="both"/>
        <w:rPr>
          <w:rFonts w:ascii="Times New Roman" w:hAnsi="Times New Roman" w:cs="Times New Roman"/>
        </w:rPr>
      </w:pPr>
      <w:r w:rsidRPr="007E5742">
        <w:rPr>
          <w:rFonts w:ascii="Times New Roman" w:hAnsi="Times New Roman" w:cs="Times New Roman"/>
        </w:rPr>
        <w:t>Capital expenditures (</w:t>
      </w:r>
      <w:proofErr w:type="spellStart"/>
      <w:r w:rsidRPr="007E5742">
        <w:rPr>
          <w:rFonts w:ascii="Times New Roman" w:hAnsi="Times New Roman" w:cs="Times New Roman"/>
        </w:rPr>
        <w:t>CapEx</w:t>
      </w:r>
      <w:proofErr w:type="spellEnd"/>
      <w:r w:rsidRPr="007E5742">
        <w:rPr>
          <w:rFonts w:ascii="Times New Roman" w:hAnsi="Times New Roman" w:cs="Times New Roman"/>
        </w:rPr>
        <w:t xml:space="preserve">) are funds used by a company to acquire, upgrade, and </w:t>
      </w:r>
      <w:r w:rsidRPr="00234F8D">
        <w:rPr>
          <w:rFonts w:ascii="Times New Roman" w:hAnsi="Times New Roman" w:cs="Times New Roman"/>
          <w:b/>
          <w:bCs/>
        </w:rPr>
        <w:t>maintain physical assets such as property</w:t>
      </w:r>
      <w:r w:rsidRPr="00227631">
        <w:rPr>
          <w:rFonts w:ascii="Times New Roman" w:hAnsi="Times New Roman" w:cs="Times New Roman"/>
          <w:b/>
          <w:bCs/>
        </w:rPr>
        <w:t>, plants, buildings, technology, or equipment</w:t>
      </w:r>
    </w:p>
    <w:p w14:paraId="42BC08EE" w14:textId="4A030825" w:rsidR="00224987" w:rsidRPr="007E5742" w:rsidRDefault="00224987" w:rsidP="00B51A61">
      <w:pPr>
        <w:jc w:val="both"/>
        <w:rPr>
          <w:rFonts w:ascii="Times New Roman" w:hAnsi="Times New Roman" w:cs="Times New Roman"/>
          <w:b/>
          <w:bCs/>
        </w:rPr>
      </w:pPr>
      <w:r w:rsidRPr="007E5742">
        <w:rPr>
          <w:rFonts w:ascii="Times New Roman" w:hAnsi="Times New Roman" w:cs="Times New Roman"/>
          <w:b/>
          <w:bCs/>
        </w:rPr>
        <w:t>Unlevered Free Cash Flow</w:t>
      </w:r>
    </w:p>
    <w:p w14:paraId="167EC485" w14:textId="402A35A1" w:rsidR="00224987" w:rsidRPr="007E5742" w:rsidRDefault="009A79A6" w:rsidP="00B51A61">
      <w:pPr>
        <w:jc w:val="both"/>
        <w:rPr>
          <w:rFonts w:ascii="Times New Roman" w:hAnsi="Times New Roman" w:cs="Times New Roman"/>
        </w:rPr>
      </w:pPr>
      <w:r w:rsidRPr="007E5742">
        <w:rPr>
          <w:rFonts w:ascii="Times New Roman" w:hAnsi="Times New Roman" w:cs="Times New Roman"/>
        </w:rPr>
        <w:t>A</w:t>
      </w:r>
      <w:r w:rsidR="00E524E2" w:rsidRPr="007E5742">
        <w:rPr>
          <w:rFonts w:ascii="Times New Roman" w:hAnsi="Times New Roman" w:cs="Times New Roman"/>
        </w:rPr>
        <w:t xml:space="preserve"> financial metric that shows how much cash a company generates from its operations before accounting for interest payments and other capital structure-related expenses. UFCF is a key indicator that analysts and investors use to assess a company's </w:t>
      </w:r>
      <w:r w:rsidR="00E524E2" w:rsidRPr="007E5742">
        <w:rPr>
          <w:rFonts w:ascii="Times New Roman" w:hAnsi="Times New Roman" w:cs="Times New Roman"/>
          <w:b/>
          <w:bCs/>
        </w:rPr>
        <w:t>financial health</w:t>
      </w:r>
      <w:r w:rsidR="00E524E2" w:rsidRPr="007E5742">
        <w:rPr>
          <w:rFonts w:ascii="Times New Roman" w:hAnsi="Times New Roman" w:cs="Times New Roman"/>
        </w:rPr>
        <w:t xml:space="preserve"> and ability to expand without the influence of debt and other financial obligations. It can also be used to </w:t>
      </w:r>
      <w:r w:rsidR="00E524E2" w:rsidRPr="007E5742">
        <w:rPr>
          <w:rFonts w:ascii="Times New Roman" w:hAnsi="Times New Roman" w:cs="Times New Roman"/>
          <w:b/>
          <w:bCs/>
        </w:rPr>
        <w:t>pay both shareholders and debtholders</w:t>
      </w:r>
      <w:r w:rsidR="00E524E2" w:rsidRPr="007E5742">
        <w:rPr>
          <w:rFonts w:ascii="Times New Roman" w:hAnsi="Times New Roman" w:cs="Times New Roman"/>
        </w:rPr>
        <w:t>.</w:t>
      </w:r>
    </w:p>
    <w:p w14:paraId="3F580921" w14:textId="6F9EE106" w:rsidR="003F30D8" w:rsidRPr="007E5742" w:rsidRDefault="003F30D8" w:rsidP="00B51A61">
      <w:pPr>
        <w:jc w:val="both"/>
        <w:rPr>
          <w:rFonts w:ascii="Times New Roman" w:hAnsi="Times New Roman" w:cs="Times New Roman"/>
          <w:b/>
          <w:bCs/>
        </w:rPr>
      </w:pPr>
      <w:r w:rsidRPr="007E5742">
        <w:rPr>
          <w:rFonts w:ascii="Times New Roman" w:hAnsi="Times New Roman" w:cs="Times New Roman"/>
          <w:b/>
          <w:bCs/>
        </w:rPr>
        <w:t>WACC</w:t>
      </w:r>
    </w:p>
    <w:p w14:paraId="07443E49" w14:textId="1230BB74" w:rsidR="003F30D8" w:rsidRPr="007E5742" w:rsidRDefault="003F30D8" w:rsidP="00B51A61">
      <w:pPr>
        <w:jc w:val="both"/>
        <w:rPr>
          <w:rFonts w:ascii="Times New Roman" w:hAnsi="Times New Roman" w:cs="Times New Roman"/>
        </w:rPr>
      </w:pPr>
      <w:r w:rsidRPr="007E5742">
        <w:rPr>
          <w:rFonts w:ascii="Times New Roman" w:hAnsi="Times New Roman" w:cs="Times New Roman"/>
        </w:rPr>
        <w:t xml:space="preserve">The weighted average cost of capital (WACC) is the average rate that a business pays to finance its assets. It is calculated by averaging the rate of </w:t>
      </w:r>
      <w:proofErr w:type="gramStart"/>
      <w:r w:rsidRPr="007E5742">
        <w:rPr>
          <w:rFonts w:ascii="Times New Roman" w:hAnsi="Times New Roman" w:cs="Times New Roman"/>
        </w:rPr>
        <w:t>all of</w:t>
      </w:r>
      <w:proofErr w:type="gramEnd"/>
      <w:r w:rsidRPr="007E5742">
        <w:rPr>
          <w:rFonts w:ascii="Times New Roman" w:hAnsi="Times New Roman" w:cs="Times New Roman"/>
        </w:rPr>
        <w:t xml:space="preserve"> the company's sources of capital (both debt and equity), weighted by the proportion of each component.</w:t>
      </w:r>
    </w:p>
    <w:p w14:paraId="19AC162F" w14:textId="2FF37999" w:rsidR="00EC79AB" w:rsidRPr="007E5742" w:rsidRDefault="00EC79AB" w:rsidP="00B51A61">
      <w:pPr>
        <w:jc w:val="both"/>
        <w:rPr>
          <w:rFonts w:ascii="Times New Roman" w:hAnsi="Times New Roman" w:cs="Times New Roman"/>
          <w:b/>
          <w:bCs/>
        </w:rPr>
      </w:pPr>
      <w:r w:rsidRPr="007E5742">
        <w:rPr>
          <w:rFonts w:ascii="Times New Roman" w:hAnsi="Times New Roman" w:cs="Times New Roman"/>
          <w:b/>
          <w:bCs/>
        </w:rPr>
        <w:t>T</w:t>
      </w:r>
      <w:r w:rsidRPr="00EC79AB">
        <w:rPr>
          <w:rFonts w:ascii="Times New Roman" w:hAnsi="Times New Roman" w:cs="Times New Roman"/>
          <w:b/>
          <w:bCs/>
        </w:rPr>
        <w:t>erminal value (TV)</w:t>
      </w:r>
    </w:p>
    <w:p w14:paraId="5BD86C7D" w14:textId="14E7260C" w:rsidR="00EC79AB" w:rsidRPr="007E5742" w:rsidRDefault="00EC79AB" w:rsidP="00B51A61">
      <w:pPr>
        <w:jc w:val="both"/>
        <w:rPr>
          <w:rFonts w:ascii="Times New Roman" w:hAnsi="Times New Roman" w:cs="Times New Roman"/>
        </w:rPr>
      </w:pPr>
      <w:r w:rsidRPr="007E5742">
        <w:rPr>
          <w:rFonts w:ascii="Times New Roman" w:hAnsi="Times New Roman" w:cs="Times New Roman"/>
        </w:rPr>
        <w:t>T</w:t>
      </w:r>
      <w:r w:rsidRPr="00EC79AB">
        <w:rPr>
          <w:rFonts w:ascii="Times New Roman" w:hAnsi="Times New Roman" w:cs="Times New Roman"/>
        </w:rPr>
        <w:t xml:space="preserve">erminal value (TV) is the value of an asset, business, or project </w:t>
      </w:r>
      <w:r w:rsidRPr="00EC79AB">
        <w:rPr>
          <w:rFonts w:ascii="Times New Roman" w:hAnsi="Times New Roman" w:cs="Times New Roman"/>
          <w:b/>
          <w:bCs/>
        </w:rPr>
        <w:t>at the end of a forecast period</w:t>
      </w:r>
      <w:r w:rsidRPr="00EC79AB">
        <w:rPr>
          <w:rFonts w:ascii="Times New Roman" w:hAnsi="Times New Roman" w:cs="Times New Roman"/>
        </w:rPr>
        <w:t xml:space="preserve">, when future cash flows can be estimated. It's an important financial metric that can help people </w:t>
      </w:r>
      <w:r w:rsidRPr="00EC79AB">
        <w:rPr>
          <w:rFonts w:ascii="Times New Roman" w:hAnsi="Times New Roman" w:cs="Times New Roman"/>
          <w:b/>
          <w:bCs/>
        </w:rPr>
        <w:t>forecast future cash flows and indicate a business or investment's long-term earning potential.</w:t>
      </w:r>
      <w:r w:rsidRPr="00EC79AB">
        <w:rPr>
          <w:rFonts w:ascii="Times New Roman" w:hAnsi="Times New Roman" w:cs="Times New Roman"/>
        </w:rPr>
        <w:t> </w:t>
      </w:r>
    </w:p>
    <w:p w14:paraId="202D8F94" w14:textId="543164E6" w:rsidR="00602BF2" w:rsidRPr="007E5742" w:rsidRDefault="00602BF2" w:rsidP="00B51A61">
      <w:pPr>
        <w:jc w:val="both"/>
        <w:rPr>
          <w:rFonts w:ascii="Times New Roman" w:hAnsi="Times New Roman" w:cs="Times New Roman"/>
          <w:b/>
          <w:bCs/>
        </w:rPr>
      </w:pPr>
      <w:r w:rsidRPr="007E5742">
        <w:rPr>
          <w:rFonts w:ascii="Times New Roman" w:hAnsi="Times New Roman" w:cs="Times New Roman"/>
          <w:b/>
          <w:bCs/>
        </w:rPr>
        <w:t>PV of Terminal Value</w:t>
      </w:r>
    </w:p>
    <w:p w14:paraId="4465BFC9" w14:textId="13A1A304" w:rsidR="0048580D" w:rsidRPr="007E5742" w:rsidRDefault="00265F98" w:rsidP="00B51A61">
      <w:pPr>
        <w:jc w:val="both"/>
        <w:rPr>
          <w:rFonts w:ascii="Times New Roman" w:hAnsi="Times New Roman" w:cs="Times New Roman"/>
        </w:rPr>
      </w:pPr>
      <w:r w:rsidRPr="007E5742">
        <w:rPr>
          <w:rFonts w:ascii="Times New Roman" w:hAnsi="Times New Roman" w:cs="Times New Roman"/>
        </w:rPr>
        <w:t>In finance, the present value (PV) of terminal value is the discounted value of a company's terminal value at the beginning of its projection period. </w:t>
      </w:r>
    </w:p>
    <w:p w14:paraId="5C5DE1C8" w14:textId="18ABA873" w:rsidR="00FC2FC9" w:rsidRPr="007E5742" w:rsidRDefault="00FC2FC9" w:rsidP="00B51A61">
      <w:pPr>
        <w:jc w:val="both"/>
        <w:rPr>
          <w:rFonts w:ascii="Times New Roman" w:hAnsi="Times New Roman" w:cs="Times New Roman"/>
          <w:b/>
          <w:bCs/>
        </w:rPr>
      </w:pPr>
      <w:r w:rsidRPr="007E5742">
        <w:rPr>
          <w:rFonts w:ascii="Times New Roman" w:hAnsi="Times New Roman" w:cs="Times New Roman"/>
          <w:b/>
          <w:bCs/>
        </w:rPr>
        <w:t>Enterprise value (EV)</w:t>
      </w:r>
    </w:p>
    <w:p w14:paraId="0B25C470" w14:textId="29DA27D0" w:rsidR="00E75423" w:rsidRPr="007E5742" w:rsidRDefault="00FC2FC9" w:rsidP="00B51A61">
      <w:pPr>
        <w:jc w:val="both"/>
        <w:rPr>
          <w:rFonts w:ascii="Times New Roman" w:hAnsi="Times New Roman" w:cs="Times New Roman"/>
        </w:rPr>
      </w:pPr>
      <w:r w:rsidRPr="007E5742">
        <w:rPr>
          <w:rFonts w:ascii="Times New Roman" w:hAnsi="Times New Roman" w:cs="Times New Roman"/>
        </w:rPr>
        <w:t>E</w:t>
      </w:r>
      <w:r w:rsidR="0047511A" w:rsidRPr="007E5742">
        <w:rPr>
          <w:rFonts w:ascii="Times New Roman" w:hAnsi="Times New Roman" w:cs="Times New Roman"/>
        </w:rPr>
        <w:t>nterprise value (EV) is a metric that measures a company's total value, including its debts and liquid assets. It's often used as a more comprehensive alternative to market capitalization, which only considers a company's equity. EV can be used to estimate the cost of purchasing a company, track a company's value over time, set financial goals, and make decisions about investments and business changes</w:t>
      </w:r>
      <w:r w:rsidR="00E75423" w:rsidRPr="007E5742">
        <w:rPr>
          <w:rFonts w:ascii="Times New Roman" w:hAnsi="Times New Roman" w:cs="Times New Roman"/>
        </w:rPr>
        <w:t>.</w:t>
      </w:r>
    </w:p>
    <w:p w14:paraId="602A379B" w14:textId="4EA42972" w:rsidR="00E75423" w:rsidRPr="007E5742" w:rsidRDefault="00E75423" w:rsidP="00B51A61">
      <w:pPr>
        <w:jc w:val="both"/>
        <w:rPr>
          <w:rFonts w:ascii="Times New Roman" w:hAnsi="Times New Roman" w:cs="Times New Roman"/>
          <w:b/>
          <w:bCs/>
        </w:rPr>
      </w:pPr>
      <w:r w:rsidRPr="007E5742">
        <w:rPr>
          <w:rFonts w:ascii="Times New Roman" w:hAnsi="Times New Roman" w:cs="Times New Roman"/>
          <w:b/>
          <w:bCs/>
        </w:rPr>
        <w:t>Equity value</w:t>
      </w:r>
    </w:p>
    <w:p w14:paraId="382DFB1A" w14:textId="05ED5122" w:rsidR="000E6129" w:rsidRDefault="00E75423" w:rsidP="00B51A61">
      <w:pPr>
        <w:jc w:val="both"/>
        <w:rPr>
          <w:rFonts w:ascii="Times New Roman" w:hAnsi="Times New Roman" w:cs="Times New Roman"/>
        </w:rPr>
      </w:pPr>
      <w:r w:rsidRPr="007E5742">
        <w:rPr>
          <w:rFonts w:ascii="Times New Roman" w:hAnsi="Times New Roman" w:cs="Times New Roman"/>
        </w:rPr>
        <w:t>Equity value is the value of a company that is available to its owners or shareholders. It's also known as market value of equity or market capitalization</w:t>
      </w:r>
    </w:p>
    <w:p w14:paraId="06AE22E4" w14:textId="77777777" w:rsidR="008935F6" w:rsidRDefault="008935F6" w:rsidP="00B51A61">
      <w:pPr>
        <w:jc w:val="both"/>
        <w:rPr>
          <w:rFonts w:ascii="Times New Roman" w:hAnsi="Times New Roman" w:cs="Times New Roman"/>
        </w:rPr>
      </w:pPr>
    </w:p>
    <w:p w14:paraId="1E611D6E" w14:textId="7B23E9D9" w:rsidR="008935F6" w:rsidRDefault="008935F6" w:rsidP="00B51A61">
      <w:pPr>
        <w:jc w:val="both"/>
        <w:rPr>
          <w:rFonts w:ascii="Times New Roman" w:hAnsi="Times New Roman" w:cs="Times New Roman"/>
          <w:b/>
          <w:bCs/>
        </w:rPr>
      </w:pPr>
      <w:r w:rsidRPr="00866DF2">
        <w:rPr>
          <w:rFonts w:ascii="Times New Roman" w:hAnsi="Times New Roman" w:cs="Times New Roman"/>
          <w:b/>
          <w:bCs/>
        </w:rPr>
        <w:lastRenderedPageBreak/>
        <w:t xml:space="preserve">Capital Structure of a </w:t>
      </w:r>
      <w:r w:rsidR="00866DF2" w:rsidRPr="00866DF2">
        <w:rPr>
          <w:rFonts w:ascii="Times New Roman" w:hAnsi="Times New Roman" w:cs="Times New Roman"/>
          <w:b/>
          <w:bCs/>
        </w:rPr>
        <w:t>company</w:t>
      </w:r>
    </w:p>
    <w:p w14:paraId="7BA847DD" w14:textId="13DE2EDA" w:rsidR="00AF4C80" w:rsidRDefault="00CD2EDD" w:rsidP="00CD2EDD">
      <w:pPr>
        <w:jc w:val="center"/>
        <w:rPr>
          <w:rFonts w:ascii="Times New Roman" w:hAnsi="Times New Roman" w:cs="Times New Roman"/>
          <w:b/>
          <w:bCs/>
        </w:rPr>
      </w:pPr>
      <w:r>
        <w:rPr>
          <w:rFonts w:ascii="Times New Roman" w:hAnsi="Times New Roman" w:cs="Times New Roman"/>
          <w:b/>
          <w:bCs/>
          <w:noProof/>
        </w:rPr>
        <w:drawing>
          <wp:inline distT="0" distB="0" distL="0" distR="0" wp14:anchorId="4DB819B1" wp14:editId="20DB24AA">
            <wp:extent cx="5683250" cy="2575282"/>
            <wp:effectExtent l="0" t="0" r="0" b="0"/>
            <wp:docPr id="95541663" name="Picture 1" descr="A comparison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1663" name="Picture 1" descr="A comparison of a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0503" cy="2578568"/>
                    </a:xfrm>
                    <a:prstGeom prst="rect">
                      <a:avLst/>
                    </a:prstGeom>
                  </pic:spPr>
                </pic:pic>
              </a:graphicData>
            </a:graphic>
          </wp:inline>
        </w:drawing>
      </w:r>
    </w:p>
    <w:p w14:paraId="7E9CE529" w14:textId="77777777" w:rsidR="00DA308B" w:rsidRDefault="00DA308B" w:rsidP="00CD2EDD">
      <w:pPr>
        <w:jc w:val="center"/>
        <w:rPr>
          <w:rFonts w:ascii="Times New Roman" w:hAnsi="Times New Roman" w:cs="Times New Roman"/>
          <w:b/>
          <w:bCs/>
        </w:rPr>
      </w:pPr>
    </w:p>
    <w:p w14:paraId="5F6B09EE" w14:textId="77777777" w:rsidR="00DA308B" w:rsidRDefault="00DA308B" w:rsidP="00CD2EDD">
      <w:pPr>
        <w:jc w:val="center"/>
        <w:rPr>
          <w:rFonts w:ascii="Times New Roman" w:hAnsi="Times New Roman" w:cs="Times New Roman"/>
          <w:b/>
          <w:bCs/>
        </w:rPr>
      </w:pPr>
    </w:p>
    <w:p w14:paraId="5B9CCB7D" w14:textId="77777777" w:rsidR="00DA308B" w:rsidRDefault="00DA308B" w:rsidP="00CD2EDD">
      <w:pPr>
        <w:jc w:val="center"/>
        <w:rPr>
          <w:rFonts w:ascii="Times New Roman" w:hAnsi="Times New Roman" w:cs="Times New Roman"/>
          <w:b/>
          <w:bCs/>
        </w:rPr>
      </w:pPr>
    </w:p>
    <w:p w14:paraId="4F791571" w14:textId="77777777" w:rsidR="00DA308B" w:rsidRDefault="00DA308B" w:rsidP="00CD2EDD">
      <w:pPr>
        <w:jc w:val="center"/>
        <w:rPr>
          <w:rFonts w:ascii="Times New Roman" w:hAnsi="Times New Roman" w:cs="Times New Roman"/>
          <w:b/>
          <w:bCs/>
        </w:rPr>
      </w:pPr>
    </w:p>
    <w:p w14:paraId="55B647D6" w14:textId="77777777" w:rsidR="00DA308B" w:rsidRDefault="00DA308B" w:rsidP="00CD2EDD">
      <w:pPr>
        <w:jc w:val="center"/>
        <w:rPr>
          <w:rFonts w:ascii="Times New Roman" w:hAnsi="Times New Roman" w:cs="Times New Roman"/>
          <w:b/>
          <w:bCs/>
        </w:rPr>
      </w:pPr>
    </w:p>
    <w:p w14:paraId="7E54F2FC" w14:textId="77777777" w:rsidR="00DA308B" w:rsidRDefault="00DA308B" w:rsidP="00CD2EDD">
      <w:pPr>
        <w:jc w:val="center"/>
        <w:rPr>
          <w:rFonts w:ascii="Times New Roman" w:hAnsi="Times New Roman" w:cs="Times New Roman"/>
          <w:b/>
          <w:bCs/>
        </w:rPr>
      </w:pPr>
    </w:p>
    <w:p w14:paraId="7B0AEEF1" w14:textId="77777777" w:rsidR="00DA308B" w:rsidRDefault="00DA308B" w:rsidP="00CD2EDD">
      <w:pPr>
        <w:jc w:val="center"/>
        <w:rPr>
          <w:rFonts w:ascii="Times New Roman" w:hAnsi="Times New Roman" w:cs="Times New Roman"/>
          <w:b/>
          <w:bCs/>
        </w:rPr>
      </w:pPr>
    </w:p>
    <w:p w14:paraId="04EACCD4" w14:textId="77777777" w:rsidR="00DA308B" w:rsidRDefault="00DA308B" w:rsidP="00CD2EDD">
      <w:pPr>
        <w:jc w:val="center"/>
        <w:rPr>
          <w:rFonts w:ascii="Times New Roman" w:hAnsi="Times New Roman" w:cs="Times New Roman"/>
          <w:b/>
          <w:bCs/>
        </w:rPr>
      </w:pPr>
    </w:p>
    <w:p w14:paraId="7C837DA6" w14:textId="77777777" w:rsidR="00DA308B" w:rsidRDefault="00DA308B" w:rsidP="00CD2EDD">
      <w:pPr>
        <w:jc w:val="center"/>
        <w:rPr>
          <w:rFonts w:ascii="Times New Roman" w:hAnsi="Times New Roman" w:cs="Times New Roman"/>
          <w:b/>
          <w:bCs/>
        </w:rPr>
      </w:pPr>
    </w:p>
    <w:p w14:paraId="317D8868" w14:textId="77777777" w:rsidR="00DA308B" w:rsidRDefault="00DA308B" w:rsidP="00CD2EDD">
      <w:pPr>
        <w:jc w:val="center"/>
        <w:rPr>
          <w:rFonts w:ascii="Times New Roman" w:hAnsi="Times New Roman" w:cs="Times New Roman"/>
          <w:b/>
          <w:bCs/>
        </w:rPr>
      </w:pPr>
    </w:p>
    <w:p w14:paraId="296FD409" w14:textId="77777777" w:rsidR="00DA308B" w:rsidRDefault="00DA308B" w:rsidP="00CD2EDD">
      <w:pPr>
        <w:jc w:val="center"/>
        <w:rPr>
          <w:rFonts w:ascii="Times New Roman" w:hAnsi="Times New Roman" w:cs="Times New Roman"/>
          <w:b/>
          <w:bCs/>
        </w:rPr>
      </w:pPr>
    </w:p>
    <w:p w14:paraId="4E3FA8CD" w14:textId="77777777" w:rsidR="00DA308B" w:rsidRDefault="00DA308B" w:rsidP="00CD2EDD">
      <w:pPr>
        <w:jc w:val="center"/>
        <w:rPr>
          <w:rFonts w:ascii="Times New Roman" w:hAnsi="Times New Roman" w:cs="Times New Roman"/>
          <w:b/>
          <w:bCs/>
        </w:rPr>
      </w:pPr>
    </w:p>
    <w:p w14:paraId="3A1A0F89" w14:textId="77777777" w:rsidR="00DA308B" w:rsidRDefault="00DA308B" w:rsidP="00CD2EDD">
      <w:pPr>
        <w:jc w:val="center"/>
        <w:rPr>
          <w:rFonts w:ascii="Times New Roman" w:hAnsi="Times New Roman" w:cs="Times New Roman"/>
          <w:b/>
          <w:bCs/>
        </w:rPr>
      </w:pPr>
    </w:p>
    <w:p w14:paraId="757E4A00" w14:textId="77777777" w:rsidR="00DA308B" w:rsidRDefault="00DA308B" w:rsidP="00CD2EDD">
      <w:pPr>
        <w:jc w:val="center"/>
        <w:rPr>
          <w:rFonts w:ascii="Times New Roman" w:hAnsi="Times New Roman" w:cs="Times New Roman"/>
          <w:b/>
          <w:bCs/>
        </w:rPr>
      </w:pPr>
    </w:p>
    <w:p w14:paraId="0BA9A3E8" w14:textId="77777777" w:rsidR="00DA308B" w:rsidRDefault="00DA308B" w:rsidP="00CD2EDD">
      <w:pPr>
        <w:jc w:val="center"/>
        <w:rPr>
          <w:rFonts w:ascii="Times New Roman" w:hAnsi="Times New Roman" w:cs="Times New Roman"/>
          <w:b/>
          <w:bCs/>
        </w:rPr>
      </w:pPr>
    </w:p>
    <w:p w14:paraId="0844098B" w14:textId="77777777" w:rsidR="00DA308B" w:rsidRDefault="00DA308B" w:rsidP="00CD2EDD">
      <w:pPr>
        <w:jc w:val="center"/>
        <w:rPr>
          <w:rFonts w:ascii="Times New Roman" w:hAnsi="Times New Roman" w:cs="Times New Roman"/>
          <w:b/>
          <w:bCs/>
        </w:rPr>
      </w:pPr>
    </w:p>
    <w:p w14:paraId="2F211DAF" w14:textId="77777777" w:rsidR="00DA308B" w:rsidRDefault="00DA308B" w:rsidP="00CD2EDD">
      <w:pPr>
        <w:jc w:val="center"/>
        <w:rPr>
          <w:rFonts w:ascii="Times New Roman" w:hAnsi="Times New Roman" w:cs="Times New Roman"/>
          <w:b/>
          <w:bCs/>
        </w:rPr>
      </w:pPr>
    </w:p>
    <w:p w14:paraId="58B220E6" w14:textId="77777777" w:rsidR="00DA308B" w:rsidRDefault="00DA308B" w:rsidP="00CD2EDD">
      <w:pPr>
        <w:jc w:val="center"/>
        <w:rPr>
          <w:rFonts w:ascii="Times New Roman" w:hAnsi="Times New Roman" w:cs="Times New Roman"/>
          <w:b/>
          <w:bCs/>
        </w:rPr>
      </w:pPr>
    </w:p>
    <w:p w14:paraId="07C1D660" w14:textId="77777777" w:rsidR="00DA308B" w:rsidRDefault="00DA308B" w:rsidP="00CD2EDD">
      <w:pPr>
        <w:jc w:val="center"/>
        <w:rPr>
          <w:rFonts w:ascii="Times New Roman" w:hAnsi="Times New Roman" w:cs="Times New Roman"/>
          <w:b/>
          <w:bCs/>
        </w:rPr>
      </w:pPr>
    </w:p>
    <w:p w14:paraId="54927BCF" w14:textId="77777777" w:rsidR="00DA308B" w:rsidRDefault="00DA308B" w:rsidP="00CD2EDD">
      <w:pPr>
        <w:jc w:val="center"/>
        <w:rPr>
          <w:rFonts w:ascii="Times New Roman" w:hAnsi="Times New Roman" w:cs="Times New Roman"/>
          <w:b/>
          <w:bCs/>
        </w:rPr>
      </w:pPr>
    </w:p>
    <w:p w14:paraId="4CEFD28E" w14:textId="77777777" w:rsidR="00DA308B" w:rsidRPr="00866DF2" w:rsidRDefault="00DA308B" w:rsidP="00CD2EDD">
      <w:pPr>
        <w:jc w:val="center"/>
        <w:rPr>
          <w:rFonts w:ascii="Times New Roman" w:hAnsi="Times New Roman" w:cs="Times New Roman"/>
          <w:b/>
          <w:bCs/>
        </w:rPr>
      </w:pPr>
    </w:p>
    <w:p w14:paraId="52564944" w14:textId="1EFBCD34" w:rsidR="00334420" w:rsidRPr="00D65A35" w:rsidRDefault="00497859" w:rsidP="00525E91">
      <w:pPr>
        <w:rPr>
          <w:rFonts w:ascii="Times New Roman" w:hAnsi="Times New Roman" w:cs="Times New Roman"/>
          <w:b/>
          <w:bCs/>
          <w:color w:val="0070C0"/>
          <w:sz w:val="28"/>
          <w:szCs w:val="28"/>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7FA0BE93" wp14:editId="15CF52B6">
            <wp:simplePos x="0" y="0"/>
            <wp:positionH relativeFrom="margin">
              <wp:align>left</wp:align>
            </wp:positionH>
            <wp:positionV relativeFrom="paragraph">
              <wp:posOffset>431800</wp:posOffset>
            </wp:positionV>
            <wp:extent cx="5696585" cy="2108200"/>
            <wp:effectExtent l="0" t="0" r="0" b="6350"/>
            <wp:wrapSquare wrapText="bothSides"/>
            <wp:docPr id="984300278" name="Picture 1" descr="A diagram of a cash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00278" name="Picture 1" descr="A diagram of a cash fl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6585" cy="2108200"/>
                    </a:xfrm>
                    <a:prstGeom prst="rect">
                      <a:avLst/>
                    </a:prstGeom>
                  </pic:spPr>
                </pic:pic>
              </a:graphicData>
            </a:graphic>
            <wp14:sizeRelH relativeFrom="margin">
              <wp14:pctWidth>0</wp14:pctWidth>
            </wp14:sizeRelH>
            <wp14:sizeRelV relativeFrom="margin">
              <wp14:pctHeight>0</wp14:pctHeight>
            </wp14:sizeRelV>
          </wp:anchor>
        </w:drawing>
      </w:r>
      <w:r w:rsidR="0018633D" w:rsidRPr="00D65A35">
        <w:rPr>
          <w:rFonts w:ascii="Times New Roman" w:hAnsi="Times New Roman" w:cs="Times New Roman"/>
          <w:b/>
          <w:bCs/>
          <w:color w:val="0070C0"/>
          <w:sz w:val="28"/>
          <w:szCs w:val="28"/>
        </w:rPr>
        <w:t>Discounted Cash Flow (DCF) modelling</w:t>
      </w:r>
    </w:p>
    <w:p w14:paraId="1713F260" w14:textId="122E8D9F" w:rsidR="00DA308B" w:rsidRDefault="00DA308B" w:rsidP="00C34EDC">
      <w:pPr>
        <w:jc w:val="both"/>
        <w:rPr>
          <w:rFonts w:ascii="Times New Roman" w:hAnsi="Times New Roman" w:cs="Times New Roman"/>
          <w:sz w:val="24"/>
          <w:szCs w:val="24"/>
        </w:rPr>
      </w:pPr>
    </w:p>
    <w:p w14:paraId="7103E396" w14:textId="06B7D999" w:rsidR="00C34EDC" w:rsidRDefault="00C34EDC" w:rsidP="00C34EDC">
      <w:pPr>
        <w:jc w:val="both"/>
        <w:rPr>
          <w:rFonts w:ascii="Times New Roman" w:hAnsi="Times New Roman" w:cs="Times New Roman"/>
          <w:sz w:val="24"/>
          <w:szCs w:val="24"/>
        </w:rPr>
      </w:pPr>
      <w:r w:rsidRPr="007E5742">
        <w:rPr>
          <w:rFonts w:ascii="Times New Roman" w:hAnsi="Times New Roman" w:cs="Times New Roman"/>
          <w:sz w:val="24"/>
          <w:szCs w:val="24"/>
        </w:rPr>
        <w:t xml:space="preserve">Discounted Cash Flow (DCF) modelling is a financial model that </w:t>
      </w:r>
      <w:r w:rsidRPr="00014706">
        <w:rPr>
          <w:rFonts w:ascii="Times New Roman" w:hAnsi="Times New Roman" w:cs="Times New Roman"/>
          <w:b/>
          <w:bCs/>
          <w:sz w:val="24"/>
          <w:szCs w:val="24"/>
        </w:rPr>
        <w:t>estimates the value of an asset by forecasting its future cash flows and discounting them to the present value.</w:t>
      </w:r>
      <w:r w:rsidRPr="007E5742">
        <w:rPr>
          <w:rFonts w:ascii="Times New Roman" w:hAnsi="Times New Roman" w:cs="Times New Roman"/>
          <w:sz w:val="24"/>
          <w:szCs w:val="24"/>
        </w:rPr>
        <w:t> The present value is the amount investors should be willing to pay for the asset. DCF models are used to value companies, projects, investments, and anything else that has a series of cash flows</w:t>
      </w:r>
      <w:r w:rsidR="00D13CC5">
        <w:rPr>
          <w:rFonts w:ascii="Times New Roman" w:hAnsi="Times New Roman" w:cs="Times New Roman"/>
          <w:sz w:val="24"/>
          <w:szCs w:val="24"/>
        </w:rPr>
        <w:t>.</w:t>
      </w:r>
    </w:p>
    <w:p w14:paraId="2A526268" w14:textId="2D7B717C" w:rsidR="00D13CC5" w:rsidRDefault="00D13CC5" w:rsidP="00C34EDC">
      <w:pPr>
        <w:jc w:val="both"/>
        <w:rPr>
          <w:rFonts w:ascii="Times New Roman" w:hAnsi="Times New Roman" w:cs="Times New Roman"/>
          <w:sz w:val="24"/>
          <w:szCs w:val="24"/>
        </w:rPr>
      </w:pPr>
      <w:r w:rsidRPr="00D81696">
        <w:rPr>
          <w:rFonts w:ascii="Times New Roman" w:hAnsi="Times New Roman" w:cs="Times New Roman"/>
          <w:b/>
          <w:bCs/>
          <w:sz w:val="24"/>
          <w:szCs w:val="24"/>
        </w:rPr>
        <w:t>DCF models are considered a fundamental analysis technique</w:t>
      </w:r>
      <w:r w:rsidRPr="00D13CC5">
        <w:rPr>
          <w:rFonts w:ascii="Times New Roman" w:hAnsi="Times New Roman" w:cs="Times New Roman"/>
          <w:sz w:val="24"/>
          <w:szCs w:val="24"/>
        </w:rPr>
        <w:t>, meaning they are both quantitative and qualitative in nature. They require detailed assumptions that are used to forecast future cash flows, which can be affected by a variety of factors, such as market demand, the economy, technology, competition, and unforeseen threats or opportunities. These factors can't be quantified reliably, so investors should understand this drawback and consider other factors as well.</w:t>
      </w:r>
    </w:p>
    <w:p w14:paraId="5E29ED42" w14:textId="1C9A09A9" w:rsidR="00DA308B" w:rsidRDefault="00ED33EF" w:rsidP="00C34EDC">
      <w:pPr>
        <w:jc w:val="both"/>
        <w:rPr>
          <w:rFonts w:ascii="Times New Roman" w:hAnsi="Times New Roman" w:cs="Times New Roman"/>
          <w:b/>
          <w:bCs/>
          <w:sz w:val="24"/>
          <w:szCs w:val="24"/>
        </w:rPr>
      </w:pPr>
      <w:r w:rsidRPr="006A10B2">
        <w:rPr>
          <w:rFonts w:ascii="Times New Roman" w:hAnsi="Times New Roman" w:cs="Times New Roman"/>
          <w:b/>
          <w:bCs/>
          <w:sz w:val="24"/>
          <w:szCs w:val="24"/>
        </w:rPr>
        <w:t>DCF</w:t>
      </w:r>
      <w:r w:rsidRPr="00D65A35">
        <w:rPr>
          <w:rFonts w:ascii="Times New Roman" w:hAnsi="Times New Roman" w:cs="Times New Roman"/>
          <w:b/>
          <w:bCs/>
          <w:sz w:val="24"/>
          <w:szCs w:val="24"/>
        </w:rPr>
        <w:t xml:space="preserve"> models are based on the idea that a company's value is determined by its ability to generate cash flows for its investors in the future, rather than by supply and demand for its stock</w:t>
      </w:r>
    </w:p>
    <w:p w14:paraId="0B941CBE" w14:textId="77777777" w:rsidR="00DA308B" w:rsidRDefault="00DA308B" w:rsidP="00C34EDC">
      <w:pPr>
        <w:jc w:val="both"/>
        <w:rPr>
          <w:rFonts w:ascii="Times New Roman" w:hAnsi="Times New Roman" w:cs="Times New Roman"/>
          <w:b/>
          <w:bCs/>
          <w:sz w:val="24"/>
          <w:szCs w:val="24"/>
        </w:rPr>
      </w:pPr>
    </w:p>
    <w:p w14:paraId="0C8B46ED" w14:textId="77777777" w:rsidR="00C235EE" w:rsidRDefault="00C235EE" w:rsidP="00C34EDC">
      <w:pPr>
        <w:jc w:val="both"/>
        <w:rPr>
          <w:rFonts w:ascii="Times New Roman" w:hAnsi="Times New Roman" w:cs="Times New Roman"/>
          <w:b/>
          <w:bCs/>
          <w:sz w:val="24"/>
          <w:szCs w:val="24"/>
        </w:rPr>
      </w:pPr>
    </w:p>
    <w:p w14:paraId="6BB7FF78" w14:textId="77777777" w:rsidR="00DA308B" w:rsidRDefault="00DA308B" w:rsidP="00C34EDC">
      <w:pPr>
        <w:jc w:val="both"/>
        <w:rPr>
          <w:rFonts w:ascii="Times New Roman" w:hAnsi="Times New Roman" w:cs="Times New Roman"/>
          <w:b/>
          <w:bCs/>
          <w:sz w:val="24"/>
          <w:szCs w:val="24"/>
        </w:rPr>
      </w:pPr>
    </w:p>
    <w:p w14:paraId="375DCCD4" w14:textId="77777777" w:rsidR="00DA308B" w:rsidRDefault="00DA308B" w:rsidP="00C34EDC">
      <w:pPr>
        <w:jc w:val="both"/>
        <w:rPr>
          <w:rFonts w:ascii="Times New Roman" w:hAnsi="Times New Roman" w:cs="Times New Roman"/>
          <w:b/>
          <w:bCs/>
          <w:sz w:val="24"/>
          <w:szCs w:val="24"/>
        </w:rPr>
      </w:pPr>
    </w:p>
    <w:p w14:paraId="06AACEA3" w14:textId="77777777" w:rsidR="00DA308B" w:rsidRDefault="00DA308B" w:rsidP="00C34EDC">
      <w:pPr>
        <w:jc w:val="both"/>
        <w:rPr>
          <w:rFonts w:ascii="Times New Roman" w:hAnsi="Times New Roman" w:cs="Times New Roman"/>
          <w:b/>
          <w:bCs/>
          <w:sz w:val="24"/>
          <w:szCs w:val="24"/>
        </w:rPr>
      </w:pPr>
    </w:p>
    <w:p w14:paraId="0583F439" w14:textId="77777777" w:rsidR="00DA308B" w:rsidRDefault="00DA308B" w:rsidP="00C34EDC">
      <w:pPr>
        <w:jc w:val="both"/>
        <w:rPr>
          <w:rFonts w:ascii="Times New Roman" w:hAnsi="Times New Roman" w:cs="Times New Roman"/>
          <w:b/>
          <w:bCs/>
          <w:sz w:val="24"/>
          <w:szCs w:val="24"/>
        </w:rPr>
      </w:pPr>
    </w:p>
    <w:p w14:paraId="647619FA" w14:textId="77777777" w:rsidR="00DA308B" w:rsidRDefault="00DA308B" w:rsidP="00C34EDC">
      <w:pPr>
        <w:jc w:val="both"/>
        <w:rPr>
          <w:rFonts w:ascii="Times New Roman" w:hAnsi="Times New Roman" w:cs="Times New Roman"/>
          <w:b/>
          <w:bCs/>
          <w:sz w:val="24"/>
          <w:szCs w:val="24"/>
        </w:rPr>
      </w:pPr>
    </w:p>
    <w:p w14:paraId="305B8973" w14:textId="77777777" w:rsidR="00DA308B" w:rsidRDefault="00DA308B" w:rsidP="00C34EDC">
      <w:pPr>
        <w:jc w:val="both"/>
        <w:rPr>
          <w:rFonts w:ascii="Times New Roman" w:hAnsi="Times New Roman" w:cs="Times New Roman"/>
          <w:b/>
          <w:bCs/>
          <w:sz w:val="24"/>
          <w:szCs w:val="24"/>
        </w:rPr>
      </w:pPr>
    </w:p>
    <w:p w14:paraId="2EC955DB" w14:textId="77777777" w:rsidR="00DA308B" w:rsidRDefault="00DA308B" w:rsidP="00C34EDC">
      <w:pPr>
        <w:jc w:val="both"/>
        <w:rPr>
          <w:rFonts w:ascii="Times New Roman" w:hAnsi="Times New Roman" w:cs="Times New Roman"/>
          <w:b/>
          <w:bCs/>
          <w:sz w:val="24"/>
          <w:szCs w:val="24"/>
        </w:rPr>
      </w:pPr>
    </w:p>
    <w:p w14:paraId="0CB35930" w14:textId="77777777" w:rsidR="00DA308B" w:rsidRDefault="00DA308B" w:rsidP="00C34EDC">
      <w:pPr>
        <w:jc w:val="both"/>
        <w:rPr>
          <w:rFonts w:ascii="Times New Roman" w:hAnsi="Times New Roman" w:cs="Times New Roman"/>
          <w:b/>
          <w:bCs/>
          <w:sz w:val="24"/>
          <w:szCs w:val="24"/>
        </w:rPr>
      </w:pPr>
    </w:p>
    <w:p w14:paraId="386DAEE1" w14:textId="7CEF8AF8" w:rsidR="00ED33EF" w:rsidRPr="00D65A35" w:rsidRDefault="000C7457" w:rsidP="00C34EDC">
      <w:pPr>
        <w:jc w:val="both"/>
        <w:rPr>
          <w:rFonts w:ascii="Times New Roman" w:hAnsi="Times New Roman" w:cs="Times New Roman"/>
          <w:b/>
          <w:bCs/>
          <w:sz w:val="24"/>
          <w:szCs w:val="24"/>
        </w:rPr>
      </w:pPr>
      <w:r w:rsidRPr="00D65A35">
        <w:rPr>
          <w:rFonts w:ascii="Times New Roman" w:hAnsi="Times New Roman" w:cs="Times New Roman"/>
          <w:b/>
          <w:bCs/>
          <w:sz w:val="24"/>
          <w:szCs w:val="24"/>
        </w:rPr>
        <w:lastRenderedPageBreak/>
        <w:t>.</w:t>
      </w:r>
    </w:p>
    <w:p w14:paraId="5CEE708F" w14:textId="2E94C51E" w:rsidR="00323630" w:rsidRPr="005000EA" w:rsidRDefault="00323630" w:rsidP="005000EA">
      <w:pPr>
        <w:jc w:val="center"/>
        <w:rPr>
          <w:rFonts w:ascii="Times New Roman" w:hAnsi="Times New Roman" w:cs="Times New Roman"/>
          <w:sz w:val="24"/>
          <w:szCs w:val="24"/>
        </w:rPr>
      </w:pPr>
    </w:p>
    <w:p w14:paraId="3F384078" w14:textId="1BA1AF97" w:rsidR="000E6129" w:rsidRPr="001D5FDA" w:rsidRDefault="000E6129" w:rsidP="00B51A61">
      <w:pPr>
        <w:pStyle w:val="ListParagraph"/>
        <w:numPr>
          <w:ilvl w:val="0"/>
          <w:numId w:val="1"/>
        </w:numPr>
        <w:jc w:val="both"/>
        <w:rPr>
          <w:rFonts w:ascii="Times New Roman" w:hAnsi="Times New Roman" w:cs="Times New Roman"/>
          <w:b/>
          <w:bCs/>
          <w:sz w:val="28"/>
          <w:szCs w:val="28"/>
        </w:rPr>
      </w:pPr>
      <w:r w:rsidRPr="001D5FDA">
        <w:rPr>
          <w:rFonts w:ascii="Times New Roman" w:hAnsi="Times New Roman" w:cs="Times New Roman"/>
          <w:b/>
          <w:bCs/>
          <w:sz w:val="28"/>
          <w:szCs w:val="28"/>
        </w:rPr>
        <w:t>What factors can affect the composition of a company's current assets vs. long-term assets?</w:t>
      </w:r>
    </w:p>
    <w:p w14:paraId="6169C2B8" w14:textId="434B8DAF" w:rsidR="005B406B" w:rsidRPr="007E5742" w:rsidRDefault="005B406B" w:rsidP="00B51A61">
      <w:pPr>
        <w:pStyle w:val="NormalWeb"/>
        <w:jc w:val="both"/>
      </w:pPr>
      <w:r w:rsidRPr="007E5742">
        <w:t>The composition of a company’s current assets versus long-term assets is influenced by several factors related to its business operations, financial strategy, and industry type. Companies in industries with high liquidity needs, such as retail or manufacturing, tend to have a higher proportion of current assets, like cash, accounts receivable, and inventory, to meet short-term operational demands. On the other hand, capital-intensive industries, such as real estate or heavy machinery, typically maintain a larger proportion of long-term assets, including property, equipment, and intangible assets like patents, to support long-term growth and production.</w:t>
      </w:r>
    </w:p>
    <w:p w14:paraId="0C8EC18A" w14:textId="0010215D" w:rsidR="00446A9A" w:rsidRDefault="005B406B" w:rsidP="00B51A61">
      <w:pPr>
        <w:pStyle w:val="NormalWeb"/>
        <w:jc w:val="both"/>
      </w:pPr>
      <w:r w:rsidRPr="007E5742">
        <w:t>Another key factor is the company’s financial strategy. A company focusing on aggressive expansion may invest more in long-term assets to secure future growth, while a company prioritizing liquidity and risk management might hold more current assets to cover immediate obligations. Additionally, market conditions and economic cycles can also influence asset composition; during uncertain times, companies may shift towards more liquid assets to safeguard against potential downturns, whereas in stable periods, they may allocate more resources towards long-term investments that promise higher returns over time.</w:t>
      </w:r>
    </w:p>
    <w:p w14:paraId="76DFFC93" w14:textId="77777777" w:rsidR="002F048D" w:rsidRDefault="002F048D" w:rsidP="00B51A61">
      <w:pPr>
        <w:pStyle w:val="NormalWeb"/>
        <w:jc w:val="both"/>
      </w:pPr>
    </w:p>
    <w:p w14:paraId="7A3F700E" w14:textId="1B934608" w:rsidR="00446A9A" w:rsidRPr="001D5FDA" w:rsidRDefault="00917582" w:rsidP="00917582">
      <w:pPr>
        <w:pStyle w:val="NormalWeb"/>
        <w:numPr>
          <w:ilvl w:val="0"/>
          <w:numId w:val="1"/>
        </w:numPr>
        <w:jc w:val="both"/>
        <w:rPr>
          <w:b/>
          <w:bCs/>
          <w:sz w:val="28"/>
          <w:szCs w:val="28"/>
        </w:rPr>
      </w:pPr>
      <w:r w:rsidRPr="001D5FDA">
        <w:rPr>
          <w:b/>
          <w:bCs/>
          <w:sz w:val="28"/>
          <w:szCs w:val="28"/>
        </w:rPr>
        <w:t>How can a company's debt-to-equity ratio impact its creditworthiness and access to capital?</w:t>
      </w:r>
    </w:p>
    <w:p w14:paraId="28A6238A" w14:textId="77777777" w:rsidR="00DD54CC" w:rsidRDefault="00DD54CC" w:rsidP="00DD54CC">
      <w:pPr>
        <w:pStyle w:val="NormalWeb"/>
        <w:jc w:val="both"/>
      </w:pPr>
      <w:r>
        <w:t>A company's debt-to-equity ratio is a critical measure of its financial leverage, and it plays a significant role in determining its creditworthiness and access to capital. A high debt-to-equity ratio indicates that a company relies heavily on borrowed funds compared to its equity. This can raise concerns among lenders and investors about the company's ability to meet its debt obligations, especially during economic downturns or periods of reduced revenue. Higher leverage increases the risk of default, leading to lower credit ratings, higher borrowing costs, and more restrictive loan terms, which can limit the company’s ability to access additional capital.</w:t>
      </w:r>
    </w:p>
    <w:p w14:paraId="08AE2786" w14:textId="5F3EEECC" w:rsidR="00DD54CC" w:rsidRDefault="00DD54CC" w:rsidP="00DD54CC">
      <w:pPr>
        <w:pStyle w:val="NormalWeb"/>
        <w:jc w:val="both"/>
      </w:pPr>
      <w:r>
        <w:t>On the other hand, a lower debt-to-equity ratio suggests that a company is financing its operations more conservatively through equity rather than debt. This can enhance the company's creditworthiness, as it signals financial stability and a lower risk of default. With a strong equity base, companies are more likely to attract investors and secure favourable financing terms from lenders, including lower interest rates and larger credit lines. However, excessively low leverage might also indicate underutilization of debt financing, potentially limiting growth opportunities if the company is overly cautious about taking on new debt.</w:t>
      </w:r>
    </w:p>
    <w:p w14:paraId="0755E86C" w14:textId="77777777" w:rsidR="00254C69" w:rsidRDefault="00254C69" w:rsidP="00DD54CC">
      <w:pPr>
        <w:pStyle w:val="NormalWeb"/>
        <w:jc w:val="both"/>
      </w:pPr>
    </w:p>
    <w:p w14:paraId="2BCF5C3A" w14:textId="77777777" w:rsidR="00E40501" w:rsidRDefault="00E40501" w:rsidP="00DD54CC">
      <w:pPr>
        <w:pStyle w:val="NormalWeb"/>
        <w:jc w:val="both"/>
      </w:pPr>
    </w:p>
    <w:p w14:paraId="204A386E" w14:textId="77777777" w:rsidR="006921AC" w:rsidRDefault="006921AC" w:rsidP="00DD54CC">
      <w:pPr>
        <w:pStyle w:val="NormalWeb"/>
        <w:jc w:val="both"/>
      </w:pPr>
    </w:p>
    <w:p w14:paraId="786734AC" w14:textId="77777777" w:rsidR="006921AC" w:rsidRDefault="006921AC" w:rsidP="00DD54CC">
      <w:pPr>
        <w:pStyle w:val="NormalWeb"/>
        <w:jc w:val="both"/>
      </w:pPr>
    </w:p>
    <w:p w14:paraId="71341786" w14:textId="14337E3A" w:rsidR="00DF1EDA" w:rsidRDefault="00DF1EDA" w:rsidP="00DF1EDA">
      <w:pPr>
        <w:pStyle w:val="NormalWeb"/>
        <w:numPr>
          <w:ilvl w:val="0"/>
          <w:numId w:val="1"/>
        </w:numPr>
        <w:jc w:val="both"/>
        <w:rPr>
          <w:b/>
          <w:bCs/>
          <w:sz w:val="28"/>
          <w:szCs w:val="28"/>
        </w:rPr>
      </w:pPr>
      <w:r w:rsidRPr="00AE029E">
        <w:rPr>
          <w:noProof/>
          <w:sz w:val="28"/>
          <w:szCs w:val="28"/>
        </w:rPr>
        <w:drawing>
          <wp:anchor distT="0" distB="0" distL="114300" distR="114300" simplePos="0" relativeHeight="251660288" behindDoc="0" locked="0" layoutInCell="1" allowOverlap="1" wp14:anchorId="01A80E15" wp14:editId="3532E699">
            <wp:simplePos x="0" y="0"/>
            <wp:positionH relativeFrom="margin">
              <wp:align>left</wp:align>
            </wp:positionH>
            <wp:positionV relativeFrom="paragraph">
              <wp:posOffset>939800</wp:posOffset>
            </wp:positionV>
            <wp:extent cx="5537200" cy="3263900"/>
            <wp:effectExtent l="152400" t="152400" r="158750" b="146050"/>
            <wp:wrapSquare wrapText="bothSides"/>
            <wp:docPr id="532660040" name="Chart 1">
              <a:extLst xmlns:a="http://schemas.openxmlformats.org/drawingml/2006/main">
                <a:ext uri="{FF2B5EF4-FFF2-40B4-BE49-F238E27FC236}">
                  <a16:creationId xmlns:a16="http://schemas.microsoft.com/office/drawing/2014/main" id="{76BDF8EE-594E-642B-2AF8-1CC209B30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AE029E">
        <w:rPr>
          <w:b/>
          <w:bCs/>
          <w:sz w:val="28"/>
          <w:szCs w:val="28"/>
        </w:rPr>
        <w:t>Debt-to-Equity Ratio: How has the debt-to-equity ratio changed over the four years? (take in consideration total liabilities and total equity). Is the company relying more on debt financing or equity financing?</w:t>
      </w:r>
    </w:p>
    <w:p w14:paraId="392590E3" w14:textId="03B5735B" w:rsidR="00DF1EDA" w:rsidRDefault="00DF1EDA" w:rsidP="00DD54CC">
      <w:pPr>
        <w:pStyle w:val="NormalWeb"/>
        <w:jc w:val="both"/>
      </w:pPr>
    </w:p>
    <w:p w14:paraId="2541142F" w14:textId="5AB596EF" w:rsidR="0010743C" w:rsidRPr="0010743C" w:rsidRDefault="0010743C" w:rsidP="0010743C">
      <w:pPr>
        <w:jc w:val="both"/>
        <w:rPr>
          <w:rFonts w:ascii="Times New Roman" w:hAnsi="Times New Roman" w:cs="Times New Roman"/>
          <w:b/>
          <w:bCs/>
          <w:color w:val="0070C0"/>
          <w:sz w:val="24"/>
          <w:szCs w:val="24"/>
        </w:rPr>
      </w:pPr>
      <w:r w:rsidRPr="0010743C">
        <w:rPr>
          <w:rFonts w:ascii="Times New Roman" w:hAnsi="Times New Roman" w:cs="Times New Roman"/>
          <w:b/>
          <w:bCs/>
          <w:color w:val="0070C0"/>
          <w:sz w:val="24"/>
          <w:szCs w:val="24"/>
        </w:rPr>
        <w:t>Observations:</w:t>
      </w:r>
    </w:p>
    <w:p w14:paraId="4CB01369" w14:textId="1F04C9B6" w:rsidR="0010743C" w:rsidRPr="0010743C" w:rsidRDefault="0010743C" w:rsidP="0010743C">
      <w:pPr>
        <w:numPr>
          <w:ilvl w:val="0"/>
          <w:numId w:val="2"/>
        </w:numPr>
        <w:jc w:val="both"/>
        <w:rPr>
          <w:rFonts w:ascii="Times New Roman" w:hAnsi="Times New Roman" w:cs="Times New Roman"/>
          <w:sz w:val="24"/>
          <w:szCs w:val="24"/>
        </w:rPr>
      </w:pPr>
      <w:r w:rsidRPr="0010743C">
        <w:rPr>
          <w:rFonts w:ascii="Times New Roman" w:hAnsi="Times New Roman" w:cs="Times New Roman"/>
          <w:sz w:val="24"/>
          <w:szCs w:val="24"/>
        </w:rPr>
        <w:t>In 2018, the debt-to-equity ratio was 2.12, indicating that the company was utilizing more debt relative to its equity.</w:t>
      </w:r>
    </w:p>
    <w:p w14:paraId="19E56FCC" w14:textId="31106756" w:rsidR="0010743C" w:rsidRPr="0010743C" w:rsidRDefault="0010743C" w:rsidP="0010743C">
      <w:pPr>
        <w:numPr>
          <w:ilvl w:val="0"/>
          <w:numId w:val="2"/>
        </w:numPr>
        <w:jc w:val="both"/>
        <w:rPr>
          <w:rFonts w:ascii="Times New Roman" w:hAnsi="Times New Roman" w:cs="Times New Roman"/>
          <w:sz w:val="24"/>
          <w:szCs w:val="24"/>
        </w:rPr>
      </w:pPr>
      <w:r w:rsidRPr="0010743C">
        <w:rPr>
          <w:rFonts w:ascii="Times New Roman" w:hAnsi="Times New Roman" w:cs="Times New Roman"/>
          <w:sz w:val="24"/>
          <w:szCs w:val="24"/>
        </w:rPr>
        <w:t>By 2019, the debt-to-equity ratio decreased to 1.91, showing a reduction in the company’s reliance on debt financing.</w:t>
      </w:r>
    </w:p>
    <w:p w14:paraId="11FEB7FC" w14:textId="74BD8DA6" w:rsidR="0010743C" w:rsidRPr="0010743C" w:rsidRDefault="0010743C" w:rsidP="0010743C">
      <w:pPr>
        <w:numPr>
          <w:ilvl w:val="0"/>
          <w:numId w:val="2"/>
        </w:numPr>
        <w:jc w:val="both"/>
        <w:rPr>
          <w:rFonts w:ascii="Times New Roman" w:hAnsi="Times New Roman" w:cs="Times New Roman"/>
          <w:sz w:val="24"/>
          <w:szCs w:val="24"/>
        </w:rPr>
      </w:pPr>
      <w:r w:rsidRPr="0010743C">
        <w:rPr>
          <w:rFonts w:ascii="Times New Roman" w:hAnsi="Times New Roman" w:cs="Times New Roman"/>
          <w:sz w:val="24"/>
          <w:szCs w:val="24"/>
        </w:rPr>
        <w:t xml:space="preserve">In 2020, the debt-to-equity ratio increased slightly to 1.97, </w:t>
      </w:r>
      <w:r w:rsidR="00713748" w:rsidRPr="00C42786">
        <w:rPr>
          <w:rFonts w:ascii="Times New Roman" w:hAnsi="Times New Roman" w:cs="Times New Roman"/>
          <w:sz w:val="24"/>
          <w:szCs w:val="24"/>
        </w:rPr>
        <w:t>signalling</w:t>
      </w:r>
      <w:r w:rsidRPr="0010743C">
        <w:rPr>
          <w:rFonts w:ascii="Times New Roman" w:hAnsi="Times New Roman" w:cs="Times New Roman"/>
          <w:sz w:val="24"/>
          <w:szCs w:val="24"/>
        </w:rPr>
        <w:t xml:space="preserve"> a gradual shift towards more debt usage.</w:t>
      </w:r>
    </w:p>
    <w:p w14:paraId="73E4EDF9" w14:textId="2713DE70" w:rsidR="0010743C" w:rsidRPr="0010743C" w:rsidRDefault="0010743C" w:rsidP="0010743C">
      <w:pPr>
        <w:numPr>
          <w:ilvl w:val="0"/>
          <w:numId w:val="2"/>
        </w:numPr>
        <w:jc w:val="both"/>
        <w:rPr>
          <w:rFonts w:ascii="Times New Roman" w:hAnsi="Times New Roman" w:cs="Times New Roman"/>
          <w:sz w:val="24"/>
          <w:szCs w:val="24"/>
        </w:rPr>
      </w:pPr>
      <w:r w:rsidRPr="0010743C">
        <w:rPr>
          <w:rFonts w:ascii="Times New Roman" w:hAnsi="Times New Roman" w:cs="Times New Roman"/>
          <w:sz w:val="24"/>
          <w:szCs w:val="24"/>
        </w:rPr>
        <w:t>By 2021, the debt-to-equity ratio jumped significantly to 2.28, marking a substantial increase in the company's dependence on debt financing.</w:t>
      </w:r>
    </w:p>
    <w:p w14:paraId="308A68D6" w14:textId="193B50B0" w:rsidR="0010743C" w:rsidRPr="0010743C" w:rsidRDefault="0010743C" w:rsidP="0010743C">
      <w:pPr>
        <w:jc w:val="both"/>
        <w:rPr>
          <w:rFonts w:ascii="Times New Roman" w:hAnsi="Times New Roman" w:cs="Times New Roman"/>
          <w:b/>
          <w:bCs/>
          <w:color w:val="0070C0"/>
          <w:sz w:val="24"/>
          <w:szCs w:val="24"/>
        </w:rPr>
      </w:pPr>
      <w:r w:rsidRPr="0010743C">
        <w:rPr>
          <w:rFonts w:ascii="Times New Roman" w:hAnsi="Times New Roman" w:cs="Times New Roman"/>
          <w:b/>
          <w:bCs/>
          <w:color w:val="0070C0"/>
          <w:sz w:val="24"/>
          <w:szCs w:val="24"/>
        </w:rPr>
        <w:t>Conclusion:</w:t>
      </w:r>
    </w:p>
    <w:p w14:paraId="48E4AB7D" w14:textId="13B9B79A" w:rsidR="0010743C" w:rsidRDefault="0010743C" w:rsidP="0010743C">
      <w:pPr>
        <w:jc w:val="both"/>
        <w:rPr>
          <w:rFonts w:ascii="Times New Roman" w:hAnsi="Times New Roman" w:cs="Times New Roman"/>
          <w:b/>
          <w:bCs/>
          <w:sz w:val="24"/>
          <w:szCs w:val="24"/>
        </w:rPr>
      </w:pPr>
      <w:r w:rsidRPr="0010743C">
        <w:rPr>
          <w:rFonts w:ascii="Times New Roman" w:hAnsi="Times New Roman" w:cs="Times New Roman"/>
          <w:sz w:val="24"/>
          <w:szCs w:val="24"/>
        </w:rPr>
        <w:t xml:space="preserve">The company initially reduced its reliance on debt financing from 2018 to 2019. However, from 2019 onward, the company began to increase its use of debt, with the most notable rise in 2021. This trend suggests that the company is increasingly relying on </w:t>
      </w:r>
      <w:r w:rsidRPr="0010743C">
        <w:rPr>
          <w:rFonts w:ascii="Times New Roman" w:hAnsi="Times New Roman" w:cs="Times New Roman"/>
          <w:b/>
          <w:bCs/>
          <w:sz w:val="24"/>
          <w:szCs w:val="24"/>
        </w:rPr>
        <w:t>debt financing over equity financing in recent years, potentially increasing its financial risk</w:t>
      </w:r>
    </w:p>
    <w:p w14:paraId="3B108B72" w14:textId="5AF3CEA2" w:rsidR="00A273FD" w:rsidRDefault="00A273FD" w:rsidP="0010743C">
      <w:pPr>
        <w:jc w:val="both"/>
        <w:rPr>
          <w:rFonts w:ascii="Times New Roman" w:hAnsi="Times New Roman" w:cs="Times New Roman"/>
          <w:b/>
          <w:bCs/>
          <w:sz w:val="24"/>
          <w:szCs w:val="24"/>
        </w:rPr>
      </w:pPr>
    </w:p>
    <w:p w14:paraId="5EA8D9CE" w14:textId="7EDB802C" w:rsidR="00CB617C" w:rsidRDefault="00CB617C" w:rsidP="0010743C">
      <w:pPr>
        <w:jc w:val="both"/>
        <w:rPr>
          <w:rFonts w:ascii="Times New Roman" w:hAnsi="Times New Roman" w:cs="Times New Roman"/>
          <w:b/>
          <w:bCs/>
          <w:sz w:val="24"/>
          <w:szCs w:val="24"/>
        </w:rPr>
      </w:pPr>
    </w:p>
    <w:p w14:paraId="6E4B0EB1" w14:textId="33B0D68A" w:rsidR="00A273FD" w:rsidRDefault="00A273FD" w:rsidP="0010743C">
      <w:pPr>
        <w:jc w:val="both"/>
        <w:rPr>
          <w:rFonts w:ascii="Times New Roman" w:hAnsi="Times New Roman" w:cs="Times New Roman"/>
          <w:b/>
          <w:bCs/>
          <w:sz w:val="24"/>
          <w:szCs w:val="24"/>
        </w:rPr>
      </w:pPr>
    </w:p>
    <w:p w14:paraId="46AD2056" w14:textId="2ED46DBD" w:rsidR="00A273FD" w:rsidRPr="002E568A" w:rsidRDefault="006415C4" w:rsidP="002E568A">
      <w:pPr>
        <w:pStyle w:val="ListParagraph"/>
        <w:numPr>
          <w:ilvl w:val="0"/>
          <w:numId w:val="1"/>
        </w:numPr>
        <w:jc w:val="both"/>
        <w:rPr>
          <w:rFonts w:ascii="Times New Roman" w:hAnsi="Times New Roman" w:cs="Times New Roman"/>
          <w:b/>
          <w:bCs/>
        </w:rPr>
      </w:pPr>
      <w:r>
        <w:rPr>
          <w:noProof/>
        </w:rPr>
        <w:drawing>
          <wp:anchor distT="0" distB="0" distL="114300" distR="114300" simplePos="0" relativeHeight="251662336" behindDoc="0" locked="0" layoutInCell="1" allowOverlap="1" wp14:anchorId="57AEEEAE" wp14:editId="2228C544">
            <wp:simplePos x="0" y="0"/>
            <wp:positionH relativeFrom="margin">
              <wp:align>left</wp:align>
            </wp:positionH>
            <wp:positionV relativeFrom="paragraph">
              <wp:posOffset>915670</wp:posOffset>
            </wp:positionV>
            <wp:extent cx="5600700" cy="3340100"/>
            <wp:effectExtent l="152400" t="152400" r="152400" b="146050"/>
            <wp:wrapSquare wrapText="bothSides"/>
            <wp:docPr id="1558368414" name="Chart 1">
              <a:extLst xmlns:a="http://schemas.openxmlformats.org/drawingml/2006/main">
                <a:ext uri="{FF2B5EF4-FFF2-40B4-BE49-F238E27FC236}">
                  <a16:creationId xmlns:a16="http://schemas.microsoft.com/office/drawing/2014/main" id="{2D8B08D4-046F-DFEA-D29C-133A28C1E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67581">
        <w:rPr>
          <w:noProof/>
        </w:rPr>
        <w:drawing>
          <wp:anchor distT="0" distB="0" distL="114300" distR="114300" simplePos="0" relativeHeight="251661312" behindDoc="0" locked="0" layoutInCell="1" allowOverlap="1" wp14:anchorId="3E13CCAE" wp14:editId="4F9538F4">
            <wp:simplePos x="0" y="0"/>
            <wp:positionH relativeFrom="margin">
              <wp:align>left</wp:align>
            </wp:positionH>
            <wp:positionV relativeFrom="paragraph">
              <wp:posOffset>4754245</wp:posOffset>
            </wp:positionV>
            <wp:extent cx="5664200" cy="3365500"/>
            <wp:effectExtent l="152400" t="152400" r="146050" b="158750"/>
            <wp:wrapSquare wrapText="bothSides"/>
            <wp:docPr id="977911533" name="Chart 1">
              <a:extLst xmlns:a="http://schemas.openxmlformats.org/drawingml/2006/main">
                <a:ext uri="{FF2B5EF4-FFF2-40B4-BE49-F238E27FC236}">
                  <a16:creationId xmlns:a16="http://schemas.microsoft.com/office/drawing/2014/main" id="{7BF63BD2-876B-B476-4475-951216275B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A273FD" w:rsidRPr="002E568A">
        <w:rPr>
          <w:rFonts w:ascii="Times New Roman" w:hAnsi="Times New Roman" w:cs="Times New Roman"/>
          <w:b/>
          <w:bCs/>
          <w:sz w:val="28"/>
          <w:szCs w:val="28"/>
        </w:rPr>
        <w:t>Revenue Growth: How has the company total revenue grown over the three years? What segments are driving this growth (merchandise sales, membership fees)?</w:t>
      </w:r>
    </w:p>
    <w:p w14:paraId="73EA7190" w14:textId="7CCCA47E" w:rsidR="002E6252" w:rsidRDefault="002E6252" w:rsidP="002E6252">
      <w:pPr>
        <w:jc w:val="both"/>
        <w:rPr>
          <w:rFonts w:ascii="Times New Roman" w:hAnsi="Times New Roman" w:cs="Times New Roman"/>
          <w:b/>
          <w:bCs/>
        </w:rPr>
      </w:pPr>
    </w:p>
    <w:p w14:paraId="51479485" w14:textId="45ED3352" w:rsidR="007C0771" w:rsidRPr="002E6252" w:rsidRDefault="007C0771" w:rsidP="002E6252">
      <w:pPr>
        <w:jc w:val="both"/>
        <w:rPr>
          <w:rFonts w:ascii="Times New Roman" w:hAnsi="Times New Roman" w:cs="Times New Roman"/>
          <w:b/>
          <w:bCs/>
          <w:sz w:val="28"/>
          <w:szCs w:val="28"/>
        </w:rPr>
      </w:pPr>
      <w:r w:rsidRPr="002E6252">
        <w:rPr>
          <w:rFonts w:ascii="Times New Roman" w:hAnsi="Times New Roman" w:cs="Times New Roman"/>
          <w:b/>
          <w:bCs/>
          <w:color w:val="0070C0"/>
          <w:sz w:val="24"/>
          <w:szCs w:val="24"/>
        </w:rPr>
        <w:t>Observations:</w:t>
      </w:r>
    </w:p>
    <w:p w14:paraId="42199047" w14:textId="58AC1D3B" w:rsidR="007C0771" w:rsidRPr="007C0771" w:rsidRDefault="007C0771" w:rsidP="007C0771">
      <w:pPr>
        <w:numPr>
          <w:ilvl w:val="0"/>
          <w:numId w:val="3"/>
        </w:numPr>
        <w:jc w:val="both"/>
        <w:rPr>
          <w:rFonts w:ascii="Times New Roman" w:hAnsi="Times New Roman" w:cs="Times New Roman"/>
          <w:sz w:val="24"/>
          <w:szCs w:val="24"/>
        </w:rPr>
      </w:pPr>
      <w:r w:rsidRPr="007C0771">
        <w:rPr>
          <w:rFonts w:ascii="Times New Roman" w:hAnsi="Times New Roman" w:cs="Times New Roman"/>
          <w:sz w:val="24"/>
          <w:szCs w:val="24"/>
        </w:rPr>
        <w:t>Total Revenue Growth: The company's total revenue increased by 9.21% from 2019 to 2020 and further accelerated to 17.49% from 2020 to 2021.</w:t>
      </w:r>
    </w:p>
    <w:p w14:paraId="69C0C517" w14:textId="399E4B1A" w:rsidR="007C0771" w:rsidRPr="007C0771" w:rsidRDefault="007C0771" w:rsidP="007C0771">
      <w:pPr>
        <w:numPr>
          <w:ilvl w:val="0"/>
          <w:numId w:val="3"/>
        </w:numPr>
        <w:jc w:val="both"/>
        <w:rPr>
          <w:rFonts w:ascii="Times New Roman" w:hAnsi="Times New Roman" w:cs="Times New Roman"/>
          <w:sz w:val="24"/>
          <w:szCs w:val="24"/>
        </w:rPr>
      </w:pPr>
      <w:r w:rsidRPr="007C0771">
        <w:rPr>
          <w:rFonts w:ascii="Times New Roman" w:hAnsi="Times New Roman" w:cs="Times New Roman"/>
          <w:sz w:val="24"/>
          <w:szCs w:val="24"/>
        </w:rPr>
        <w:t>Merchandise Sales Growth: Merchandise sales, the major contributor to total revenue, grew by 9.29% between 2019 and 2020 and by 17.66% between 2020 and 2021.</w:t>
      </w:r>
    </w:p>
    <w:p w14:paraId="2355E045" w14:textId="7F9004ED" w:rsidR="007C0771" w:rsidRPr="007C0771" w:rsidRDefault="007C0771" w:rsidP="007C0771">
      <w:pPr>
        <w:numPr>
          <w:ilvl w:val="0"/>
          <w:numId w:val="3"/>
        </w:numPr>
        <w:jc w:val="both"/>
        <w:rPr>
          <w:rFonts w:ascii="Times New Roman" w:hAnsi="Times New Roman" w:cs="Times New Roman"/>
          <w:sz w:val="24"/>
          <w:szCs w:val="24"/>
        </w:rPr>
      </w:pPr>
      <w:r w:rsidRPr="007C0771">
        <w:rPr>
          <w:rFonts w:ascii="Times New Roman" w:hAnsi="Times New Roman" w:cs="Times New Roman"/>
          <w:sz w:val="24"/>
          <w:szCs w:val="24"/>
        </w:rPr>
        <w:t>Membership Fee Growth: Membership fee revenue saw a more modest growth, increasing by 5.64% from 2019 to 2020 and 9.49% from 2020 to 2021, but it contributed much less to overall revenue compared to merchandise sales.</w:t>
      </w:r>
    </w:p>
    <w:p w14:paraId="30897389" w14:textId="44C47300" w:rsidR="007C0771" w:rsidRPr="007C0771" w:rsidRDefault="007C0771" w:rsidP="007C0771">
      <w:pPr>
        <w:jc w:val="both"/>
        <w:rPr>
          <w:rFonts w:ascii="Times New Roman" w:hAnsi="Times New Roman" w:cs="Times New Roman"/>
          <w:b/>
          <w:bCs/>
          <w:color w:val="0070C0"/>
          <w:sz w:val="24"/>
          <w:szCs w:val="24"/>
        </w:rPr>
      </w:pPr>
      <w:r w:rsidRPr="007C0771">
        <w:rPr>
          <w:rFonts w:ascii="Times New Roman" w:hAnsi="Times New Roman" w:cs="Times New Roman"/>
          <w:b/>
          <w:bCs/>
          <w:color w:val="0070C0"/>
          <w:sz w:val="24"/>
          <w:szCs w:val="24"/>
        </w:rPr>
        <w:t>Conclusion:</w:t>
      </w:r>
    </w:p>
    <w:p w14:paraId="242218A7" w14:textId="15E9E1D3" w:rsidR="007C0771" w:rsidRDefault="007C0771" w:rsidP="007C0771">
      <w:pPr>
        <w:jc w:val="both"/>
        <w:rPr>
          <w:rFonts w:ascii="Times New Roman" w:hAnsi="Times New Roman" w:cs="Times New Roman"/>
          <w:b/>
          <w:bCs/>
          <w:sz w:val="24"/>
          <w:szCs w:val="24"/>
        </w:rPr>
      </w:pPr>
      <w:r w:rsidRPr="007C0771">
        <w:rPr>
          <w:rFonts w:ascii="Times New Roman" w:hAnsi="Times New Roman" w:cs="Times New Roman"/>
          <w:sz w:val="24"/>
          <w:szCs w:val="24"/>
        </w:rPr>
        <w:t xml:space="preserve">The company’s total revenue has shown </w:t>
      </w:r>
      <w:r w:rsidRPr="007C0771">
        <w:rPr>
          <w:rFonts w:ascii="Times New Roman" w:hAnsi="Times New Roman" w:cs="Times New Roman"/>
          <w:b/>
          <w:bCs/>
          <w:sz w:val="24"/>
          <w:szCs w:val="24"/>
        </w:rPr>
        <w:t>consistent growth over the three-year period</w:t>
      </w:r>
      <w:r w:rsidRPr="007C0771">
        <w:rPr>
          <w:rFonts w:ascii="Times New Roman" w:hAnsi="Times New Roman" w:cs="Times New Roman"/>
          <w:sz w:val="24"/>
          <w:szCs w:val="24"/>
        </w:rPr>
        <w:t xml:space="preserve">, with </w:t>
      </w:r>
      <w:r w:rsidRPr="007C0771">
        <w:rPr>
          <w:rFonts w:ascii="Times New Roman" w:hAnsi="Times New Roman" w:cs="Times New Roman"/>
          <w:b/>
          <w:bCs/>
          <w:sz w:val="24"/>
          <w:szCs w:val="24"/>
        </w:rPr>
        <w:t>merchandise sales being the primary driver of this growth</w:t>
      </w:r>
      <w:r w:rsidRPr="007C0771">
        <w:rPr>
          <w:rFonts w:ascii="Times New Roman" w:hAnsi="Times New Roman" w:cs="Times New Roman"/>
          <w:sz w:val="24"/>
          <w:szCs w:val="24"/>
        </w:rPr>
        <w:t xml:space="preserve">. The sharp rise in merchandise sales, especially in the 2020-2021 period, indicates a strong performance in this segment. Although membership fees have grown steadily, their contribution remains relatively small compared to merchandise sales. </w:t>
      </w:r>
      <w:r w:rsidRPr="007C0771">
        <w:rPr>
          <w:rFonts w:ascii="Times New Roman" w:hAnsi="Times New Roman" w:cs="Times New Roman"/>
          <w:b/>
          <w:bCs/>
          <w:sz w:val="24"/>
          <w:szCs w:val="24"/>
        </w:rPr>
        <w:t xml:space="preserve">Overall, the company's revenue growth is predominantly </w:t>
      </w:r>
      <w:r w:rsidR="00142757" w:rsidRPr="007C38E7">
        <w:rPr>
          <w:rFonts w:ascii="Times New Roman" w:hAnsi="Times New Roman" w:cs="Times New Roman"/>
          <w:b/>
          <w:bCs/>
          <w:sz w:val="24"/>
          <w:szCs w:val="24"/>
        </w:rPr>
        <w:t>fuelled</w:t>
      </w:r>
      <w:r w:rsidRPr="007C0771">
        <w:rPr>
          <w:rFonts w:ascii="Times New Roman" w:hAnsi="Times New Roman" w:cs="Times New Roman"/>
          <w:b/>
          <w:bCs/>
          <w:sz w:val="24"/>
          <w:szCs w:val="24"/>
        </w:rPr>
        <w:t xml:space="preserve"> by its success in merchandise sales.</w:t>
      </w:r>
    </w:p>
    <w:p w14:paraId="10EA4CBF" w14:textId="5144C0E6" w:rsidR="00875488" w:rsidRDefault="00875488" w:rsidP="007C0771">
      <w:pPr>
        <w:jc w:val="both"/>
        <w:rPr>
          <w:rFonts w:ascii="Times New Roman" w:hAnsi="Times New Roman" w:cs="Times New Roman"/>
          <w:b/>
          <w:bCs/>
          <w:sz w:val="24"/>
          <w:szCs w:val="24"/>
        </w:rPr>
      </w:pPr>
    </w:p>
    <w:p w14:paraId="0ED78D3D" w14:textId="5238C7CA" w:rsidR="00833A64" w:rsidRDefault="00833A64" w:rsidP="007C0771">
      <w:pPr>
        <w:jc w:val="both"/>
        <w:rPr>
          <w:rFonts w:ascii="Times New Roman" w:hAnsi="Times New Roman" w:cs="Times New Roman"/>
          <w:b/>
          <w:bCs/>
          <w:sz w:val="24"/>
          <w:szCs w:val="24"/>
        </w:rPr>
      </w:pPr>
    </w:p>
    <w:p w14:paraId="4501A712" w14:textId="4625356A" w:rsidR="00833A64" w:rsidRDefault="00833A64" w:rsidP="00833A64">
      <w:pPr>
        <w:pStyle w:val="ListParagraph"/>
        <w:numPr>
          <w:ilvl w:val="0"/>
          <w:numId w:val="1"/>
        </w:numPr>
        <w:jc w:val="both"/>
        <w:rPr>
          <w:rFonts w:ascii="Times New Roman" w:hAnsi="Times New Roman" w:cs="Times New Roman"/>
          <w:b/>
          <w:bCs/>
          <w:sz w:val="28"/>
          <w:szCs w:val="28"/>
        </w:rPr>
      </w:pPr>
      <w:r w:rsidRPr="00DB5A56">
        <w:rPr>
          <w:rFonts w:ascii="Times New Roman" w:hAnsi="Times New Roman" w:cs="Times New Roman"/>
          <w:b/>
          <w:bCs/>
          <w:sz w:val="28"/>
          <w:szCs w:val="28"/>
        </w:rPr>
        <w:t>Gross Margin: Calculate and compare the gross margin (consider total revenue and total expense) across the three years. Is the company able to maintain or improve its margins?</w:t>
      </w:r>
    </w:p>
    <w:p w14:paraId="5B244262" w14:textId="78FFB035" w:rsidR="00875488" w:rsidRDefault="00833A64" w:rsidP="007C0771">
      <w:pPr>
        <w:jc w:val="both"/>
        <w:rPr>
          <w:rFonts w:ascii="Times New Roman" w:hAnsi="Times New Roman" w:cs="Times New Roman"/>
          <w:b/>
          <w:bCs/>
          <w:sz w:val="24"/>
          <w:szCs w:val="24"/>
        </w:rPr>
      </w:pPr>
      <w:r>
        <w:rPr>
          <w:noProof/>
        </w:rPr>
        <w:lastRenderedPageBreak/>
        <w:drawing>
          <wp:anchor distT="0" distB="0" distL="114300" distR="114300" simplePos="0" relativeHeight="251664384" behindDoc="0" locked="0" layoutInCell="1" allowOverlap="1" wp14:anchorId="6B733966" wp14:editId="4FC9E57E">
            <wp:simplePos x="0" y="0"/>
            <wp:positionH relativeFrom="margin">
              <wp:align>left</wp:align>
            </wp:positionH>
            <wp:positionV relativeFrom="paragraph">
              <wp:posOffset>306070</wp:posOffset>
            </wp:positionV>
            <wp:extent cx="5707380" cy="3246120"/>
            <wp:effectExtent l="152400" t="152400" r="160020" b="144780"/>
            <wp:wrapSquare wrapText="bothSides"/>
            <wp:docPr id="1349247544" name="Chart 1">
              <a:extLst xmlns:a="http://schemas.openxmlformats.org/drawingml/2006/main">
                <a:ext uri="{FF2B5EF4-FFF2-40B4-BE49-F238E27FC236}">
                  <a16:creationId xmlns:a16="http://schemas.microsoft.com/office/drawing/2014/main" id="{CF60EC08-AE95-3056-C35E-1B501C4EC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39B7265" w14:textId="77777777" w:rsidR="005D7821" w:rsidRDefault="005D7821" w:rsidP="007C0771">
      <w:pPr>
        <w:jc w:val="both"/>
        <w:rPr>
          <w:rFonts w:ascii="Times New Roman" w:hAnsi="Times New Roman" w:cs="Times New Roman"/>
          <w:b/>
          <w:bCs/>
          <w:sz w:val="24"/>
          <w:szCs w:val="24"/>
        </w:rPr>
      </w:pPr>
    </w:p>
    <w:p w14:paraId="20F62610" w14:textId="77777777" w:rsidR="00875488" w:rsidRDefault="00875488" w:rsidP="007C0771">
      <w:pPr>
        <w:jc w:val="both"/>
        <w:rPr>
          <w:rFonts w:ascii="Times New Roman" w:hAnsi="Times New Roman" w:cs="Times New Roman"/>
          <w:b/>
          <w:bCs/>
          <w:sz w:val="24"/>
          <w:szCs w:val="24"/>
        </w:rPr>
      </w:pPr>
    </w:p>
    <w:p w14:paraId="26DA62AC" w14:textId="77777777" w:rsidR="00875488" w:rsidRDefault="00875488" w:rsidP="007C0771">
      <w:pPr>
        <w:jc w:val="both"/>
        <w:rPr>
          <w:rFonts w:ascii="Times New Roman" w:hAnsi="Times New Roman" w:cs="Times New Roman"/>
          <w:b/>
          <w:bCs/>
          <w:sz w:val="24"/>
          <w:szCs w:val="24"/>
        </w:rPr>
      </w:pPr>
    </w:p>
    <w:p w14:paraId="0A25FCB2" w14:textId="77777777" w:rsidR="00875488" w:rsidRDefault="00875488" w:rsidP="007C0771">
      <w:pPr>
        <w:jc w:val="both"/>
        <w:rPr>
          <w:rFonts w:ascii="Times New Roman" w:hAnsi="Times New Roman" w:cs="Times New Roman"/>
          <w:b/>
          <w:bCs/>
          <w:sz w:val="24"/>
          <w:szCs w:val="24"/>
        </w:rPr>
      </w:pPr>
    </w:p>
    <w:p w14:paraId="571D3725" w14:textId="77777777" w:rsidR="00875488" w:rsidRDefault="00875488" w:rsidP="007C0771">
      <w:pPr>
        <w:jc w:val="both"/>
        <w:rPr>
          <w:rFonts w:ascii="Times New Roman" w:hAnsi="Times New Roman" w:cs="Times New Roman"/>
          <w:b/>
          <w:bCs/>
          <w:sz w:val="24"/>
          <w:szCs w:val="24"/>
        </w:rPr>
      </w:pPr>
    </w:p>
    <w:p w14:paraId="2FFE5169" w14:textId="77777777" w:rsidR="00875488" w:rsidRDefault="00875488" w:rsidP="007C0771">
      <w:pPr>
        <w:jc w:val="both"/>
        <w:rPr>
          <w:rFonts w:ascii="Times New Roman" w:hAnsi="Times New Roman" w:cs="Times New Roman"/>
          <w:b/>
          <w:bCs/>
          <w:sz w:val="24"/>
          <w:szCs w:val="24"/>
        </w:rPr>
      </w:pPr>
    </w:p>
    <w:p w14:paraId="10C31F84" w14:textId="4FE87E0B" w:rsidR="00875488" w:rsidRDefault="00875488" w:rsidP="007C0771">
      <w:pPr>
        <w:jc w:val="both"/>
        <w:rPr>
          <w:rFonts w:ascii="Times New Roman" w:hAnsi="Times New Roman" w:cs="Times New Roman"/>
          <w:b/>
          <w:bCs/>
          <w:sz w:val="24"/>
          <w:szCs w:val="24"/>
        </w:rPr>
      </w:pPr>
    </w:p>
    <w:p w14:paraId="595974EF" w14:textId="496F7172" w:rsidR="00CB617C" w:rsidRPr="0010743C" w:rsidRDefault="00CB617C" w:rsidP="0010743C">
      <w:pPr>
        <w:jc w:val="both"/>
        <w:rPr>
          <w:rFonts w:ascii="Times New Roman" w:hAnsi="Times New Roman" w:cs="Times New Roman"/>
        </w:rPr>
      </w:pPr>
    </w:p>
    <w:p w14:paraId="5F14610F" w14:textId="18516DEB" w:rsidR="00DB5A56" w:rsidRPr="00DB5A56" w:rsidRDefault="00DB5A56" w:rsidP="00DB5A56">
      <w:pPr>
        <w:jc w:val="both"/>
        <w:rPr>
          <w:rFonts w:ascii="Times New Roman" w:hAnsi="Times New Roman" w:cs="Times New Roman"/>
          <w:b/>
          <w:bCs/>
          <w:sz w:val="28"/>
          <w:szCs w:val="28"/>
        </w:rPr>
      </w:pPr>
    </w:p>
    <w:sectPr w:rsidR="00DB5A56" w:rsidRPr="00DB5A56" w:rsidSect="00B5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04146"/>
    <w:multiLevelType w:val="hybridMultilevel"/>
    <w:tmpl w:val="150247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E490B36"/>
    <w:multiLevelType w:val="multilevel"/>
    <w:tmpl w:val="711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A27BC"/>
    <w:multiLevelType w:val="multilevel"/>
    <w:tmpl w:val="3E1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100707">
    <w:abstractNumId w:val="0"/>
  </w:num>
  <w:num w:numId="2" w16cid:durableId="614561460">
    <w:abstractNumId w:val="1"/>
  </w:num>
  <w:num w:numId="3" w16cid:durableId="918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3B"/>
    <w:rsid w:val="00014706"/>
    <w:rsid w:val="00026524"/>
    <w:rsid w:val="000B310B"/>
    <w:rsid w:val="000C7457"/>
    <w:rsid w:val="000D0A26"/>
    <w:rsid w:val="000E3792"/>
    <w:rsid w:val="000E6129"/>
    <w:rsid w:val="000F2F36"/>
    <w:rsid w:val="001004DE"/>
    <w:rsid w:val="00105772"/>
    <w:rsid w:val="0010743C"/>
    <w:rsid w:val="00126762"/>
    <w:rsid w:val="00142757"/>
    <w:rsid w:val="0018633D"/>
    <w:rsid w:val="001D3D57"/>
    <w:rsid w:val="001D5FDA"/>
    <w:rsid w:val="001F03E1"/>
    <w:rsid w:val="001F738E"/>
    <w:rsid w:val="002151EF"/>
    <w:rsid w:val="00224987"/>
    <w:rsid w:val="00227631"/>
    <w:rsid w:val="00232282"/>
    <w:rsid w:val="00234F8D"/>
    <w:rsid w:val="002422E3"/>
    <w:rsid w:val="00254C69"/>
    <w:rsid w:val="00265F98"/>
    <w:rsid w:val="00271F1B"/>
    <w:rsid w:val="00291162"/>
    <w:rsid w:val="002E568A"/>
    <w:rsid w:val="002E6252"/>
    <w:rsid w:val="002F048D"/>
    <w:rsid w:val="00320841"/>
    <w:rsid w:val="00323630"/>
    <w:rsid w:val="00334420"/>
    <w:rsid w:val="00365053"/>
    <w:rsid w:val="0037311D"/>
    <w:rsid w:val="00394238"/>
    <w:rsid w:val="003A6F41"/>
    <w:rsid w:val="003B609B"/>
    <w:rsid w:val="003F30D8"/>
    <w:rsid w:val="00414414"/>
    <w:rsid w:val="00446A9A"/>
    <w:rsid w:val="00452621"/>
    <w:rsid w:val="0047511A"/>
    <w:rsid w:val="0048580D"/>
    <w:rsid w:val="00497859"/>
    <w:rsid w:val="004A29AC"/>
    <w:rsid w:val="004C49F7"/>
    <w:rsid w:val="004E707B"/>
    <w:rsid w:val="004F3424"/>
    <w:rsid w:val="005000EA"/>
    <w:rsid w:val="00525E91"/>
    <w:rsid w:val="00545D1A"/>
    <w:rsid w:val="0059103C"/>
    <w:rsid w:val="00593B6D"/>
    <w:rsid w:val="005B406B"/>
    <w:rsid w:val="005D7821"/>
    <w:rsid w:val="005E4AB7"/>
    <w:rsid w:val="00602BF2"/>
    <w:rsid w:val="0060720B"/>
    <w:rsid w:val="00630150"/>
    <w:rsid w:val="00631BE0"/>
    <w:rsid w:val="006415C4"/>
    <w:rsid w:val="00655FE2"/>
    <w:rsid w:val="0068315C"/>
    <w:rsid w:val="006921AC"/>
    <w:rsid w:val="00697C9E"/>
    <w:rsid w:val="006A10B2"/>
    <w:rsid w:val="006C1873"/>
    <w:rsid w:val="006C3EBF"/>
    <w:rsid w:val="006D07C9"/>
    <w:rsid w:val="006D7ACB"/>
    <w:rsid w:val="00713748"/>
    <w:rsid w:val="00790DA5"/>
    <w:rsid w:val="007919C3"/>
    <w:rsid w:val="007C0771"/>
    <w:rsid w:val="007C38E7"/>
    <w:rsid w:val="007E5742"/>
    <w:rsid w:val="00831390"/>
    <w:rsid w:val="0083283B"/>
    <w:rsid w:val="00833A64"/>
    <w:rsid w:val="00834DB6"/>
    <w:rsid w:val="00866DF2"/>
    <w:rsid w:val="00875488"/>
    <w:rsid w:val="008935F6"/>
    <w:rsid w:val="008B2EFC"/>
    <w:rsid w:val="008C605A"/>
    <w:rsid w:val="008D2614"/>
    <w:rsid w:val="008F19C8"/>
    <w:rsid w:val="00917582"/>
    <w:rsid w:val="00917C72"/>
    <w:rsid w:val="00921E47"/>
    <w:rsid w:val="009245BB"/>
    <w:rsid w:val="00935AE8"/>
    <w:rsid w:val="00994E35"/>
    <w:rsid w:val="009A3D1F"/>
    <w:rsid w:val="009A79A6"/>
    <w:rsid w:val="009D0B03"/>
    <w:rsid w:val="009E3AA5"/>
    <w:rsid w:val="009E5DB2"/>
    <w:rsid w:val="009E68E1"/>
    <w:rsid w:val="00A01051"/>
    <w:rsid w:val="00A273FD"/>
    <w:rsid w:val="00A51CBA"/>
    <w:rsid w:val="00A6162D"/>
    <w:rsid w:val="00AB0379"/>
    <w:rsid w:val="00AB44B3"/>
    <w:rsid w:val="00AC36E2"/>
    <w:rsid w:val="00AE029E"/>
    <w:rsid w:val="00AF4C80"/>
    <w:rsid w:val="00B33EA7"/>
    <w:rsid w:val="00B36230"/>
    <w:rsid w:val="00B51A61"/>
    <w:rsid w:val="00B75226"/>
    <w:rsid w:val="00C05B6E"/>
    <w:rsid w:val="00C235EE"/>
    <w:rsid w:val="00C242A5"/>
    <w:rsid w:val="00C26328"/>
    <w:rsid w:val="00C34EDC"/>
    <w:rsid w:val="00C42786"/>
    <w:rsid w:val="00C4316D"/>
    <w:rsid w:val="00C74B23"/>
    <w:rsid w:val="00C76CFB"/>
    <w:rsid w:val="00C97EC0"/>
    <w:rsid w:val="00CB617C"/>
    <w:rsid w:val="00CC4C5A"/>
    <w:rsid w:val="00CD2EDD"/>
    <w:rsid w:val="00CD7921"/>
    <w:rsid w:val="00CF2E5F"/>
    <w:rsid w:val="00D017EA"/>
    <w:rsid w:val="00D026F4"/>
    <w:rsid w:val="00D13CC5"/>
    <w:rsid w:val="00D26875"/>
    <w:rsid w:val="00D30A04"/>
    <w:rsid w:val="00D358B3"/>
    <w:rsid w:val="00D42378"/>
    <w:rsid w:val="00D442B6"/>
    <w:rsid w:val="00D64A0D"/>
    <w:rsid w:val="00D65A35"/>
    <w:rsid w:val="00D81696"/>
    <w:rsid w:val="00DA308B"/>
    <w:rsid w:val="00DB5A56"/>
    <w:rsid w:val="00DC5AB2"/>
    <w:rsid w:val="00DD54CC"/>
    <w:rsid w:val="00DD6A6D"/>
    <w:rsid w:val="00DF1EDA"/>
    <w:rsid w:val="00E40501"/>
    <w:rsid w:val="00E524E2"/>
    <w:rsid w:val="00E67581"/>
    <w:rsid w:val="00E75423"/>
    <w:rsid w:val="00E80A42"/>
    <w:rsid w:val="00E87757"/>
    <w:rsid w:val="00E942C9"/>
    <w:rsid w:val="00EC79AB"/>
    <w:rsid w:val="00ED0706"/>
    <w:rsid w:val="00ED33EF"/>
    <w:rsid w:val="00F50E69"/>
    <w:rsid w:val="00F7762E"/>
    <w:rsid w:val="00F850EA"/>
    <w:rsid w:val="00FB00C1"/>
    <w:rsid w:val="00FB6D8B"/>
    <w:rsid w:val="00FC2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0B02"/>
  <w15:chartTrackingRefBased/>
  <w15:docId w15:val="{2499AA88-CAC7-4DD2-98EC-A91A2833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C8"/>
  </w:style>
  <w:style w:type="paragraph" w:styleId="Heading1">
    <w:name w:val="heading 1"/>
    <w:basedOn w:val="Normal"/>
    <w:next w:val="Normal"/>
    <w:link w:val="Heading1Char"/>
    <w:uiPriority w:val="9"/>
    <w:qFormat/>
    <w:rsid w:val="00832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83B"/>
    <w:rPr>
      <w:rFonts w:eastAsiaTheme="majorEastAsia" w:cstheme="majorBidi"/>
      <w:color w:val="272727" w:themeColor="text1" w:themeTint="D8"/>
    </w:rPr>
  </w:style>
  <w:style w:type="paragraph" w:styleId="Title">
    <w:name w:val="Title"/>
    <w:basedOn w:val="Normal"/>
    <w:next w:val="Normal"/>
    <w:link w:val="TitleChar"/>
    <w:uiPriority w:val="10"/>
    <w:qFormat/>
    <w:rsid w:val="00832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83B"/>
    <w:pPr>
      <w:spacing w:before="160"/>
      <w:jc w:val="center"/>
    </w:pPr>
    <w:rPr>
      <w:i/>
      <w:iCs/>
      <w:color w:val="404040" w:themeColor="text1" w:themeTint="BF"/>
    </w:rPr>
  </w:style>
  <w:style w:type="character" w:customStyle="1" w:styleId="QuoteChar">
    <w:name w:val="Quote Char"/>
    <w:basedOn w:val="DefaultParagraphFont"/>
    <w:link w:val="Quote"/>
    <w:uiPriority w:val="29"/>
    <w:rsid w:val="0083283B"/>
    <w:rPr>
      <w:i/>
      <w:iCs/>
      <w:color w:val="404040" w:themeColor="text1" w:themeTint="BF"/>
    </w:rPr>
  </w:style>
  <w:style w:type="paragraph" w:styleId="ListParagraph">
    <w:name w:val="List Paragraph"/>
    <w:basedOn w:val="Normal"/>
    <w:uiPriority w:val="34"/>
    <w:qFormat/>
    <w:rsid w:val="0083283B"/>
    <w:pPr>
      <w:ind w:left="720"/>
      <w:contextualSpacing/>
    </w:pPr>
  </w:style>
  <w:style w:type="character" w:styleId="IntenseEmphasis">
    <w:name w:val="Intense Emphasis"/>
    <w:basedOn w:val="DefaultParagraphFont"/>
    <w:uiPriority w:val="21"/>
    <w:qFormat/>
    <w:rsid w:val="0083283B"/>
    <w:rPr>
      <w:i/>
      <w:iCs/>
      <w:color w:val="0F4761" w:themeColor="accent1" w:themeShade="BF"/>
    </w:rPr>
  </w:style>
  <w:style w:type="paragraph" w:styleId="IntenseQuote">
    <w:name w:val="Intense Quote"/>
    <w:basedOn w:val="Normal"/>
    <w:next w:val="Normal"/>
    <w:link w:val="IntenseQuoteChar"/>
    <w:uiPriority w:val="30"/>
    <w:qFormat/>
    <w:rsid w:val="00832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83B"/>
    <w:rPr>
      <w:i/>
      <w:iCs/>
      <w:color w:val="0F4761" w:themeColor="accent1" w:themeShade="BF"/>
    </w:rPr>
  </w:style>
  <w:style w:type="character" w:styleId="IntenseReference">
    <w:name w:val="Intense Reference"/>
    <w:basedOn w:val="DefaultParagraphFont"/>
    <w:uiPriority w:val="32"/>
    <w:qFormat/>
    <w:rsid w:val="0083283B"/>
    <w:rPr>
      <w:b/>
      <w:bCs/>
      <w:smallCaps/>
      <w:color w:val="0F4761" w:themeColor="accent1" w:themeShade="BF"/>
      <w:spacing w:val="5"/>
    </w:rPr>
  </w:style>
  <w:style w:type="paragraph" w:styleId="NormalWeb">
    <w:name w:val="Normal (Web)"/>
    <w:basedOn w:val="Normal"/>
    <w:uiPriority w:val="99"/>
    <w:unhideWhenUsed/>
    <w:rsid w:val="005B40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235EE"/>
    <w:rPr>
      <w:color w:val="467886" w:themeColor="hyperlink"/>
      <w:u w:val="single"/>
    </w:rPr>
  </w:style>
  <w:style w:type="character" w:styleId="UnresolvedMention">
    <w:name w:val="Unresolved Mention"/>
    <w:basedOn w:val="DefaultParagraphFont"/>
    <w:uiPriority w:val="99"/>
    <w:semiHidden/>
    <w:unhideWhenUsed/>
    <w:rsid w:val="00C235EE"/>
    <w:rPr>
      <w:color w:val="605E5C"/>
      <w:shd w:val="clear" w:color="auto" w:fill="E1DFDD"/>
    </w:rPr>
  </w:style>
  <w:style w:type="character" w:styleId="FollowedHyperlink">
    <w:name w:val="FollowedHyperlink"/>
    <w:basedOn w:val="DefaultParagraphFont"/>
    <w:uiPriority w:val="99"/>
    <w:semiHidden/>
    <w:unhideWhenUsed/>
    <w:rsid w:val="00C235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1532">
      <w:bodyDiv w:val="1"/>
      <w:marLeft w:val="0"/>
      <w:marRight w:val="0"/>
      <w:marTop w:val="0"/>
      <w:marBottom w:val="0"/>
      <w:divBdr>
        <w:top w:val="none" w:sz="0" w:space="0" w:color="auto"/>
        <w:left w:val="none" w:sz="0" w:space="0" w:color="auto"/>
        <w:bottom w:val="none" w:sz="0" w:space="0" w:color="auto"/>
        <w:right w:val="none" w:sz="0" w:space="0" w:color="auto"/>
      </w:divBdr>
    </w:div>
    <w:div w:id="413550974">
      <w:bodyDiv w:val="1"/>
      <w:marLeft w:val="0"/>
      <w:marRight w:val="0"/>
      <w:marTop w:val="0"/>
      <w:marBottom w:val="0"/>
      <w:divBdr>
        <w:top w:val="none" w:sz="0" w:space="0" w:color="auto"/>
        <w:left w:val="none" w:sz="0" w:space="0" w:color="auto"/>
        <w:bottom w:val="none" w:sz="0" w:space="0" w:color="auto"/>
        <w:right w:val="none" w:sz="0" w:space="0" w:color="auto"/>
      </w:divBdr>
    </w:div>
    <w:div w:id="702169356">
      <w:bodyDiv w:val="1"/>
      <w:marLeft w:val="0"/>
      <w:marRight w:val="0"/>
      <w:marTop w:val="0"/>
      <w:marBottom w:val="0"/>
      <w:divBdr>
        <w:top w:val="none" w:sz="0" w:space="0" w:color="auto"/>
        <w:left w:val="none" w:sz="0" w:space="0" w:color="auto"/>
        <w:bottom w:val="none" w:sz="0" w:space="0" w:color="auto"/>
        <w:right w:val="none" w:sz="0" w:space="0" w:color="auto"/>
      </w:divBdr>
    </w:div>
    <w:div w:id="855581569">
      <w:bodyDiv w:val="1"/>
      <w:marLeft w:val="0"/>
      <w:marRight w:val="0"/>
      <w:marTop w:val="0"/>
      <w:marBottom w:val="0"/>
      <w:divBdr>
        <w:top w:val="none" w:sz="0" w:space="0" w:color="auto"/>
        <w:left w:val="none" w:sz="0" w:space="0" w:color="auto"/>
        <w:bottom w:val="none" w:sz="0" w:space="0" w:color="auto"/>
        <w:right w:val="none" w:sz="0" w:space="0" w:color="auto"/>
      </w:divBdr>
    </w:div>
    <w:div w:id="906459320">
      <w:bodyDiv w:val="1"/>
      <w:marLeft w:val="0"/>
      <w:marRight w:val="0"/>
      <w:marTop w:val="0"/>
      <w:marBottom w:val="0"/>
      <w:divBdr>
        <w:top w:val="none" w:sz="0" w:space="0" w:color="auto"/>
        <w:left w:val="none" w:sz="0" w:space="0" w:color="auto"/>
        <w:bottom w:val="none" w:sz="0" w:space="0" w:color="auto"/>
        <w:right w:val="none" w:sz="0" w:space="0" w:color="auto"/>
      </w:divBdr>
    </w:div>
    <w:div w:id="930819138">
      <w:bodyDiv w:val="1"/>
      <w:marLeft w:val="0"/>
      <w:marRight w:val="0"/>
      <w:marTop w:val="0"/>
      <w:marBottom w:val="0"/>
      <w:divBdr>
        <w:top w:val="none" w:sz="0" w:space="0" w:color="auto"/>
        <w:left w:val="none" w:sz="0" w:space="0" w:color="auto"/>
        <w:bottom w:val="none" w:sz="0" w:space="0" w:color="auto"/>
        <w:right w:val="none" w:sz="0" w:space="0" w:color="auto"/>
      </w:divBdr>
    </w:div>
    <w:div w:id="1337463816">
      <w:bodyDiv w:val="1"/>
      <w:marLeft w:val="0"/>
      <w:marRight w:val="0"/>
      <w:marTop w:val="0"/>
      <w:marBottom w:val="0"/>
      <w:divBdr>
        <w:top w:val="none" w:sz="0" w:space="0" w:color="auto"/>
        <w:left w:val="none" w:sz="0" w:space="0" w:color="auto"/>
        <w:bottom w:val="none" w:sz="0" w:space="0" w:color="auto"/>
        <w:right w:val="none" w:sz="0" w:space="0" w:color="auto"/>
      </w:divBdr>
      <w:divsChild>
        <w:div w:id="1379010803">
          <w:marLeft w:val="0"/>
          <w:marRight w:val="0"/>
          <w:marTop w:val="0"/>
          <w:marBottom w:val="0"/>
          <w:divBdr>
            <w:top w:val="none" w:sz="0" w:space="0" w:color="auto"/>
            <w:left w:val="none" w:sz="0" w:space="0" w:color="auto"/>
            <w:bottom w:val="none" w:sz="0" w:space="0" w:color="auto"/>
            <w:right w:val="none" w:sz="0" w:space="0" w:color="auto"/>
          </w:divBdr>
          <w:divsChild>
            <w:div w:id="725419607">
              <w:marLeft w:val="0"/>
              <w:marRight w:val="0"/>
              <w:marTop w:val="0"/>
              <w:marBottom w:val="0"/>
              <w:divBdr>
                <w:top w:val="none" w:sz="0" w:space="0" w:color="auto"/>
                <w:left w:val="none" w:sz="0" w:space="0" w:color="auto"/>
                <w:bottom w:val="none" w:sz="0" w:space="0" w:color="auto"/>
                <w:right w:val="none" w:sz="0" w:space="0" w:color="auto"/>
              </w:divBdr>
              <w:divsChild>
                <w:div w:id="16313965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23399803">
      <w:bodyDiv w:val="1"/>
      <w:marLeft w:val="0"/>
      <w:marRight w:val="0"/>
      <w:marTop w:val="0"/>
      <w:marBottom w:val="0"/>
      <w:divBdr>
        <w:top w:val="none" w:sz="0" w:space="0" w:color="auto"/>
        <w:left w:val="none" w:sz="0" w:space="0" w:color="auto"/>
        <w:bottom w:val="none" w:sz="0" w:space="0" w:color="auto"/>
        <w:right w:val="none" w:sz="0" w:space="0" w:color="auto"/>
      </w:divBdr>
    </w:div>
    <w:div w:id="1651204390">
      <w:bodyDiv w:val="1"/>
      <w:marLeft w:val="0"/>
      <w:marRight w:val="0"/>
      <w:marTop w:val="0"/>
      <w:marBottom w:val="0"/>
      <w:divBdr>
        <w:top w:val="none" w:sz="0" w:space="0" w:color="auto"/>
        <w:left w:val="none" w:sz="0" w:space="0" w:color="auto"/>
        <w:bottom w:val="none" w:sz="0" w:space="0" w:color="auto"/>
        <w:right w:val="none" w:sz="0" w:space="0" w:color="auto"/>
      </w:divBdr>
    </w:div>
    <w:div w:id="1685087977">
      <w:bodyDiv w:val="1"/>
      <w:marLeft w:val="0"/>
      <w:marRight w:val="0"/>
      <w:marTop w:val="0"/>
      <w:marBottom w:val="0"/>
      <w:divBdr>
        <w:top w:val="none" w:sz="0" w:space="0" w:color="auto"/>
        <w:left w:val="none" w:sz="0" w:space="0" w:color="auto"/>
        <w:bottom w:val="none" w:sz="0" w:space="0" w:color="auto"/>
        <w:right w:val="none" w:sz="0" w:space="0" w:color="auto"/>
      </w:divBdr>
    </w:div>
    <w:div w:id="1719935389">
      <w:bodyDiv w:val="1"/>
      <w:marLeft w:val="0"/>
      <w:marRight w:val="0"/>
      <w:marTop w:val="0"/>
      <w:marBottom w:val="0"/>
      <w:divBdr>
        <w:top w:val="none" w:sz="0" w:space="0" w:color="auto"/>
        <w:left w:val="none" w:sz="0" w:space="0" w:color="auto"/>
        <w:bottom w:val="none" w:sz="0" w:space="0" w:color="auto"/>
        <w:right w:val="none" w:sz="0" w:space="0" w:color="auto"/>
      </w:divBdr>
      <w:divsChild>
        <w:div w:id="387651407">
          <w:marLeft w:val="0"/>
          <w:marRight w:val="0"/>
          <w:marTop w:val="0"/>
          <w:marBottom w:val="0"/>
          <w:divBdr>
            <w:top w:val="none" w:sz="0" w:space="0" w:color="auto"/>
            <w:left w:val="none" w:sz="0" w:space="0" w:color="auto"/>
            <w:bottom w:val="none" w:sz="0" w:space="0" w:color="auto"/>
            <w:right w:val="none" w:sz="0" w:space="0" w:color="auto"/>
          </w:divBdr>
          <w:divsChild>
            <w:div w:id="1401245068">
              <w:marLeft w:val="0"/>
              <w:marRight w:val="0"/>
              <w:marTop w:val="0"/>
              <w:marBottom w:val="0"/>
              <w:divBdr>
                <w:top w:val="none" w:sz="0" w:space="0" w:color="auto"/>
                <w:left w:val="none" w:sz="0" w:space="0" w:color="auto"/>
                <w:bottom w:val="none" w:sz="0" w:space="0" w:color="auto"/>
                <w:right w:val="none" w:sz="0" w:space="0" w:color="auto"/>
              </w:divBdr>
              <w:divsChild>
                <w:div w:id="703478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c4f464676907aab/02%20Education/SCALER%20DSML/MODULES/13%20-%20Domain%20Analytics%20-%20Fintech/Day%20164%20-%20Financial%20Structure%20of%20a%20Company%20with%20CASE%20STUDY%20-%20DCF%20Modelling/Business%20Case%20-%20DCF%20Modelling/case%20study%20DC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c4f464676907aab/02%20Education/SCALER%20DSML/MODULES/13%20-%20Domain%20Analytics%20-%20Fintech/Day%20164%20-%20Financial%20Structure%20of%20a%20Company%20with%20CASE%20STUDY%20-%20DCF%20Modelling/Business%20Case%20-%20DCF%20Modelling/case%20study%20DC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c4f464676907aab/02%20Education/SCALER%20DSML/MODULES/13%20-%20Domain%20Analytics%20-%20Fintech/Day%20164%20-%20Financial%20Structure%20of%20a%20Company%20with%20CASE%20STUDY%20-%20DCF%20Modelling/Business%20Case%20-%20DCF%20Modelling/case%20study%20DC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c4f464676907aab/02%20Education/SCALER%20DSML/MODULES/13%20-%20Domain%20Analytics%20-%20Fintech/Day%20164%20-%20Financial%20Structure%20of%20a%20Company%20with%20CASE%20STUDY%20-%20DCF%20Modelling/Business%20Case%20-%20DCF%20Modelling/case%20study%20DCF.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solidFill>
                  <a:sysClr val="windowText" lastClr="000000"/>
                </a:solidFill>
              </a:rPr>
              <a:t>Dept/Equity (D/E)</a:t>
            </a:r>
          </a:p>
        </c:rich>
      </c:tx>
      <c:layout>
        <c:manualLayout>
          <c:xMode val="edge"/>
          <c:yMode val="edge"/>
          <c:x val="4.4840927798226404E-2"/>
          <c:y val="4.31778929188255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673517703382853E-2"/>
          <c:y val="0.25340840999081615"/>
          <c:w val="0.89340862459007764"/>
          <c:h val="0.59486367263365503"/>
        </c:manualLayout>
      </c:layout>
      <c:lineChart>
        <c:grouping val="standard"/>
        <c:varyColors val="0"/>
        <c:ser>
          <c:idx val="0"/>
          <c:order val="0"/>
          <c:tx>
            <c:strRef>
              <c:f>'Q3'!$C$6</c:f>
              <c:strCache>
                <c:ptCount val="1"/>
                <c:pt idx="0">
                  <c:v>Dept/Equity (D/E)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cat>
            <c:strRef>
              <c:f>'Q3'!$D$3:$G$3</c:f>
              <c:strCache>
                <c:ptCount val="4"/>
                <c:pt idx="0">
                  <c:v>2018</c:v>
                </c:pt>
                <c:pt idx="1">
                  <c:v>2019</c:v>
                </c:pt>
                <c:pt idx="2">
                  <c:v>2020</c:v>
                </c:pt>
                <c:pt idx="3">
                  <c:v>2021</c:v>
                </c:pt>
              </c:strCache>
            </c:strRef>
          </c:cat>
          <c:val>
            <c:numRef>
              <c:f>'Q3'!$D$6:$G$6</c:f>
              <c:numCache>
                <c:formatCode>0.00</c:formatCode>
                <c:ptCount val="4"/>
                <c:pt idx="0">
                  <c:v>2.1160802869571853</c:v>
                </c:pt>
                <c:pt idx="1">
                  <c:v>1.9132443531827514</c:v>
                </c:pt>
                <c:pt idx="2">
                  <c:v>1.9701149425287356</c:v>
                </c:pt>
                <c:pt idx="3">
                  <c:v>2.2784600066379026</c:v>
                </c:pt>
              </c:numCache>
            </c:numRef>
          </c:val>
          <c:smooth val="0"/>
          <c:extLst>
            <c:ext xmlns:c16="http://schemas.microsoft.com/office/drawing/2014/chart" uri="{C3380CC4-5D6E-409C-BE32-E72D297353CC}">
              <c16:uniqueId val="{00000001-4237-4FC7-BA37-4840D352D2BC}"/>
            </c:ext>
          </c:extLst>
        </c:ser>
        <c:dLbls>
          <c:dLblPos val="t"/>
          <c:showLegendKey val="0"/>
          <c:showVal val="1"/>
          <c:showCatName val="0"/>
          <c:showSerName val="0"/>
          <c:showPercent val="0"/>
          <c:showBubbleSize val="0"/>
        </c:dLbls>
        <c:smooth val="0"/>
        <c:axId val="155527247"/>
        <c:axId val="155525807"/>
      </c:lineChart>
      <c:catAx>
        <c:axId val="15552724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000" b="1"/>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14009]dd\ mmmm\ yyyy;@"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5525807"/>
        <c:crosses val="autoZero"/>
        <c:auto val="1"/>
        <c:lblAlgn val="ctr"/>
        <c:lblOffset val="100"/>
        <c:noMultiLvlLbl val="0"/>
      </c:catAx>
      <c:valAx>
        <c:axId val="155525807"/>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55527247"/>
        <c:crosses val="autoZero"/>
        <c:crossBetween val="between"/>
      </c:valAx>
      <c:spPr>
        <a:noFill/>
        <a:ln>
          <a:noFill/>
        </a:ln>
        <a:effectLst/>
      </c:spPr>
    </c:plotArea>
    <c:legend>
      <c:legendPos val="b"/>
      <c:layout>
        <c:manualLayout>
          <c:xMode val="edge"/>
          <c:yMode val="edge"/>
          <c:x val="6.1552356066850219E-3"/>
          <c:y val="0.1588994444528086"/>
          <c:w val="0.60639281443531345"/>
          <c:h val="7.048921516389400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39700">
        <a:schemeClr val="accent1">
          <a:satMod val="175000"/>
          <a:alpha val="40000"/>
        </a:schemeClr>
      </a:glow>
      <a:softEdge rad="12700"/>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1">
                <a:solidFill>
                  <a:sysClr val="windowText" lastClr="000000"/>
                </a:solidFill>
              </a:rPr>
              <a:t>Revenue</a:t>
            </a:r>
            <a:r>
              <a:rPr lang="en-IN" b="1" baseline="0">
                <a:solidFill>
                  <a:sysClr val="windowText" lastClr="000000"/>
                </a:solidFill>
              </a:rPr>
              <a:t> Growth</a:t>
            </a:r>
            <a:endParaRPr lang="en-IN" b="1">
              <a:solidFill>
                <a:sysClr val="windowText" lastClr="000000"/>
              </a:solidFill>
            </a:endParaRPr>
          </a:p>
        </c:rich>
      </c:tx>
      <c:layout>
        <c:manualLayout>
          <c:xMode val="edge"/>
          <c:yMode val="edge"/>
          <c:x val="1.4228988727337721E-2"/>
          <c:y val="2.347422270238988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2160423760877792E-2"/>
          <c:y val="0.20128223408693635"/>
          <c:w val="0.92622020431328045"/>
          <c:h val="0.65199068426305862"/>
        </c:manualLayout>
      </c:layout>
      <c:barChart>
        <c:barDir val="col"/>
        <c:grouping val="clustered"/>
        <c:varyColors val="0"/>
        <c:ser>
          <c:idx val="0"/>
          <c:order val="0"/>
          <c:tx>
            <c:strRef>
              <c:f>'Q4'!$B$4</c:f>
              <c:strCache>
                <c:ptCount val="1"/>
                <c:pt idx="0">
                  <c:v>Merchandise Sales Revenue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'Q4'!$C$3:$E$3</c:f>
              <c:strCache>
                <c:ptCount val="3"/>
                <c:pt idx="0">
                  <c:v>2019</c:v>
                </c:pt>
                <c:pt idx="1">
                  <c:v>2020</c:v>
                </c:pt>
                <c:pt idx="2">
                  <c:v>2021</c:v>
                </c:pt>
              </c:strCache>
            </c:strRef>
          </c:cat>
          <c:val>
            <c:numRef>
              <c:f>'Q4'!$C$4:$E$4</c:f>
              <c:numCache>
                <c:formatCode>\$#,#00,\ " K"</c:formatCode>
                <c:ptCount val="3"/>
                <c:pt idx="0">
                  <c:v>149351</c:v>
                </c:pt>
                <c:pt idx="1">
                  <c:v>163220</c:v>
                </c:pt>
                <c:pt idx="2">
                  <c:v>192052</c:v>
                </c:pt>
              </c:numCache>
            </c:numRef>
          </c:val>
          <c:extLst>
            <c:ext xmlns:c16="http://schemas.microsoft.com/office/drawing/2014/chart" uri="{C3380CC4-5D6E-409C-BE32-E72D297353CC}">
              <c16:uniqueId val="{00000000-3620-46E1-80E7-611CF7B8DE9C}"/>
            </c:ext>
          </c:extLst>
        </c:ser>
        <c:ser>
          <c:idx val="1"/>
          <c:order val="1"/>
          <c:tx>
            <c:strRef>
              <c:f>'Q4'!$B$5</c:f>
              <c:strCache>
                <c:ptCount val="1"/>
                <c:pt idx="0">
                  <c:v>Membership Fee Revenue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'Q4'!$C$3:$E$3</c:f>
              <c:strCache>
                <c:ptCount val="3"/>
                <c:pt idx="0">
                  <c:v>2019</c:v>
                </c:pt>
                <c:pt idx="1">
                  <c:v>2020</c:v>
                </c:pt>
                <c:pt idx="2">
                  <c:v>2021</c:v>
                </c:pt>
              </c:strCache>
            </c:strRef>
          </c:cat>
          <c:val>
            <c:numRef>
              <c:f>'Q4'!$C$5:$E$5</c:f>
              <c:numCache>
                <c:formatCode>\$#,#00,\ " K"</c:formatCode>
                <c:ptCount val="3"/>
                <c:pt idx="0">
                  <c:v>3352</c:v>
                </c:pt>
                <c:pt idx="1">
                  <c:v>3541</c:v>
                </c:pt>
                <c:pt idx="2">
                  <c:v>3877</c:v>
                </c:pt>
              </c:numCache>
            </c:numRef>
          </c:val>
          <c:extLst>
            <c:ext xmlns:c16="http://schemas.microsoft.com/office/drawing/2014/chart" uri="{C3380CC4-5D6E-409C-BE32-E72D297353CC}">
              <c16:uniqueId val="{00000001-3620-46E1-80E7-611CF7B8DE9C}"/>
            </c:ext>
          </c:extLst>
        </c:ser>
        <c:dLbls>
          <c:showLegendKey val="0"/>
          <c:showVal val="1"/>
          <c:showCatName val="0"/>
          <c:showSerName val="0"/>
          <c:showPercent val="0"/>
          <c:showBubbleSize val="0"/>
        </c:dLbls>
        <c:gapWidth val="219"/>
        <c:overlap val="-27"/>
        <c:axId val="618777647"/>
        <c:axId val="618773807"/>
      </c:barChart>
      <c:lineChart>
        <c:grouping val="standard"/>
        <c:varyColors val="0"/>
        <c:ser>
          <c:idx val="2"/>
          <c:order val="2"/>
          <c:tx>
            <c:strRef>
              <c:f>'Q4'!$B$6</c:f>
              <c:strCache>
                <c:ptCount val="1"/>
                <c:pt idx="0">
                  <c:v>Total revenue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0"/>
              <c:layout>
                <c:manualLayout>
                  <c:x val="1.513431706394249E-2"/>
                  <c:y val="7.71294433266263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20-46E1-80E7-611CF7B8DE9C}"/>
                </c:ext>
              </c:extLst>
            </c:dLbl>
            <c:dLbl>
              <c:idx val="1"/>
              <c:layout>
                <c:manualLayout>
                  <c:x val="6.9364818568099845E-17"/>
                  <c:y val="8.38363514419852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620-46E1-80E7-611CF7B8DE9C}"/>
                </c:ext>
              </c:extLst>
            </c:dLbl>
            <c:dLbl>
              <c:idx val="2"/>
              <c:layout>
                <c:manualLayout>
                  <c:x val="0"/>
                  <c:y val="8.04828973843057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20-46E1-80E7-611CF7B8DE9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'Q4'!$C$3:$E$3</c:f>
              <c:strCache>
                <c:ptCount val="3"/>
                <c:pt idx="0">
                  <c:v>2019</c:v>
                </c:pt>
                <c:pt idx="1">
                  <c:v>2020</c:v>
                </c:pt>
                <c:pt idx="2">
                  <c:v>2021</c:v>
                </c:pt>
              </c:strCache>
            </c:strRef>
          </c:cat>
          <c:val>
            <c:numRef>
              <c:f>'Q4'!$C$6:$E$6</c:f>
              <c:numCache>
                <c:formatCode>\$#,#00,\ " K"</c:formatCode>
                <c:ptCount val="3"/>
                <c:pt idx="0">
                  <c:v>152703</c:v>
                </c:pt>
                <c:pt idx="1">
                  <c:v>166761</c:v>
                </c:pt>
                <c:pt idx="2">
                  <c:v>195929</c:v>
                </c:pt>
              </c:numCache>
            </c:numRef>
          </c:val>
          <c:smooth val="0"/>
          <c:extLst>
            <c:ext xmlns:c16="http://schemas.microsoft.com/office/drawing/2014/chart" uri="{C3380CC4-5D6E-409C-BE32-E72D297353CC}">
              <c16:uniqueId val="{00000005-3620-46E1-80E7-611CF7B8DE9C}"/>
            </c:ext>
          </c:extLst>
        </c:ser>
        <c:dLbls>
          <c:showLegendKey val="0"/>
          <c:showVal val="1"/>
          <c:showCatName val="0"/>
          <c:showSerName val="0"/>
          <c:showPercent val="0"/>
          <c:showBubbleSize val="0"/>
        </c:dLbls>
        <c:marker val="1"/>
        <c:smooth val="0"/>
        <c:axId val="618777647"/>
        <c:axId val="618773807"/>
      </c:lineChart>
      <c:catAx>
        <c:axId val="61877764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000" b="1"/>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73807"/>
        <c:crosses val="autoZero"/>
        <c:auto val="1"/>
        <c:lblAlgn val="ctr"/>
        <c:lblOffset val="100"/>
        <c:noMultiLvlLbl val="0"/>
      </c:catAx>
      <c:valAx>
        <c:axId val="618773807"/>
        <c:scaling>
          <c:orientation val="minMax"/>
        </c:scaling>
        <c:delete val="1"/>
        <c:axPos val="l"/>
        <c:majorGridlines>
          <c:spPr>
            <a:ln w="9525" cap="flat" cmpd="sng" algn="ctr">
              <a:solidFill>
                <a:schemeClr val="tx1">
                  <a:lumMod val="15000"/>
                  <a:lumOff val="85000"/>
                </a:schemeClr>
              </a:solidFill>
              <a:round/>
            </a:ln>
            <a:effectLst/>
          </c:spPr>
        </c:majorGridlines>
        <c:numFmt formatCode="\$#,#00,\ &quot; K&quot;" sourceLinked="1"/>
        <c:majorTickMark val="none"/>
        <c:minorTickMark val="none"/>
        <c:tickLblPos val="nextTo"/>
        <c:crossAx val="618777647"/>
        <c:crosses val="autoZero"/>
        <c:crossBetween val="between"/>
      </c:valAx>
      <c:spPr>
        <a:noFill/>
        <a:ln>
          <a:noFill/>
        </a:ln>
        <a:effectLst>
          <a:glow rad="101600">
            <a:schemeClr val="accent1">
              <a:satMod val="175000"/>
              <a:alpha val="40000"/>
            </a:schemeClr>
          </a:glow>
        </a:effectLst>
      </c:spPr>
    </c:plotArea>
    <c:legend>
      <c:legendPos val="b"/>
      <c:layout>
        <c:manualLayout>
          <c:xMode val="edge"/>
          <c:yMode val="edge"/>
          <c:x val="3.7133254155283712E-3"/>
          <c:y val="0.11446585233937638"/>
          <c:w val="0.61076678489754677"/>
          <c:h val="6.0584473076275881E-2"/>
        </c:manualLayout>
      </c:layout>
      <c:overlay val="0"/>
      <c:spPr>
        <a:noFill/>
        <a:ln>
          <a:noFill/>
        </a:ln>
        <a:effectLst>
          <a:glow rad="139700">
            <a:schemeClr val="accent1">
              <a:satMod val="175000"/>
              <a:alpha val="40000"/>
            </a:schemeClr>
          </a:glo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39700">
        <a:schemeClr val="accent1">
          <a:satMod val="175000"/>
          <a:alpha val="40000"/>
        </a:schemeClr>
      </a:glo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1">
                <a:solidFill>
                  <a:sysClr val="windowText" lastClr="000000"/>
                </a:solidFill>
              </a:rPr>
              <a:t>Revenue Growth Rate</a:t>
            </a:r>
          </a:p>
        </c:rich>
      </c:tx>
      <c:layout>
        <c:manualLayout>
          <c:xMode val="edge"/>
          <c:yMode val="edge"/>
          <c:x val="1.4460235997916878E-2"/>
          <c:y val="7.849304973116131E-5"/>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9410808812765E-2"/>
          <c:y val="0.2343283919434721"/>
          <c:w val="0.90936345388806294"/>
          <c:h val="0.65244769639068734"/>
        </c:manualLayout>
      </c:layout>
      <c:barChart>
        <c:barDir val="col"/>
        <c:grouping val="clustered"/>
        <c:varyColors val="0"/>
        <c:ser>
          <c:idx val="0"/>
          <c:order val="0"/>
          <c:tx>
            <c:strRef>
              <c:f>'Q4'!$B$7:$C$7</c:f>
              <c:strCache>
                <c:ptCount val="2"/>
                <c:pt idx="0">
                  <c:v>Merchandise Sales Revenue Growth 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AE801831-9D97-4A8B-8D5C-E0821535FF07}" type="VALUE">
                      <a:rPr lang="en-US">
                        <a:solidFill>
                          <a:schemeClr val="bg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ADC-43AC-BED0-2AB5077B0451}"/>
                </c:ext>
              </c:extLst>
            </c:dLbl>
            <c:dLbl>
              <c:idx val="1"/>
              <c:layout>
                <c:manualLayout>
                  <c:x val="0"/>
                  <c:y val="0.16196777486147571"/>
                </c:manualLayout>
              </c:layout>
              <c:tx>
                <c:rich>
                  <a:bodyPr/>
                  <a:lstStyle/>
                  <a:p>
                    <a:fld id="{E7828E3C-C538-48D8-9C69-FADE70E20071}" type="VALUE">
                      <a:rPr lang="en-US">
                        <a:solidFill>
                          <a:schemeClr val="bg1"/>
                        </a:solidFill>
                      </a:rPr>
                      <a:pPr/>
                      <a:t>[VALUE]</a:t>
                    </a:fld>
                    <a:endParaRPr lang="en-IN"/>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DC-43AC-BED0-2AB5077B04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'Q4'!$D$3:$E$3</c:f>
              <c:strCache>
                <c:ptCount val="2"/>
                <c:pt idx="0">
                  <c:v>2020</c:v>
                </c:pt>
                <c:pt idx="1">
                  <c:v>2021</c:v>
                </c:pt>
              </c:strCache>
            </c:strRef>
          </c:cat>
          <c:val>
            <c:numRef>
              <c:f>'Q4'!$D$7:$E$7</c:f>
              <c:numCache>
                <c:formatCode>0.00%</c:formatCode>
                <c:ptCount val="2"/>
                <c:pt idx="0">
                  <c:v>9.2861781976685792E-2</c:v>
                </c:pt>
                <c:pt idx="1">
                  <c:v>0.17664501899277049</c:v>
                </c:pt>
              </c:numCache>
            </c:numRef>
          </c:val>
          <c:extLst>
            <c:ext xmlns:c16="http://schemas.microsoft.com/office/drawing/2014/chart" uri="{C3380CC4-5D6E-409C-BE32-E72D297353CC}">
              <c16:uniqueId val="{00000002-3ADC-43AC-BED0-2AB5077B0451}"/>
            </c:ext>
          </c:extLst>
        </c:ser>
        <c:ser>
          <c:idx val="1"/>
          <c:order val="1"/>
          <c:tx>
            <c:strRef>
              <c:f>'Q4'!$B$8:$C$8</c:f>
              <c:strCache>
                <c:ptCount val="2"/>
                <c:pt idx="0">
                  <c:v>Membership Fee Revenue Growth rate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FEA9CB74-A44F-4C0D-8A06-046C5764A5F9}" type="VALUE">
                      <a:rPr lang="en-US">
                        <a:solidFill>
                          <a:schemeClr val="bg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DC-43AC-BED0-2AB5077B0451}"/>
                </c:ext>
              </c:extLst>
            </c:dLbl>
            <c:dLbl>
              <c:idx val="1"/>
              <c:tx>
                <c:rich>
                  <a:bodyPr/>
                  <a:lstStyle/>
                  <a:p>
                    <a:fld id="{0283CDC3-39F3-456D-87BF-51D308811A93}" type="VALUE">
                      <a:rPr lang="en-US">
                        <a:solidFill>
                          <a:schemeClr val="bg1"/>
                        </a:solidFill>
                      </a:rPr>
                      <a:pPr/>
                      <a:t>[VALUE]</a:t>
                    </a:fld>
                    <a:endParaRPr lang="en-IN"/>
                  </a:p>
                </c:rich>
              </c:tx>
              <c:dLblPos val="in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3ADC-43AC-BED0-2AB5077B04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'Q4'!$D$3:$E$3</c:f>
              <c:strCache>
                <c:ptCount val="2"/>
                <c:pt idx="0">
                  <c:v>2020</c:v>
                </c:pt>
                <c:pt idx="1">
                  <c:v>2021</c:v>
                </c:pt>
              </c:strCache>
            </c:strRef>
          </c:cat>
          <c:val>
            <c:numRef>
              <c:f>'Q4'!$D$8:$E$8</c:f>
              <c:numCache>
                <c:formatCode>0.00%</c:formatCode>
                <c:ptCount val="2"/>
                <c:pt idx="0">
                  <c:v>5.6384248210023864E-2</c:v>
                </c:pt>
                <c:pt idx="1">
                  <c:v>9.4888449590511154E-2</c:v>
                </c:pt>
              </c:numCache>
            </c:numRef>
          </c:val>
          <c:extLst>
            <c:ext xmlns:c16="http://schemas.microsoft.com/office/drawing/2014/chart" uri="{C3380CC4-5D6E-409C-BE32-E72D297353CC}">
              <c16:uniqueId val="{00000005-3ADC-43AC-BED0-2AB5077B0451}"/>
            </c:ext>
          </c:extLst>
        </c:ser>
        <c:dLbls>
          <c:dLblPos val="inEnd"/>
          <c:showLegendKey val="0"/>
          <c:showVal val="1"/>
          <c:showCatName val="0"/>
          <c:showSerName val="0"/>
          <c:showPercent val="0"/>
          <c:showBubbleSize val="0"/>
        </c:dLbls>
        <c:gapWidth val="150"/>
        <c:axId val="630308928"/>
        <c:axId val="630307488"/>
      </c:barChart>
      <c:lineChart>
        <c:grouping val="standard"/>
        <c:varyColors val="0"/>
        <c:ser>
          <c:idx val="2"/>
          <c:order val="2"/>
          <c:tx>
            <c:strRef>
              <c:f>'Q4'!$B$9:$C$9</c:f>
              <c:strCache>
                <c:ptCount val="2"/>
                <c:pt idx="0">
                  <c:v>Total revenue Growth rate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dLbl>
              <c:idx val="0"/>
              <c:layout>
                <c:manualLayout>
                  <c:x val="-0.10000000000000005"/>
                  <c:y val="-9.25925925925926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ADC-43AC-BED0-2AB5077B0451}"/>
                </c:ext>
              </c:extLst>
            </c:dLbl>
            <c:dLbl>
              <c:idx val="1"/>
              <c:layout>
                <c:manualLayout>
                  <c:x val="4.0269915384375542E-2"/>
                  <c:y val="2.635287858724139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7560657518149412E-2"/>
                      <c:h val="4.3911337739603658E-2"/>
                    </c:manualLayout>
                  </c15:layout>
                </c:ext>
                <c:ext xmlns:c16="http://schemas.microsoft.com/office/drawing/2014/chart" uri="{C3380CC4-5D6E-409C-BE32-E72D297353CC}">
                  <c16:uniqueId val="{00000008-3ADC-43AC-BED0-2AB5077B04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'Q4'!$D$3:$E$3</c:f>
              <c:strCache>
                <c:ptCount val="2"/>
                <c:pt idx="0">
                  <c:v>2020</c:v>
                </c:pt>
                <c:pt idx="1">
                  <c:v>2021</c:v>
                </c:pt>
              </c:strCache>
            </c:strRef>
          </c:cat>
          <c:val>
            <c:numRef>
              <c:f>'Q4'!$D$9:$E$9</c:f>
              <c:numCache>
                <c:formatCode>0.00%</c:formatCode>
                <c:ptCount val="2"/>
                <c:pt idx="0">
                  <c:v>9.2061059704131545E-2</c:v>
                </c:pt>
                <c:pt idx="1">
                  <c:v>0.1749090015051481</c:v>
                </c:pt>
              </c:numCache>
            </c:numRef>
          </c:val>
          <c:smooth val="0"/>
          <c:extLst>
            <c:ext xmlns:c16="http://schemas.microsoft.com/office/drawing/2014/chart" uri="{C3380CC4-5D6E-409C-BE32-E72D297353CC}">
              <c16:uniqueId val="{00000007-3ADC-43AC-BED0-2AB5077B0451}"/>
            </c:ext>
          </c:extLst>
        </c:ser>
        <c:dLbls>
          <c:showLegendKey val="0"/>
          <c:showVal val="1"/>
          <c:showCatName val="0"/>
          <c:showSerName val="0"/>
          <c:showPercent val="0"/>
          <c:showBubbleSize val="0"/>
        </c:dLbls>
        <c:marker val="1"/>
        <c:smooth val="0"/>
        <c:axId val="630308928"/>
        <c:axId val="630307488"/>
      </c:lineChart>
      <c:catAx>
        <c:axId val="63030892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000" b="1"/>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307488"/>
        <c:crosses val="autoZero"/>
        <c:auto val="1"/>
        <c:lblAlgn val="ctr"/>
        <c:lblOffset val="100"/>
        <c:noMultiLvlLbl val="0"/>
      </c:catAx>
      <c:valAx>
        <c:axId val="630307488"/>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630308928"/>
        <c:crosses val="autoZero"/>
        <c:crossBetween val="between"/>
      </c:valAx>
      <c:spPr>
        <a:noFill/>
        <a:ln>
          <a:noFill/>
        </a:ln>
        <a:effectLst/>
      </c:spPr>
    </c:plotArea>
    <c:legend>
      <c:legendPos val="b"/>
      <c:layout>
        <c:manualLayout>
          <c:xMode val="edge"/>
          <c:yMode val="edge"/>
          <c:x val="4.5382082341748099E-3"/>
          <c:y val="8.9394235691320184E-2"/>
          <c:w val="0.4139804385438367"/>
          <c:h val="0.129585053213881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39700">
        <a:schemeClr val="accent1">
          <a:satMod val="175000"/>
          <a:alpha val="40000"/>
        </a:schemeClr>
      </a:glo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3.311111111111107E-2"/>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'Q5'!$B$6</c:f>
              <c:strCache>
                <c:ptCount val="1"/>
                <c:pt idx="0">
                  <c:v>Gross Margin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'Q5'!$C$3:$E$3</c:f>
              <c:strCache>
                <c:ptCount val="3"/>
                <c:pt idx="0">
                  <c:v>2019</c:v>
                </c:pt>
                <c:pt idx="1">
                  <c:v>2020</c:v>
                </c:pt>
                <c:pt idx="2">
                  <c:v>2021</c:v>
                </c:pt>
              </c:strCache>
            </c:strRef>
          </c:cat>
          <c:val>
            <c:numRef>
              <c:f>'Q5'!$C$6:$E$6</c:f>
              <c:numCache>
                <c:formatCode>0.00%</c:formatCode>
                <c:ptCount val="3"/>
                <c:pt idx="0">
                  <c:v>3.1021001552032378E-2</c:v>
                </c:pt>
                <c:pt idx="1">
                  <c:v>3.259155318089961E-2</c:v>
                </c:pt>
                <c:pt idx="2">
                  <c:v>3.4236891935343926E-2</c:v>
                </c:pt>
              </c:numCache>
            </c:numRef>
          </c:val>
          <c:smooth val="0"/>
          <c:extLst>
            <c:ext xmlns:c16="http://schemas.microsoft.com/office/drawing/2014/chart" uri="{C3380CC4-5D6E-409C-BE32-E72D297353CC}">
              <c16:uniqueId val="{00000000-A67F-41D6-9252-F2CAD00027BF}"/>
            </c:ext>
          </c:extLst>
        </c:ser>
        <c:dLbls>
          <c:dLblPos val="t"/>
          <c:showLegendKey val="0"/>
          <c:showVal val="1"/>
          <c:showCatName val="0"/>
          <c:showSerName val="0"/>
          <c:showPercent val="0"/>
          <c:showBubbleSize val="0"/>
        </c:dLbls>
        <c:smooth val="0"/>
        <c:axId val="636734096"/>
        <c:axId val="636731696"/>
      </c:lineChart>
      <c:catAx>
        <c:axId val="63673409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000" b="1"/>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731696"/>
        <c:crosses val="autoZero"/>
        <c:auto val="1"/>
        <c:lblAlgn val="ctr"/>
        <c:lblOffset val="100"/>
        <c:noMultiLvlLbl val="0"/>
      </c:catAx>
      <c:valAx>
        <c:axId val="636731696"/>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636734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39700">
        <a:schemeClr val="accent1">
          <a:satMod val="175000"/>
          <a:alpha val="40000"/>
        </a:schemeClr>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A0DC-30C8-44B3-952A-AB76800A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sms</dc:creator>
  <cp:keywords/>
  <dc:description/>
  <cp:lastModifiedBy>Sankaran sms</cp:lastModifiedBy>
  <cp:revision>161</cp:revision>
  <dcterms:created xsi:type="dcterms:W3CDTF">2024-08-19T13:53:00Z</dcterms:created>
  <dcterms:modified xsi:type="dcterms:W3CDTF">2024-08-22T16:56:00Z</dcterms:modified>
</cp:coreProperties>
</file>